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0EF78">
      <w:pPr>
        <w:spacing w:before="1560" w:after="0" w:line="240" w:lineRule="auto"/>
        <w:ind w:left="0" w:leftChars="0" w:firstLine="0" w:firstLineChars="0"/>
        <w:jc w:val="center"/>
      </w:pPr>
      <w:r>
        <w:rPr>
          <w:rFonts w:ascii="方正小标宋简体" w:hAnsi="方正小标宋简体" w:eastAsia="方正小标宋简体"/>
          <w:b/>
          <w:sz w:val="52"/>
        </w:rPr>
        <w:t>精细化工企业全员应知应会安全手册</w:t>
      </w:r>
    </w:p>
    <w:p w14:paraId="250785B9">
      <w:pPr>
        <w:spacing w:before="360" w:after="2500" w:line="240" w:lineRule="auto"/>
        <w:jc w:val="center"/>
      </w:pPr>
      <w:r>
        <w:rPr>
          <w:rFonts w:ascii="仿宋_GB2312" w:hAnsi="仿宋_GB2312" w:eastAsia="仿宋_GB2312"/>
          <w:b/>
          <w:sz w:val="32"/>
        </w:rPr>
        <w:t>（全岗位、全过程、全员适用）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4648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4535" w:type="dxa"/>
            <w:vAlign w:val="center"/>
          </w:tcPr>
          <w:p w14:paraId="4CA739A1">
            <w:pPr>
              <w:spacing w:before="0" w:after="0" w:line="288" w:lineRule="auto"/>
              <w:jc w:val="center"/>
            </w:pPr>
            <w:r>
              <w:rPr>
                <w:rFonts w:ascii="仿宋_GB2312" w:hAnsi="仿宋_GB2312" w:eastAsia="仿宋_GB2312"/>
                <w:b/>
                <w:sz w:val="24"/>
              </w:rPr>
              <w:t>文件编号</w:t>
            </w:r>
          </w:p>
        </w:tc>
        <w:tc>
          <w:tcPr>
            <w:tcW w:w="4535" w:type="dxa"/>
            <w:vAlign w:val="center"/>
          </w:tcPr>
          <w:p w14:paraId="33FDD93C">
            <w:pPr>
              <w:spacing w:before="0" w:after="0" w:line="288" w:lineRule="auto"/>
              <w:jc w:val="center"/>
            </w:pPr>
            <w:r>
              <w:rPr>
                <w:rFonts w:ascii="仿宋_GB2312" w:hAnsi="仿宋_GB2312" w:eastAsia="仿宋_GB2312"/>
                <w:b w:val="0"/>
                <w:sz w:val="24"/>
              </w:rPr>
              <w:t>HSE-MAN-001</w:t>
            </w:r>
          </w:p>
        </w:tc>
      </w:tr>
      <w:tr w14:paraId="512E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4535" w:type="dxa"/>
            <w:vAlign w:val="center"/>
          </w:tcPr>
          <w:p w14:paraId="54EF2295">
            <w:pPr>
              <w:spacing w:before="0" w:after="0" w:line="288" w:lineRule="auto"/>
              <w:jc w:val="center"/>
            </w:pPr>
            <w:r>
              <w:rPr>
                <w:rFonts w:ascii="仿宋_GB2312" w:hAnsi="仿宋_GB2312" w:eastAsia="仿宋_GB2312"/>
                <w:b/>
                <w:sz w:val="24"/>
              </w:rPr>
              <w:t>版本/状态</w:t>
            </w:r>
          </w:p>
        </w:tc>
        <w:tc>
          <w:tcPr>
            <w:tcW w:w="4535" w:type="dxa"/>
            <w:vAlign w:val="center"/>
          </w:tcPr>
          <w:p w14:paraId="460B3009">
            <w:pPr>
              <w:spacing w:before="0" w:after="0" w:line="288" w:lineRule="auto"/>
              <w:jc w:val="center"/>
            </w:pPr>
            <w:r>
              <w:rPr>
                <w:rFonts w:ascii="仿宋_GB2312" w:hAnsi="仿宋_GB2312" w:eastAsia="仿宋_GB2312"/>
                <w:b w:val="0"/>
                <w:sz w:val="24"/>
              </w:rPr>
              <w:t>A/0  受控</w:t>
            </w:r>
          </w:p>
        </w:tc>
      </w:tr>
      <w:tr w14:paraId="6E85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4535" w:type="dxa"/>
            <w:vAlign w:val="center"/>
          </w:tcPr>
          <w:p w14:paraId="3102D924">
            <w:pPr>
              <w:spacing w:before="0" w:after="0" w:line="288" w:lineRule="auto"/>
              <w:jc w:val="center"/>
            </w:pPr>
            <w:r>
              <w:rPr>
                <w:rFonts w:ascii="仿宋_GB2312" w:hAnsi="仿宋_GB2312" w:eastAsia="仿宋_GB2312"/>
                <w:b/>
                <w:sz w:val="24"/>
              </w:rPr>
              <w:t>编制部门</w:t>
            </w:r>
          </w:p>
        </w:tc>
        <w:tc>
          <w:tcPr>
            <w:tcW w:w="4535" w:type="dxa"/>
            <w:vAlign w:val="center"/>
          </w:tcPr>
          <w:p w14:paraId="713FF7EC">
            <w:pPr>
              <w:spacing w:before="0" w:after="0" w:line="288" w:lineRule="auto"/>
              <w:jc w:val="center"/>
            </w:pPr>
            <w:r>
              <w:rPr>
                <w:rFonts w:ascii="仿宋_GB2312" w:hAnsi="仿宋_GB2312" w:eastAsia="仿宋_GB2312"/>
                <w:b w:val="0"/>
                <w:sz w:val="24"/>
              </w:rPr>
              <w:t>安全生产管理部门</w:t>
            </w:r>
          </w:p>
        </w:tc>
      </w:tr>
      <w:tr w14:paraId="4FBF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4535" w:type="dxa"/>
            <w:vAlign w:val="center"/>
          </w:tcPr>
          <w:p w14:paraId="71B8B7FA">
            <w:pPr>
              <w:spacing w:before="0" w:after="0" w:line="288" w:lineRule="auto"/>
              <w:jc w:val="center"/>
            </w:pPr>
            <w:r>
              <w:rPr>
                <w:rFonts w:ascii="仿宋_GB2312" w:hAnsi="仿宋_GB2312" w:eastAsia="仿宋_GB2312"/>
                <w:b/>
                <w:sz w:val="24"/>
              </w:rPr>
              <w:t>批准人</w:t>
            </w:r>
          </w:p>
        </w:tc>
        <w:tc>
          <w:tcPr>
            <w:tcW w:w="4535" w:type="dxa"/>
            <w:vAlign w:val="center"/>
          </w:tcPr>
          <w:p w14:paraId="6B3CD320">
            <w:pPr>
              <w:spacing w:before="0" w:after="0" w:line="288" w:lineRule="auto"/>
              <w:jc w:val="center"/>
            </w:pPr>
            <w:r>
              <w:rPr>
                <w:rFonts w:ascii="仿宋_GB2312" w:hAnsi="仿宋_GB2312" w:eastAsia="仿宋_GB2312"/>
                <w:b w:val="0"/>
                <w:sz w:val="24"/>
              </w:rPr>
              <w:t>[主要负责人]</w:t>
            </w:r>
          </w:p>
        </w:tc>
      </w:tr>
      <w:tr w14:paraId="51BF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4535" w:type="dxa"/>
            <w:vAlign w:val="center"/>
          </w:tcPr>
          <w:p w14:paraId="0B0176D1">
            <w:pPr>
              <w:spacing w:before="0" w:after="0" w:line="288" w:lineRule="auto"/>
              <w:jc w:val="center"/>
            </w:pPr>
            <w:r>
              <w:rPr>
                <w:rFonts w:ascii="仿宋_GB2312" w:hAnsi="仿宋_GB2312" w:eastAsia="仿宋_GB2312"/>
                <w:b/>
                <w:sz w:val="24"/>
              </w:rPr>
              <w:t>发布日期</w:t>
            </w:r>
          </w:p>
        </w:tc>
        <w:tc>
          <w:tcPr>
            <w:tcW w:w="4535" w:type="dxa"/>
            <w:vAlign w:val="center"/>
          </w:tcPr>
          <w:p w14:paraId="49BF6526">
            <w:pPr>
              <w:spacing w:before="0" w:after="0" w:line="288" w:lineRule="auto"/>
              <w:jc w:val="center"/>
            </w:pPr>
            <w:r>
              <w:rPr>
                <w:rFonts w:ascii="仿宋_GB2312" w:hAnsi="仿宋_GB2312" w:eastAsia="仿宋_GB2312"/>
                <w:b w:val="0"/>
                <w:sz w:val="24"/>
              </w:rPr>
              <w:t>2026年  月  日</w:t>
            </w:r>
          </w:p>
        </w:tc>
      </w:tr>
    </w:tbl>
    <w:p w14:paraId="33166222">
      <w:pPr>
        <w:spacing w:before="120" w:after="0"/>
        <w:jc w:val="center"/>
        <w:rPr>
          <w:rFonts w:ascii="仿宋_GB2312" w:hAnsi="仿宋_GB2312" w:eastAsia="仿宋_GB2312"/>
          <w:b/>
          <w:sz w:val="24"/>
        </w:rPr>
      </w:pPr>
    </w:p>
    <w:p w14:paraId="1CC78220">
      <w:pPr>
        <w:spacing w:before="120" w:after="0"/>
        <w:jc w:val="center"/>
        <w:rPr>
          <w:rFonts w:ascii="仿宋_GB2312" w:hAnsi="仿宋_GB2312" w:eastAsia="仿宋_GB2312"/>
          <w:b/>
          <w:sz w:val="24"/>
        </w:rPr>
      </w:pPr>
    </w:p>
    <w:p w14:paraId="63FCA148">
      <w:pPr>
        <w:spacing w:before="120" w:after="0"/>
        <w:jc w:val="center"/>
        <w:rPr>
          <w:rFonts w:ascii="仿宋_GB2312" w:hAnsi="仿宋_GB2312" w:eastAsia="仿宋_GB2312"/>
          <w:b/>
          <w:sz w:val="24"/>
        </w:rPr>
      </w:pPr>
    </w:p>
    <w:p w14:paraId="09B24087">
      <w:pPr>
        <w:spacing w:before="120" w:after="0"/>
        <w:jc w:val="center"/>
      </w:pPr>
      <w:bookmarkStart w:id="0" w:name="_GoBack"/>
      <w:bookmarkEnd w:id="0"/>
      <w:r>
        <w:rPr>
          <w:rFonts w:ascii="仿宋_GB2312" w:hAnsi="仿宋_GB2312" w:eastAsia="仿宋_GB2312"/>
          <w:b/>
          <w:sz w:val="24"/>
        </w:rPr>
        <w:t>实施日期：2026年  月  日</w:t>
      </w:r>
    </w:p>
    <w:p w14:paraId="56F923A2">
      <w:pPr>
        <w:sectPr>
          <w:headerReference r:id="rId5" w:type="default"/>
          <w:footerReference r:id="rId6" w:type="default"/>
          <w:pgSz w:w="11906" w:h="16838"/>
          <w:pgMar w:top="1361" w:right="1417" w:bottom="1361" w:left="1417" w:header="794" w:footer="907" w:gutter="0"/>
          <w:pgBorders w:offsetFrom="page">
            <w:top w:val="dotted" w:color="auto" w:sz="4" w:space="1"/>
            <w:left w:val="dotted" w:color="auto" w:sz="4" w:space="1"/>
            <w:bottom w:val="dotted" w:color="auto" w:sz="4" w:space="1"/>
            <w:right w:val="dotted" w:color="auto" w:sz="4" w:space="1"/>
          </w:pgBorders>
          <w:pgNumType w:fmt="decimal" w:start="1"/>
          <w:cols w:space="720" w:num="1"/>
          <w:titlePg/>
          <w:docGrid w:linePitch="360" w:charSpace="0"/>
        </w:sectPr>
      </w:pPr>
    </w:p>
    <w:p w14:paraId="067B605A">
      <w:pPr>
        <w:spacing w:before="360" w:after="360"/>
        <w:jc w:val="center"/>
      </w:pPr>
      <w:r>
        <w:rPr>
          <w:rFonts w:ascii="方正小标宋简体" w:hAnsi="方正小标宋简体" w:eastAsia="方正小标宋简体"/>
          <w:b/>
          <w:sz w:val="36"/>
        </w:rPr>
        <w:t>文件修订记录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512"/>
        <w:gridCol w:w="1512"/>
        <w:gridCol w:w="1512"/>
        <w:gridCol w:w="1512"/>
        <w:gridCol w:w="1512"/>
      </w:tblGrid>
      <w:tr w14:paraId="695C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Align w:val="center"/>
          </w:tcPr>
          <w:p w14:paraId="502AE66A">
            <w:pPr>
              <w:spacing w:before="0" w:after="0" w:line="288" w:lineRule="auto"/>
              <w:jc w:val="center"/>
            </w:pPr>
            <w:r>
              <w:rPr>
                <w:rFonts w:ascii="仿宋_GB2312" w:hAnsi="仿宋_GB2312" w:eastAsia="仿宋_GB2312"/>
                <w:b/>
                <w:sz w:val="21"/>
              </w:rPr>
              <w:t>序号</w:t>
            </w:r>
          </w:p>
        </w:tc>
        <w:tc>
          <w:tcPr>
            <w:tcW w:w="1020" w:type="dxa"/>
            <w:vAlign w:val="center"/>
          </w:tcPr>
          <w:p w14:paraId="39968ABE">
            <w:pPr>
              <w:spacing w:before="0" w:after="0" w:line="288" w:lineRule="auto"/>
              <w:jc w:val="center"/>
            </w:pPr>
            <w:r>
              <w:rPr>
                <w:rFonts w:ascii="仿宋_GB2312" w:hAnsi="仿宋_GB2312" w:eastAsia="仿宋_GB2312"/>
                <w:b/>
                <w:sz w:val="21"/>
              </w:rPr>
              <w:t>版本</w:t>
            </w:r>
          </w:p>
        </w:tc>
        <w:tc>
          <w:tcPr>
            <w:tcW w:w="1701" w:type="dxa"/>
            <w:vAlign w:val="center"/>
          </w:tcPr>
          <w:p w14:paraId="4F678E77">
            <w:pPr>
              <w:spacing w:before="0" w:after="0" w:line="288" w:lineRule="auto"/>
              <w:jc w:val="center"/>
            </w:pPr>
            <w:r>
              <w:rPr>
                <w:rFonts w:ascii="仿宋_GB2312" w:hAnsi="仿宋_GB2312" w:eastAsia="仿宋_GB2312"/>
                <w:b/>
                <w:sz w:val="21"/>
              </w:rPr>
              <w:t>修订日期</w:t>
            </w:r>
          </w:p>
        </w:tc>
        <w:tc>
          <w:tcPr>
            <w:tcW w:w="3685" w:type="dxa"/>
            <w:vAlign w:val="center"/>
          </w:tcPr>
          <w:p w14:paraId="10BB87AC">
            <w:pPr>
              <w:spacing w:before="0" w:after="0" w:line="288" w:lineRule="auto"/>
              <w:jc w:val="center"/>
            </w:pPr>
            <w:r>
              <w:rPr>
                <w:rFonts w:ascii="仿宋_GB2312" w:hAnsi="仿宋_GB2312" w:eastAsia="仿宋_GB2312"/>
                <w:b/>
                <w:sz w:val="21"/>
              </w:rPr>
              <w:t>修订内容摘要</w:t>
            </w:r>
          </w:p>
        </w:tc>
        <w:tc>
          <w:tcPr>
            <w:tcW w:w="1247" w:type="dxa"/>
            <w:vAlign w:val="center"/>
          </w:tcPr>
          <w:p w14:paraId="46286EC9">
            <w:pPr>
              <w:spacing w:before="0" w:after="0" w:line="288" w:lineRule="auto"/>
              <w:jc w:val="center"/>
            </w:pPr>
            <w:r>
              <w:rPr>
                <w:rFonts w:ascii="仿宋_GB2312" w:hAnsi="仿宋_GB2312" w:eastAsia="仿宋_GB2312"/>
                <w:b/>
                <w:sz w:val="21"/>
              </w:rPr>
              <w:t>修订人</w:t>
            </w:r>
          </w:p>
        </w:tc>
        <w:tc>
          <w:tcPr>
            <w:tcW w:w="1247" w:type="dxa"/>
            <w:vAlign w:val="center"/>
          </w:tcPr>
          <w:p w14:paraId="48365B3D">
            <w:pPr>
              <w:spacing w:before="0" w:after="0" w:line="288" w:lineRule="auto"/>
              <w:jc w:val="center"/>
            </w:pPr>
            <w:r>
              <w:rPr>
                <w:rFonts w:ascii="仿宋_GB2312" w:hAnsi="仿宋_GB2312" w:eastAsia="仿宋_GB2312"/>
                <w:b/>
                <w:sz w:val="21"/>
              </w:rPr>
              <w:t>批准人</w:t>
            </w:r>
          </w:p>
        </w:tc>
      </w:tr>
      <w:tr w14:paraId="4C2E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737" w:type="dxa"/>
            <w:vAlign w:val="center"/>
          </w:tcPr>
          <w:p w14:paraId="3985B15B">
            <w:pPr>
              <w:spacing w:before="0" w:after="0" w:line="288" w:lineRule="auto"/>
              <w:jc w:val="center"/>
            </w:pPr>
            <w:r>
              <w:rPr>
                <w:rFonts w:ascii="仿宋_GB2312" w:hAnsi="仿宋_GB2312" w:eastAsia="仿宋_GB2312"/>
                <w:b w:val="0"/>
                <w:sz w:val="21"/>
              </w:rPr>
              <w:t>1</w:t>
            </w:r>
          </w:p>
        </w:tc>
        <w:tc>
          <w:tcPr>
            <w:tcW w:w="1020" w:type="dxa"/>
            <w:vAlign w:val="center"/>
          </w:tcPr>
          <w:p w14:paraId="190932E5">
            <w:pPr>
              <w:spacing w:before="0" w:after="0" w:line="288" w:lineRule="auto"/>
              <w:jc w:val="center"/>
            </w:pPr>
            <w:r>
              <w:rPr>
                <w:rFonts w:ascii="仿宋_GB2312" w:hAnsi="仿宋_GB2312" w:eastAsia="仿宋_GB2312"/>
                <w:b w:val="0"/>
                <w:sz w:val="21"/>
              </w:rPr>
              <w:t>A/0</w:t>
            </w:r>
          </w:p>
        </w:tc>
        <w:tc>
          <w:tcPr>
            <w:tcW w:w="1701" w:type="dxa"/>
            <w:vAlign w:val="center"/>
          </w:tcPr>
          <w:p w14:paraId="0A562A01">
            <w:pPr>
              <w:spacing w:before="0" w:after="0" w:line="288" w:lineRule="auto"/>
              <w:jc w:val="center"/>
            </w:pPr>
            <w:r>
              <w:rPr>
                <w:rFonts w:ascii="仿宋_GB2312" w:hAnsi="仿宋_GB2312" w:eastAsia="仿宋_GB2312"/>
                <w:b w:val="0"/>
                <w:sz w:val="21"/>
              </w:rPr>
              <w:t>2026年  月  日</w:t>
            </w:r>
          </w:p>
        </w:tc>
        <w:tc>
          <w:tcPr>
            <w:tcW w:w="3685" w:type="dxa"/>
            <w:vAlign w:val="center"/>
          </w:tcPr>
          <w:p w14:paraId="47028FC0">
            <w:pPr>
              <w:spacing w:before="0" w:after="0" w:line="288" w:lineRule="auto"/>
              <w:jc w:val="center"/>
            </w:pPr>
            <w:r>
              <w:rPr>
                <w:rFonts w:ascii="仿宋_GB2312" w:hAnsi="仿宋_GB2312" w:eastAsia="仿宋_GB2312"/>
                <w:b w:val="0"/>
                <w:sz w:val="21"/>
              </w:rPr>
              <w:t>首次发布</w:t>
            </w:r>
          </w:p>
        </w:tc>
        <w:tc>
          <w:tcPr>
            <w:tcW w:w="1247" w:type="dxa"/>
            <w:vAlign w:val="center"/>
          </w:tcPr>
          <w:p w14:paraId="7A1CBC5F">
            <w:pPr>
              <w:spacing w:before="0" w:after="0" w:line="288" w:lineRule="auto"/>
              <w:jc w:val="center"/>
            </w:pPr>
          </w:p>
        </w:tc>
        <w:tc>
          <w:tcPr>
            <w:tcW w:w="1247" w:type="dxa"/>
            <w:vAlign w:val="center"/>
          </w:tcPr>
          <w:p w14:paraId="066C93EF">
            <w:pPr>
              <w:spacing w:before="0" w:after="0" w:line="288" w:lineRule="auto"/>
              <w:jc w:val="center"/>
            </w:pPr>
          </w:p>
        </w:tc>
      </w:tr>
      <w:tr w14:paraId="6558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737" w:type="dxa"/>
            <w:vAlign w:val="center"/>
          </w:tcPr>
          <w:p w14:paraId="01561B06">
            <w:pPr>
              <w:spacing w:before="0" w:after="0" w:line="288" w:lineRule="auto"/>
              <w:jc w:val="center"/>
            </w:pPr>
            <w:r>
              <w:rPr>
                <w:rFonts w:ascii="仿宋_GB2312" w:hAnsi="仿宋_GB2312" w:eastAsia="仿宋_GB2312"/>
                <w:b w:val="0"/>
                <w:sz w:val="21"/>
              </w:rPr>
              <w:t>2</w:t>
            </w:r>
          </w:p>
        </w:tc>
        <w:tc>
          <w:tcPr>
            <w:tcW w:w="1020" w:type="dxa"/>
            <w:vAlign w:val="center"/>
          </w:tcPr>
          <w:p w14:paraId="2FC88013">
            <w:pPr>
              <w:spacing w:before="0" w:after="0" w:line="288" w:lineRule="auto"/>
              <w:jc w:val="center"/>
            </w:pPr>
          </w:p>
        </w:tc>
        <w:tc>
          <w:tcPr>
            <w:tcW w:w="1701" w:type="dxa"/>
            <w:vAlign w:val="center"/>
          </w:tcPr>
          <w:p w14:paraId="4BE43863">
            <w:pPr>
              <w:spacing w:before="0" w:after="0" w:line="288" w:lineRule="auto"/>
              <w:jc w:val="center"/>
            </w:pPr>
          </w:p>
        </w:tc>
        <w:tc>
          <w:tcPr>
            <w:tcW w:w="3685" w:type="dxa"/>
            <w:vAlign w:val="center"/>
          </w:tcPr>
          <w:p w14:paraId="579BFE3B">
            <w:pPr>
              <w:spacing w:before="0" w:after="0" w:line="288" w:lineRule="auto"/>
              <w:jc w:val="center"/>
            </w:pPr>
          </w:p>
        </w:tc>
        <w:tc>
          <w:tcPr>
            <w:tcW w:w="1247" w:type="dxa"/>
            <w:vAlign w:val="center"/>
          </w:tcPr>
          <w:p w14:paraId="6DC6C711">
            <w:pPr>
              <w:spacing w:before="0" w:after="0" w:line="288" w:lineRule="auto"/>
              <w:jc w:val="center"/>
            </w:pPr>
          </w:p>
        </w:tc>
        <w:tc>
          <w:tcPr>
            <w:tcW w:w="1247" w:type="dxa"/>
            <w:vAlign w:val="center"/>
          </w:tcPr>
          <w:p w14:paraId="0102FFA2">
            <w:pPr>
              <w:spacing w:before="0" w:after="0" w:line="288" w:lineRule="auto"/>
              <w:jc w:val="center"/>
            </w:pPr>
          </w:p>
        </w:tc>
      </w:tr>
      <w:tr w14:paraId="7FAD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737" w:type="dxa"/>
            <w:vAlign w:val="center"/>
          </w:tcPr>
          <w:p w14:paraId="28E43A1D">
            <w:pPr>
              <w:spacing w:before="0" w:after="0" w:line="288" w:lineRule="auto"/>
              <w:jc w:val="center"/>
            </w:pPr>
            <w:r>
              <w:rPr>
                <w:rFonts w:ascii="仿宋_GB2312" w:hAnsi="仿宋_GB2312" w:eastAsia="仿宋_GB2312"/>
                <w:b w:val="0"/>
                <w:sz w:val="21"/>
              </w:rPr>
              <w:t>3</w:t>
            </w:r>
          </w:p>
        </w:tc>
        <w:tc>
          <w:tcPr>
            <w:tcW w:w="1020" w:type="dxa"/>
            <w:vAlign w:val="center"/>
          </w:tcPr>
          <w:p w14:paraId="4332B41B">
            <w:pPr>
              <w:spacing w:before="0" w:after="0" w:line="288" w:lineRule="auto"/>
              <w:jc w:val="center"/>
            </w:pPr>
          </w:p>
        </w:tc>
        <w:tc>
          <w:tcPr>
            <w:tcW w:w="1701" w:type="dxa"/>
            <w:vAlign w:val="center"/>
          </w:tcPr>
          <w:p w14:paraId="694BC60D">
            <w:pPr>
              <w:spacing w:before="0" w:after="0" w:line="288" w:lineRule="auto"/>
              <w:jc w:val="center"/>
            </w:pPr>
          </w:p>
        </w:tc>
        <w:tc>
          <w:tcPr>
            <w:tcW w:w="3685" w:type="dxa"/>
            <w:vAlign w:val="center"/>
          </w:tcPr>
          <w:p w14:paraId="79CE5939">
            <w:pPr>
              <w:spacing w:before="0" w:after="0" w:line="288" w:lineRule="auto"/>
              <w:jc w:val="center"/>
            </w:pPr>
          </w:p>
        </w:tc>
        <w:tc>
          <w:tcPr>
            <w:tcW w:w="1247" w:type="dxa"/>
            <w:vAlign w:val="center"/>
          </w:tcPr>
          <w:p w14:paraId="5AAA45E0">
            <w:pPr>
              <w:spacing w:before="0" w:after="0" w:line="288" w:lineRule="auto"/>
              <w:jc w:val="center"/>
            </w:pPr>
          </w:p>
        </w:tc>
        <w:tc>
          <w:tcPr>
            <w:tcW w:w="1247" w:type="dxa"/>
            <w:vAlign w:val="center"/>
          </w:tcPr>
          <w:p w14:paraId="7B6C8E2B">
            <w:pPr>
              <w:spacing w:before="0" w:after="0" w:line="288" w:lineRule="auto"/>
              <w:jc w:val="center"/>
            </w:pPr>
          </w:p>
        </w:tc>
      </w:tr>
      <w:tr w14:paraId="5011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737" w:type="dxa"/>
            <w:vAlign w:val="center"/>
          </w:tcPr>
          <w:p w14:paraId="742F5115">
            <w:pPr>
              <w:spacing w:before="0" w:after="0" w:line="288" w:lineRule="auto"/>
              <w:jc w:val="center"/>
            </w:pPr>
            <w:r>
              <w:rPr>
                <w:rFonts w:ascii="仿宋_GB2312" w:hAnsi="仿宋_GB2312" w:eastAsia="仿宋_GB2312"/>
                <w:b w:val="0"/>
                <w:sz w:val="21"/>
              </w:rPr>
              <w:t>4</w:t>
            </w:r>
          </w:p>
        </w:tc>
        <w:tc>
          <w:tcPr>
            <w:tcW w:w="1020" w:type="dxa"/>
            <w:vAlign w:val="center"/>
          </w:tcPr>
          <w:p w14:paraId="27FD24EA">
            <w:pPr>
              <w:spacing w:before="0" w:after="0" w:line="288" w:lineRule="auto"/>
              <w:jc w:val="center"/>
            </w:pPr>
          </w:p>
        </w:tc>
        <w:tc>
          <w:tcPr>
            <w:tcW w:w="1701" w:type="dxa"/>
            <w:vAlign w:val="center"/>
          </w:tcPr>
          <w:p w14:paraId="7171E22D">
            <w:pPr>
              <w:spacing w:before="0" w:after="0" w:line="288" w:lineRule="auto"/>
              <w:jc w:val="center"/>
            </w:pPr>
          </w:p>
        </w:tc>
        <w:tc>
          <w:tcPr>
            <w:tcW w:w="3685" w:type="dxa"/>
            <w:vAlign w:val="center"/>
          </w:tcPr>
          <w:p w14:paraId="5A4F4268">
            <w:pPr>
              <w:spacing w:before="0" w:after="0" w:line="288" w:lineRule="auto"/>
              <w:jc w:val="center"/>
            </w:pPr>
          </w:p>
        </w:tc>
        <w:tc>
          <w:tcPr>
            <w:tcW w:w="1247" w:type="dxa"/>
            <w:vAlign w:val="center"/>
          </w:tcPr>
          <w:p w14:paraId="29918A34">
            <w:pPr>
              <w:spacing w:before="0" w:after="0" w:line="288" w:lineRule="auto"/>
              <w:jc w:val="center"/>
            </w:pPr>
          </w:p>
        </w:tc>
        <w:tc>
          <w:tcPr>
            <w:tcW w:w="1247" w:type="dxa"/>
            <w:vAlign w:val="center"/>
          </w:tcPr>
          <w:p w14:paraId="7F211931">
            <w:pPr>
              <w:spacing w:before="0" w:after="0" w:line="288" w:lineRule="auto"/>
              <w:jc w:val="center"/>
            </w:pPr>
          </w:p>
        </w:tc>
      </w:tr>
    </w:tbl>
    <w:p w14:paraId="4406C4B5">
      <w:r>
        <w:br w:type="page"/>
      </w:r>
    </w:p>
    <w:p w14:paraId="681E717F">
      <w:pPr>
        <w:spacing w:before="160" w:after="320"/>
        <w:jc w:val="center"/>
      </w:pPr>
      <w:r>
        <w:rPr>
          <w:rFonts w:ascii="方正小标宋简体" w:hAnsi="方正小标宋简体" w:eastAsia="方正小标宋简体"/>
          <w:b/>
          <w:sz w:val="36"/>
        </w:rPr>
        <w:t>目  录</w:t>
      </w:r>
    </w:p>
    <w:p w14:paraId="44662A3D">
      <w:pPr>
        <w:tabs>
          <w:tab w:val="right" w:leader="dot" w:pos="9071"/>
        </w:tabs>
        <w:spacing w:before="0" w:after="0" w:line="360" w:lineRule="auto"/>
      </w:pPr>
      <w:r>
        <w:rPr>
          <w:rFonts w:ascii="仿宋_GB2312" w:hAnsi="仿宋_GB2312" w:eastAsia="仿宋_GB2312"/>
          <w:sz w:val="24"/>
        </w:rPr>
        <w:t>编制说明</w:t>
      </w:r>
      <w:r>
        <w:rPr>
          <w:rFonts w:ascii="仿宋_GB2312" w:hAnsi="仿宋_GB2312" w:eastAsia="仿宋_GB2312"/>
          <w:sz w:val="24"/>
        </w:rPr>
        <w:tab/>
      </w:r>
      <w:r>
        <w:rPr>
          <w:rFonts w:ascii="仿宋_GB2312" w:hAnsi="仿宋_GB2312" w:eastAsia="仿宋_GB2312"/>
          <w:sz w:val="24"/>
        </w:rPr>
        <w:t>4</w:t>
      </w:r>
    </w:p>
    <w:p w14:paraId="13680353">
      <w:pPr>
        <w:tabs>
          <w:tab w:val="right" w:leader="dot" w:pos="9071"/>
        </w:tabs>
        <w:spacing w:before="0" w:after="0" w:line="360" w:lineRule="auto"/>
      </w:pPr>
      <w:r>
        <w:rPr>
          <w:rFonts w:ascii="仿宋_GB2312" w:hAnsi="仿宋_GB2312" w:eastAsia="仿宋_GB2312"/>
          <w:sz w:val="24"/>
        </w:rPr>
        <w:t>第一章  总则与全员安全责任</w:t>
      </w:r>
      <w:r>
        <w:rPr>
          <w:rFonts w:ascii="仿宋_GB2312" w:hAnsi="仿宋_GB2312" w:eastAsia="仿宋_GB2312"/>
          <w:sz w:val="24"/>
        </w:rPr>
        <w:tab/>
      </w:r>
      <w:r>
        <w:rPr>
          <w:rFonts w:ascii="仿宋_GB2312" w:hAnsi="仿宋_GB2312" w:eastAsia="仿宋_GB2312"/>
          <w:sz w:val="24"/>
        </w:rPr>
        <w:t>5</w:t>
      </w:r>
    </w:p>
    <w:p w14:paraId="0458C6BC">
      <w:pPr>
        <w:tabs>
          <w:tab w:val="right" w:leader="dot" w:pos="9071"/>
        </w:tabs>
        <w:spacing w:before="0" w:after="0" w:line="360" w:lineRule="auto"/>
      </w:pPr>
      <w:r>
        <w:rPr>
          <w:rFonts w:ascii="仿宋_GB2312" w:hAnsi="仿宋_GB2312" w:eastAsia="仿宋_GB2312"/>
          <w:sz w:val="24"/>
        </w:rPr>
        <w:t>第二章  精细化工企业危险特性与主要风险</w:t>
      </w:r>
      <w:r>
        <w:rPr>
          <w:rFonts w:ascii="仿宋_GB2312" w:hAnsi="仿宋_GB2312" w:eastAsia="仿宋_GB2312"/>
          <w:sz w:val="24"/>
        </w:rPr>
        <w:tab/>
      </w:r>
      <w:r>
        <w:rPr>
          <w:rFonts w:ascii="仿宋_GB2312" w:hAnsi="仿宋_GB2312" w:eastAsia="仿宋_GB2312"/>
          <w:sz w:val="24"/>
        </w:rPr>
        <w:t>7</w:t>
      </w:r>
    </w:p>
    <w:p w14:paraId="63FC1E1E">
      <w:pPr>
        <w:tabs>
          <w:tab w:val="right" w:leader="dot" w:pos="9071"/>
        </w:tabs>
        <w:spacing w:before="0" w:after="0" w:line="360" w:lineRule="auto"/>
      </w:pPr>
      <w:r>
        <w:rPr>
          <w:rFonts w:ascii="仿宋_GB2312" w:hAnsi="仿宋_GB2312" w:eastAsia="仿宋_GB2312"/>
          <w:sz w:val="24"/>
        </w:rPr>
        <w:t>第三章  全员基本安全纪律与行为红线</w:t>
      </w:r>
      <w:r>
        <w:rPr>
          <w:rFonts w:ascii="仿宋_GB2312" w:hAnsi="仿宋_GB2312" w:eastAsia="仿宋_GB2312"/>
          <w:sz w:val="24"/>
        </w:rPr>
        <w:tab/>
      </w:r>
      <w:r>
        <w:rPr>
          <w:rFonts w:ascii="仿宋_GB2312" w:hAnsi="仿宋_GB2312" w:eastAsia="仿宋_GB2312"/>
          <w:sz w:val="24"/>
        </w:rPr>
        <w:t>9</w:t>
      </w:r>
    </w:p>
    <w:p w14:paraId="48F480D2">
      <w:pPr>
        <w:tabs>
          <w:tab w:val="right" w:leader="dot" w:pos="9071"/>
        </w:tabs>
        <w:spacing w:before="0" w:after="0" w:line="360" w:lineRule="auto"/>
      </w:pPr>
      <w:r>
        <w:rPr>
          <w:rFonts w:ascii="仿宋_GB2312" w:hAnsi="仿宋_GB2312" w:eastAsia="仿宋_GB2312"/>
          <w:sz w:val="24"/>
        </w:rPr>
        <w:t>第四章  工艺安全与岗位操作控制</w:t>
      </w:r>
      <w:r>
        <w:rPr>
          <w:rFonts w:ascii="仿宋_GB2312" w:hAnsi="仿宋_GB2312" w:eastAsia="仿宋_GB2312"/>
          <w:sz w:val="24"/>
        </w:rPr>
        <w:tab/>
      </w:r>
      <w:r>
        <w:rPr>
          <w:rFonts w:ascii="仿宋_GB2312" w:hAnsi="仿宋_GB2312" w:eastAsia="仿宋_GB2312"/>
          <w:sz w:val="24"/>
        </w:rPr>
        <w:t>11</w:t>
      </w:r>
    </w:p>
    <w:p w14:paraId="57D6BA39">
      <w:pPr>
        <w:tabs>
          <w:tab w:val="right" w:leader="dot" w:pos="9071"/>
        </w:tabs>
        <w:spacing w:before="0" w:after="0" w:line="360" w:lineRule="auto"/>
      </w:pPr>
      <w:r>
        <w:rPr>
          <w:rFonts w:ascii="仿宋_GB2312" w:hAnsi="仿宋_GB2312" w:eastAsia="仿宋_GB2312"/>
          <w:sz w:val="24"/>
        </w:rPr>
        <w:t>第五章  反应安全与投料控制</w:t>
      </w:r>
      <w:r>
        <w:rPr>
          <w:rFonts w:ascii="仿宋_GB2312" w:hAnsi="仿宋_GB2312" w:eastAsia="仿宋_GB2312"/>
          <w:sz w:val="24"/>
        </w:rPr>
        <w:tab/>
      </w:r>
      <w:r>
        <w:rPr>
          <w:rFonts w:ascii="仿宋_GB2312" w:hAnsi="仿宋_GB2312" w:eastAsia="仿宋_GB2312"/>
          <w:sz w:val="24"/>
        </w:rPr>
        <w:t>13</w:t>
      </w:r>
    </w:p>
    <w:p w14:paraId="344B5FCD">
      <w:pPr>
        <w:tabs>
          <w:tab w:val="right" w:leader="dot" w:pos="9071"/>
        </w:tabs>
        <w:spacing w:before="0" w:after="0" w:line="360" w:lineRule="auto"/>
      </w:pPr>
      <w:r>
        <w:rPr>
          <w:rFonts w:ascii="仿宋_GB2312" w:hAnsi="仿宋_GB2312" w:eastAsia="仿宋_GB2312"/>
          <w:sz w:val="24"/>
        </w:rPr>
        <w:t>第六章  危险化学品接收、储存、使用与装卸</w:t>
      </w:r>
      <w:r>
        <w:rPr>
          <w:rFonts w:ascii="仿宋_GB2312" w:hAnsi="仿宋_GB2312" w:eastAsia="仿宋_GB2312"/>
          <w:sz w:val="24"/>
        </w:rPr>
        <w:tab/>
      </w:r>
      <w:r>
        <w:rPr>
          <w:rFonts w:ascii="仿宋_GB2312" w:hAnsi="仿宋_GB2312" w:eastAsia="仿宋_GB2312"/>
          <w:sz w:val="24"/>
        </w:rPr>
        <w:t>15</w:t>
      </w:r>
    </w:p>
    <w:p w14:paraId="501980E7">
      <w:pPr>
        <w:tabs>
          <w:tab w:val="right" w:leader="dot" w:pos="9071"/>
        </w:tabs>
        <w:spacing w:before="0" w:after="0" w:line="360" w:lineRule="auto"/>
      </w:pPr>
      <w:r>
        <w:rPr>
          <w:rFonts w:ascii="仿宋_GB2312" w:hAnsi="仿宋_GB2312" w:eastAsia="仿宋_GB2312"/>
          <w:sz w:val="24"/>
        </w:rPr>
        <w:t>第七章  设备设施、压力容器与安全附件</w:t>
      </w:r>
      <w:r>
        <w:rPr>
          <w:rFonts w:ascii="仿宋_GB2312" w:hAnsi="仿宋_GB2312" w:eastAsia="仿宋_GB2312"/>
          <w:sz w:val="24"/>
        </w:rPr>
        <w:tab/>
      </w:r>
      <w:r>
        <w:rPr>
          <w:rFonts w:ascii="仿宋_GB2312" w:hAnsi="仿宋_GB2312" w:eastAsia="仿宋_GB2312"/>
          <w:sz w:val="24"/>
        </w:rPr>
        <w:t>17</w:t>
      </w:r>
    </w:p>
    <w:p w14:paraId="638DE882">
      <w:pPr>
        <w:tabs>
          <w:tab w:val="right" w:leader="dot" w:pos="9071"/>
        </w:tabs>
        <w:spacing w:before="0" w:after="0" w:line="360" w:lineRule="auto"/>
      </w:pPr>
      <w:r>
        <w:rPr>
          <w:rFonts w:ascii="仿宋_GB2312" w:hAnsi="仿宋_GB2312" w:eastAsia="仿宋_GB2312"/>
          <w:sz w:val="24"/>
        </w:rPr>
        <w:t>第八章  电气、防雷、防静电与防爆安全</w:t>
      </w:r>
      <w:r>
        <w:rPr>
          <w:rFonts w:ascii="仿宋_GB2312" w:hAnsi="仿宋_GB2312" w:eastAsia="仿宋_GB2312"/>
          <w:sz w:val="24"/>
        </w:rPr>
        <w:tab/>
      </w:r>
      <w:r>
        <w:rPr>
          <w:rFonts w:ascii="仿宋_GB2312" w:hAnsi="仿宋_GB2312" w:eastAsia="仿宋_GB2312"/>
          <w:sz w:val="24"/>
        </w:rPr>
        <w:t>18</w:t>
      </w:r>
    </w:p>
    <w:p w14:paraId="7AE85503">
      <w:pPr>
        <w:tabs>
          <w:tab w:val="right" w:leader="dot" w:pos="9071"/>
        </w:tabs>
        <w:spacing w:before="0" w:after="0" w:line="360" w:lineRule="auto"/>
      </w:pPr>
      <w:r>
        <w:rPr>
          <w:rFonts w:ascii="仿宋_GB2312" w:hAnsi="仿宋_GB2312" w:eastAsia="仿宋_GB2312"/>
          <w:sz w:val="24"/>
        </w:rPr>
        <w:t>第九章  特殊作业安全</w:t>
      </w:r>
      <w:r>
        <w:rPr>
          <w:rFonts w:ascii="仿宋_GB2312" w:hAnsi="仿宋_GB2312" w:eastAsia="仿宋_GB2312"/>
          <w:sz w:val="24"/>
        </w:rPr>
        <w:tab/>
      </w:r>
      <w:r>
        <w:rPr>
          <w:rFonts w:ascii="仿宋_GB2312" w:hAnsi="仿宋_GB2312" w:eastAsia="仿宋_GB2312"/>
          <w:sz w:val="24"/>
        </w:rPr>
        <w:t>19</w:t>
      </w:r>
    </w:p>
    <w:p w14:paraId="240304A2">
      <w:pPr>
        <w:tabs>
          <w:tab w:val="right" w:leader="dot" w:pos="9071"/>
        </w:tabs>
        <w:spacing w:before="0" w:after="0" w:line="360" w:lineRule="auto"/>
      </w:pPr>
      <w:r>
        <w:rPr>
          <w:rFonts w:ascii="仿宋_GB2312" w:hAnsi="仿宋_GB2312" w:eastAsia="仿宋_GB2312"/>
          <w:sz w:val="24"/>
        </w:rPr>
        <w:t>第十章  开停车、检维修与能量隔离</w:t>
      </w:r>
      <w:r>
        <w:rPr>
          <w:rFonts w:ascii="仿宋_GB2312" w:hAnsi="仿宋_GB2312" w:eastAsia="仿宋_GB2312"/>
          <w:sz w:val="24"/>
        </w:rPr>
        <w:tab/>
      </w:r>
      <w:r>
        <w:rPr>
          <w:rFonts w:ascii="仿宋_GB2312" w:hAnsi="仿宋_GB2312" w:eastAsia="仿宋_GB2312"/>
          <w:sz w:val="24"/>
        </w:rPr>
        <w:t>21</w:t>
      </w:r>
    </w:p>
    <w:p w14:paraId="531B96CC">
      <w:pPr>
        <w:tabs>
          <w:tab w:val="right" w:leader="dot" w:pos="9071"/>
        </w:tabs>
        <w:spacing w:before="0" w:after="0" w:line="360" w:lineRule="auto"/>
      </w:pPr>
      <w:r>
        <w:rPr>
          <w:rFonts w:ascii="仿宋_GB2312" w:hAnsi="仿宋_GB2312" w:eastAsia="仿宋_GB2312"/>
          <w:sz w:val="24"/>
        </w:rPr>
        <w:t>第十一章  重大危险源、关键装置和重点部位</w:t>
      </w:r>
      <w:r>
        <w:rPr>
          <w:rFonts w:ascii="仿宋_GB2312" w:hAnsi="仿宋_GB2312" w:eastAsia="仿宋_GB2312"/>
          <w:sz w:val="24"/>
        </w:rPr>
        <w:tab/>
      </w:r>
      <w:r>
        <w:rPr>
          <w:rFonts w:ascii="仿宋_GB2312" w:hAnsi="仿宋_GB2312" w:eastAsia="仿宋_GB2312"/>
          <w:sz w:val="24"/>
        </w:rPr>
        <w:t>23</w:t>
      </w:r>
    </w:p>
    <w:p w14:paraId="0C720585">
      <w:pPr>
        <w:tabs>
          <w:tab w:val="right" w:leader="dot" w:pos="9071"/>
        </w:tabs>
        <w:spacing w:before="0" w:after="0" w:line="360" w:lineRule="auto"/>
      </w:pPr>
      <w:r>
        <w:rPr>
          <w:rFonts w:ascii="仿宋_GB2312" w:hAnsi="仿宋_GB2312" w:eastAsia="仿宋_GB2312"/>
          <w:sz w:val="24"/>
        </w:rPr>
        <w:t>第十二章  消防安全与初起事故处置</w:t>
      </w:r>
      <w:r>
        <w:rPr>
          <w:rFonts w:ascii="仿宋_GB2312" w:hAnsi="仿宋_GB2312" w:eastAsia="仿宋_GB2312"/>
          <w:sz w:val="24"/>
        </w:rPr>
        <w:tab/>
      </w:r>
      <w:r>
        <w:rPr>
          <w:rFonts w:ascii="仿宋_GB2312" w:hAnsi="仿宋_GB2312" w:eastAsia="仿宋_GB2312"/>
          <w:sz w:val="24"/>
        </w:rPr>
        <w:t>25</w:t>
      </w:r>
    </w:p>
    <w:p w14:paraId="6B794E69">
      <w:pPr>
        <w:tabs>
          <w:tab w:val="right" w:leader="dot" w:pos="9071"/>
        </w:tabs>
        <w:spacing w:before="0" w:after="0" w:line="360" w:lineRule="auto"/>
      </w:pPr>
      <w:r>
        <w:rPr>
          <w:rFonts w:ascii="仿宋_GB2312" w:hAnsi="仿宋_GB2312" w:eastAsia="仿宋_GB2312"/>
          <w:sz w:val="24"/>
        </w:rPr>
        <w:t>第十三章  职业健康与个体防护</w:t>
      </w:r>
      <w:r>
        <w:rPr>
          <w:rFonts w:ascii="仿宋_GB2312" w:hAnsi="仿宋_GB2312" w:eastAsia="仿宋_GB2312"/>
          <w:sz w:val="24"/>
        </w:rPr>
        <w:tab/>
      </w:r>
      <w:r>
        <w:rPr>
          <w:rFonts w:ascii="仿宋_GB2312" w:hAnsi="仿宋_GB2312" w:eastAsia="仿宋_GB2312"/>
          <w:sz w:val="24"/>
        </w:rPr>
        <w:t>26</w:t>
      </w:r>
    </w:p>
    <w:p w14:paraId="6C54BA82">
      <w:pPr>
        <w:tabs>
          <w:tab w:val="right" w:leader="dot" w:pos="9071"/>
        </w:tabs>
        <w:spacing w:before="0" w:after="0" w:line="360" w:lineRule="auto"/>
      </w:pPr>
      <w:r>
        <w:rPr>
          <w:rFonts w:ascii="仿宋_GB2312" w:hAnsi="仿宋_GB2312" w:eastAsia="仿宋_GB2312"/>
          <w:sz w:val="24"/>
        </w:rPr>
        <w:t>第十四章  环境保护、废弃物与异常排放</w:t>
      </w:r>
      <w:r>
        <w:rPr>
          <w:rFonts w:ascii="仿宋_GB2312" w:hAnsi="仿宋_GB2312" w:eastAsia="仿宋_GB2312"/>
          <w:sz w:val="24"/>
        </w:rPr>
        <w:tab/>
      </w:r>
      <w:r>
        <w:rPr>
          <w:rFonts w:ascii="仿宋_GB2312" w:hAnsi="仿宋_GB2312" w:eastAsia="仿宋_GB2312"/>
          <w:sz w:val="24"/>
        </w:rPr>
        <w:t>28</w:t>
      </w:r>
    </w:p>
    <w:p w14:paraId="7124EDA0">
      <w:pPr>
        <w:tabs>
          <w:tab w:val="right" w:leader="dot" w:pos="9071"/>
        </w:tabs>
        <w:spacing w:before="0" w:after="0" w:line="360" w:lineRule="auto"/>
      </w:pPr>
      <w:r>
        <w:rPr>
          <w:rFonts w:ascii="仿宋_GB2312" w:hAnsi="仿宋_GB2312" w:eastAsia="仿宋_GB2312"/>
          <w:sz w:val="24"/>
        </w:rPr>
        <w:t>第十五章  承包商、外来人员、交通与装卸协同</w:t>
      </w:r>
      <w:r>
        <w:rPr>
          <w:rFonts w:ascii="仿宋_GB2312" w:hAnsi="仿宋_GB2312" w:eastAsia="仿宋_GB2312"/>
          <w:sz w:val="24"/>
        </w:rPr>
        <w:tab/>
      </w:r>
      <w:r>
        <w:rPr>
          <w:rFonts w:ascii="仿宋_GB2312" w:hAnsi="仿宋_GB2312" w:eastAsia="仿宋_GB2312"/>
          <w:sz w:val="24"/>
        </w:rPr>
        <w:t>29</w:t>
      </w:r>
    </w:p>
    <w:p w14:paraId="73591026">
      <w:pPr>
        <w:tabs>
          <w:tab w:val="right" w:leader="dot" w:pos="9071"/>
        </w:tabs>
        <w:spacing w:before="0" w:after="0" w:line="360" w:lineRule="auto"/>
      </w:pPr>
      <w:r>
        <w:rPr>
          <w:rFonts w:ascii="仿宋_GB2312" w:hAnsi="仿宋_GB2312" w:eastAsia="仿宋_GB2312"/>
          <w:sz w:val="24"/>
        </w:rPr>
        <w:t>第十六章  隐患排查、事故报告与应急管理</w:t>
      </w:r>
      <w:r>
        <w:rPr>
          <w:rFonts w:ascii="仿宋_GB2312" w:hAnsi="仿宋_GB2312" w:eastAsia="仿宋_GB2312"/>
          <w:sz w:val="24"/>
        </w:rPr>
        <w:tab/>
      </w:r>
      <w:r>
        <w:rPr>
          <w:rFonts w:ascii="仿宋_GB2312" w:hAnsi="仿宋_GB2312" w:eastAsia="仿宋_GB2312"/>
          <w:sz w:val="24"/>
        </w:rPr>
        <w:t>30</w:t>
      </w:r>
    </w:p>
    <w:p w14:paraId="117102BA">
      <w:pPr>
        <w:tabs>
          <w:tab w:val="right" w:leader="dot" w:pos="9071"/>
        </w:tabs>
        <w:spacing w:before="0" w:after="0" w:line="360" w:lineRule="auto"/>
      </w:pPr>
      <w:r>
        <w:rPr>
          <w:rFonts w:ascii="仿宋_GB2312" w:hAnsi="仿宋_GB2312" w:eastAsia="仿宋_GB2312"/>
          <w:sz w:val="24"/>
        </w:rPr>
        <w:t>第十七章  分岗位应知应会要求</w:t>
      </w:r>
      <w:r>
        <w:rPr>
          <w:rFonts w:ascii="仿宋_GB2312" w:hAnsi="仿宋_GB2312" w:eastAsia="仿宋_GB2312"/>
          <w:sz w:val="24"/>
        </w:rPr>
        <w:tab/>
      </w:r>
      <w:r>
        <w:rPr>
          <w:rFonts w:ascii="仿宋_GB2312" w:hAnsi="仿宋_GB2312" w:eastAsia="仿宋_GB2312"/>
          <w:sz w:val="24"/>
        </w:rPr>
        <w:t>32</w:t>
      </w:r>
    </w:p>
    <w:p w14:paraId="2F3D084F">
      <w:pPr>
        <w:tabs>
          <w:tab w:val="right" w:leader="dot" w:pos="9071"/>
        </w:tabs>
        <w:spacing w:before="0" w:after="0" w:line="360" w:lineRule="auto"/>
      </w:pPr>
      <w:r>
        <w:rPr>
          <w:rFonts w:ascii="仿宋_GB2312" w:hAnsi="仿宋_GB2312" w:eastAsia="仿宋_GB2312"/>
          <w:sz w:val="24"/>
        </w:rPr>
        <w:t>附录一  全员安全生产行为红线清单</w:t>
      </w:r>
      <w:r>
        <w:rPr>
          <w:rFonts w:ascii="仿宋_GB2312" w:hAnsi="仿宋_GB2312" w:eastAsia="仿宋_GB2312"/>
          <w:sz w:val="24"/>
        </w:rPr>
        <w:tab/>
      </w:r>
      <w:r>
        <w:rPr>
          <w:rFonts w:ascii="仿宋_GB2312" w:hAnsi="仿宋_GB2312" w:eastAsia="仿宋_GB2312"/>
          <w:sz w:val="24"/>
        </w:rPr>
        <w:t>34</w:t>
      </w:r>
    </w:p>
    <w:p w14:paraId="31FA3AA5">
      <w:pPr>
        <w:tabs>
          <w:tab w:val="right" w:leader="dot" w:pos="9071"/>
        </w:tabs>
        <w:spacing w:before="0" w:after="0" w:line="360" w:lineRule="auto"/>
      </w:pPr>
      <w:r>
        <w:rPr>
          <w:rFonts w:ascii="仿宋_GB2312" w:hAnsi="仿宋_GB2312" w:eastAsia="仿宋_GB2312"/>
          <w:sz w:val="24"/>
        </w:rPr>
        <w:t>附录二  主要负责人和管理人员应知应会清单</w:t>
      </w:r>
      <w:r>
        <w:rPr>
          <w:rFonts w:ascii="仿宋_GB2312" w:hAnsi="仿宋_GB2312" w:eastAsia="仿宋_GB2312"/>
          <w:sz w:val="24"/>
        </w:rPr>
        <w:tab/>
      </w:r>
      <w:r>
        <w:rPr>
          <w:rFonts w:ascii="仿宋_GB2312" w:hAnsi="仿宋_GB2312" w:eastAsia="仿宋_GB2312"/>
          <w:sz w:val="24"/>
        </w:rPr>
        <w:t>35</w:t>
      </w:r>
    </w:p>
    <w:p w14:paraId="6557FFB7">
      <w:pPr>
        <w:tabs>
          <w:tab w:val="right" w:leader="dot" w:pos="9071"/>
        </w:tabs>
        <w:spacing w:before="0" w:after="0" w:line="360" w:lineRule="auto"/>
      </w:pPr>
      <w:r>
        <w:rPr>
          <w:rFonts w:ascii="仿宋_GB2312" w:hAnsi="仿宋_GB2312" w:eastAsia="仿宋_GB2312"/>
          <w:sz w:val="24"/>
        </w:rPr>
        <w:t>附录三  生产操作岗位应知应会清单</w:t>
      </w:r>
      <w:r>
        <w:rPr>
          <w:rFonts w:ascii="仿宋_GB2312" w:hAnsi="仿宋_GB2312" w:eastAsia="仿宋_GB2312"/>
          <w:sz w:val="24"/>
        </w:rPr>
        <w:tab/>
      </w:r>
      <w:r>
        <w:rPr>
          <w:rFonts w:ascii="仿宋_GB2312" w:hAnsi="仿宋_GB2312" w:eastAsia="仿宋_GB2312"/>
          <w:sz w:val="24"/>
        </w:rPr>
        <w:t>36</w:t>
      </w:r>
    </w:p>
    <w:p w14:paraId="24A5D29F">
      <w:pPr>
        <w:tabs>
          <w:tab w:val="right" w:leader="dot" w:pos="9071"/>
        </w:tabs>
        <w:spacing w:before="0" w:after="0" w:line="360" w:lineRule="auto"/>
      </w:pPr>
      <w:r>
        <w:rPr>
          <w:rFonts w:ascii="仿宋_GB2312" w:hAnsi="仿宋_GB2312" w:eastAsia="仿宋_GB2312"/>
          <w:sz w:val="24"/>
        </w:rPr>
        <w:t>附录四  仓储、罐区和装卸岗位应知应会清单</w:t>
      </w:r>
      <w:r>
        <w:rPr>
          <w:rFonts w:ascii="仿宋_GB2312" w:hAnsi="仿宋_GB2312" w:eastAsia="仿宋_GB2312"/>
          <w:sz w:val="24"/>
        </w:rPr>
        <w:tab/>
      </w:r>
      <w:r>
        <w:rPr>
          <w:rFonts w:ascii="仿宋_GB2312" w:hAnsi="仿宋_GB2312" w:eastAsia="仿宋_GB2312"/>
          <w:sz w:val="24"/>
        </w:rPr>
        <w:t>37</w:t>
      </w:r>
    </w:p>
    <w:p w14:paraId="35333308">
      <w:pPr>
        <w:tabs>
          <w:tab w:val="right" w:leader="dot" w:pos="9071"/>
        </w:tabs>
        <w:spacing w:before="0" w:after="0" w:line="360" w:lineRule="auto"/>
      </w:pPr>
      <w:r>
        <w:rPr>
          <w:rFonts w:ascii="仿宋_GB2312" w:hAnsi="仿宋_GB2312" w:eastAsia="仿宋_GB2312"/>
          <w:sz w:val="24"/>
        </w:rPr>
        <w:t>附录五  设备检维修岗位应知应会清单</w:t>
      </w:r>
      <w:r>
        <w:rPr>
          <w:rFonts w:ascii="仿宋_GB2312" w:hAnsi="仿宋_GB2312" w:eastAsia="仿宋_GB2312"/>
          <w:sz w:val="24"/>
        </w:rPr>
        <w:tab/>
      </w:r>
      <w:r>
        <w:rPr>
          <w:rFonts w:ascii="仿宋_GB2312" w:hAnsi="仿宋_GB2312" w:eastAsia="仿宋_GB2312"/>
          <w:sz w:val="24"/>
        </w:rPr>
        <w:t>38</w:t>
      </w:r>
    </w:p>
    <w:p w14:paraId="33FA17B9">
      <w:pPr>
        <w:tabs>
          <w:tab w:val="right" w:leader="dot" w:pos="9071"/>
        </w:tabs>
        <w:spacing w:before="0" w:after="0" w:line="360" w:lineRule="auto"/>
      </w:pPr>
      <w:r>
        <w:rPr>
          <w:rFonts w:ascii="仿宋_GB2312" w:hAnsi="仿宋_GB2312" w:eastAsia="仿宋_GB2312"/>
          <w:sz w:val="24"/>
        </w:rPr>
        <w:t>附录六  电气、仪表岗位应知应会清单</w:t>
      </w:r>
      <w:r>
        <w:rPr>
          <w:rFonts w:ascii="仿宋_GB2312" w:hAnsi="仿宋_GB2312" w:eastAsia="仿宋_GB2312"/>
          <w:sz w:val="24"/>
        </w:rPr>
        <w:tab/>
      </w:r>
      <w:r>
        <w:rPr>
          <w:rFonts w:ascii="仿宋_GB2312" w:hAnsi="仿宋_GB2312" w:eastAsia="仿宋_GB2312"/>
          <w:sz w:val="24"/>
        </w:rPr>
        <w:t>39</w:t>
      </w:r>
    </w:p>
    <w:p w14:paraId="46C2A2BD">
      <w:pPr>
        <w:tabs>
          <w:tab w:val="right" w:leader="dot" w:pos="9071"/>
        </w:tabs>
        <w:spacing w:before="0" w:after="0" w:line="360" w:lineRule="auto"/>
      </w:pPr>
      <w:r>
        <w:rPr>
          <w:rFonts w:ascii="仿宋_GB2312" w:hAnsi="仿宋_GB2312" w:eastAsia="仿宋_GB2312"/>
          <w:sz w:val="24"/>
        </w:rPr>
        <w:t>附录七  化验、质检岗位应知应会清单</w:t>
      </w:r>
      <w:r>
        <w:rPr>
          <w:rFonts w:ascii="仿宋_GB2312" w:hAnsi="仿宋_GB2312" w:eastAsia="仿宋_GB2312"/>
          <w:sz w:val="24"/>
        </w:rPr>
        <w:tab/>
      </w:r>
      <w:r>
        <w:rPr>
          <w:rFonts w:ascii="仿宋_GB2312" w:hAnsi="仿宋_GB2312" w:eastAsia="仿宋_GB2312"/>
          <w:sz w:val="24"/>
        </w:rPr>
        <w:t>40</w:t>
      </w:r>
    </w:p>
    <w:p w14:paraId="1C4BB1B5">
      <w:pPr>
        <w:tabs>
          <w:tab w:val="right" w:leader="dot" w:pos="9071"/>
        </w:tabs>
        <w:spacing w:before="0" w:after="0" w:line="360" w:lineRule="auto"/>
      </w:pPr>
      <w:r>
        <w:rPr>
          <w:rFonts w:ascii="仿宋_GB2312" w:hAnsi="仿宋_GB2312" w:eastAsia="仿宋_GB2312"/>
          <w:sz w:val="24"/>
        </w:rPr>
        <w:t>附录八  特殊作业监护人检查卡</w:t>
      </w:r>
      <w:r>
        <w:rPr>
          <w:rFonts w:ascii="仿宋_GB2312" w:hAnsi="仿宋_GB2312" w:eastAsia="仿宋_GB2312"/>
          <w:sz w:val="24"/>
        </w:rPr>
        <w:tab/>
      </w:r>
      <w:r>
        <w:rPr>
          <w:rFonts w:ascii="仿宋_GB2312" w:hAnsi="仿宋_GB2312" w:eastAsia="仿宋_GB2312"/>
          <w:sz w:val="24"/>
        </w:rPr>
        <w:t>41</w:t>
      </w:r>
    </w:p>
    <w:p w14:paraId="4B28268F">
      <w:pPr>
        <w:tabs>
          <w:tab w:val="right" w:leader="dot" w:pos="9071"/>
        </w:tabs>
        <w:spacing w:before="0" w:after="0" w:line="360" w:lineRule="auto"/>
      </w:pPr>
      <w:r>
        <w:rPr>
          <w:rFonts w:ascii="仿宋_GB2312" w:hAnsi="仿宋_GB2312" w:eastAsia="仿宋_GB2312"/>
          <w:sz w:val="24"/>
        </w:rPr>
        <w:t>附录九  班前会与交接班确认表</w:t>
      </w:r>
      <w:r>
        <w:rPr>
          <w:rFonts w:ascii="仿宋_GB2312" w:hAnsi="仿宋_GB2312" w:eastAsia="仿宋_GB2312"/>
          <w:sz w:val="24"/>
        </w:rPr>
        <w:tab/>
      </w:r>
      <w:r>
        <w:rPr>
          <w:rFonts w:ascii="仿宋_GB2312" w:hAnsi="仿宋_GB2312" w:eastAsia="仿宋_GB2312"/>
          <w:sz w:val="24"/>
        </w:rPr>
        <w:t>42</w:t>
      </w:r>
    </w:p>
    <w:p w14:paraId="5E1D2471">
      <w:pPr>
        <w:tabs>
          <w:tab w:val="right" w:leader="dot" w:pos="9071"/>
        </w:tabs>
        <w:spacing w:before="0" w:after="0" w:line="360" w:lineRule="auto"/>
      </w:pPr>
      <w:r>
        <w:rPr>
          <w:rFonts w:ascii="仿宋_GB2312" w:hAnsi="仿宋_GB2312" w:eastAsia="仿宋_GB2312"/>
          <w:sz w:val="24"/>
        </w:rPr>
        <w:t>附录十  常见异常及应急处置要点卡</w:t>
      </w:r>
      <w:r>
        <w:rPr>
          <w:rFonts w:ascii="仿宋_GB2312" w:hAnsi="仿宋_GB2312" w:eastAsia="仿宋_GB2312"/>
          <w:sz w:val="24"/>
        </w:rPr>
        <w:tab/>
      </w:r>
      <w:r>
        <w:rPr>
          <w:rFonts w:ascii="仿宋_GB2312" w:hAnsi="仿宋_GB2312" w:eastAsia="仿宋_GB2312"/>
          <w:sz w:val="24"/>
        </w:rPr>
        <w:t>43</w:t>
      </w:r>
    </w:p>
    <w:p w14:paraId="695E1B39">
      <w:pPr>
        <w:tabs>
          <w:tab w:val="right" w:leader="dot" w:pos="9071"/>
        </w:tabs>
        <w:spacing w:before="0" w:after="0" w:line="360" w:lineRule="auto"/>
      </w:pPr>
      <w:r>
        <w:rPr>
          <w:rFonts w:ascii="仿宋_GB2312" w:hAnsi="仿宋_GB2312" w:eastAsia="仿宋_GB2312"/>
          <w:sz w:val="24"/>
        </w:rPr>
        <w:t>附录十一  全员安全培训考核题库（含答案）</w:t>
      </w:r>
      <w:r>
        <w:rPr>
          <w:rFonts w:ascii="仿宋_GB2312" w:hAnsi="仿宋_GB2312" w:eastAsia="仿宋_GB2312"/>
          <w:sz w:val="24"/>
        </w:rPr>
        <w:tab/>
      </w:r>
      <w:r>
        <w:rPr>
          <w:rFonts w:ascii="仿宋_GB2312" w:hAnsi="仿宋_GB2312" w:eastAsia="仿宋_GB2312"/>
          <w:sz w:val="24"/>
        </w:rPr>
        <w:t>44</w:t>
      </w:r>
    </w:p>
    <w:p w14:paraId="240ED08A">
      <w:pPr>
        <w:tabs>
          <w:tab w:val="right" w:leader="dot" w:pos="9071"/>
        </w:tabs>
        <w:spacing w:before="0" w:after="0" w:line="360" w:lineRule="auto"/>
      </w:pPr>
      <w:r>
        <w:rPr>
          <w:rFonts w:ascii="仿宋_GB2312" w:hAnsi="仿宋_GB2312" w:eastAsia="仿宋_GB2312"/>
          <w:sz w:val="24"/>
        </w:rPr>
        <w:t>附录十二  培训与考核记录表</w:t>
      </w:r>
      <w:r>
        <w:rPr>
          <w:rFonts w:ascii="仿宋_GB2312" w:hAnsi="仿宋_GB2312" w:eastAsia="仿宋_GB2312"/>
          <w:sz w:val="24"/>
        </w:rPr>
        <w:tab/>
      </w:r>
      <w:r>
        <w:rPr>
          <w:rFonts w:ascii="仿宋_GB2312" w:hAnsi="仿宋_GB2312" w:eastAsia="仿宋_GB2312"/>
          <w:sz w:val="24"/>
        </w:rPr>
        <w:t>47</w:t>
      </w:r>
    </w:p>
    <w:p w14:paraId="08E52ECF">
      <w:pPr>
        <w:tabs>
          <w:tab w:val="right" w:leader="dot" w:pos="9071"/>
        </w:tabs>
        <w:spacing w:before="0" w:after="0" w:line="360" w:lineRule="auto"/>
      </w:pPr>
      <w:r>
        <w:rPr>
          <w:rFonts w:ascii="仿宋_GB2312" w:hAnsi="仿宋_GB2312" w:eastAsia="仿宋_GB2312"/>
          <w:sz w:val="24"/>
        </w:rPr>
        <w:t>手册实施声明</w:t>
      </w:r>
      <w:r>
        <w:rPr>
          <w:rFonts w:ascii="仿宋_GB2312" w:hAnsi="仿宋_GB2312" w:eastAsia="仿宋_GB2312"/>
          <w:sz w:val="24"/>
        </w:rPr>
        <w:tab/>
      </w:r>
      <w:r>
        <w:rPr>
          <w:rFonts w:ascii="仿宋_GB2312" w:hAnsi="仿宋_GB2312" w:eastAsia="仿宋_GB2312"/>
          <w:sz w:val="24"/>
        </w:rPr>
        <w:t>49</w:t>
      </w:r>
    </w:p>
    <w:p w14:paraId="27560110">
      <w:pPr>
        <w:pStyle w:val="3"/>
        <w:keepNext/>
        <w:pageBreakBefore/>
        <w:spacing w:before="0" w:after="200" w:line="360" w:lineRule="auto"/>
        <w:jc w:val="center"/>
      </w:pPr>
      <w:r>
        <w:rPr>
          <w:rFonts w:ascii="方正小标宋简体" w:hAnsi="方正小标宋简体" w:eastAsia="方正小标宋简体"/>
          <w:b/>
          <w:sz w:val="36"/>
        </w:rPr>
        <w:t>编 制 说 明</w:t>
      </w:r>
    </w:p>
    <w:p w14:paraId="52132A97">
      <w:pPr>
        <w:spacing w:before="0" w:after="0" w:line="360" w:lineRule="auto"/>
        <w:ind w:firstLine="480"/>
        <w:jc w:val="both"/>
      </w:pPr>
      <w:r>
        <w:rPr>
          <w:rFonts w:ascii="仿宋_GB2312" w:hAnsi="仿宋_GB2312" w:eastAsia="仿宋_GB2312"/>
          <w:b w:val="0"/>
          <w:sz w:val="24"/>
        </w:rPr>
        <w:t>为帮助精细化工企业全体从业人员掌握与本岗位相适应的安全知识和现场处置技能，明确“必须知道什么、必须会做什么、坚决不能做什么”，推动安全要求由制度条文转化为岗位行为，结合精细化工反应物料危险性高、工艺条件敏感、设备管线复杂、连续或间歇操作交织、特殊作业频繁等特点，编制本手册。</w:t>
      </w:r>
    </w:p>
    <w:p w14:paraId="3942DB60">
      <w:pPr>
        <w:spacing w:before="0" w:after="0" w:line="360" w:lineRule="auto"/>
        <w:ind w:firstLine="480"/>
        <w:jc w:val="both"/>
      </w:pPr>
      <w:r>
        <w:rPr>
          <w:rFonts w:ascii="仿宋_GB2312" w:hAnsi="仿宋_GB2312" w:eastAsia="仿宋_GB2312"/>
          <w:b w:val="0"/>
          <w:sz w:val="24"/>
        </w:rPr>
        <w:t>本手册以全员安全生产责任制为主线，覆盖生产操作、设备检维修、电气仪表、仓储罐区、装卸运输、化验质检、工程建设、承包商管理、消防应急和职业健康等活动。各单位应结合产品、工艺路线、危险化学品品种、重大危险源等级和实际组织机构，对方括号内容及岗位清单进行补充，形成适用于本单位的受控版本。</w:t>
      </w:r>
    </w:p>
    <w:p w14:paraId="58A50EAA">
      <w:pPr>
        <w:spacing w:before="0" w:after="0" w:line="360" w:lineRule="auto"/>
        <w:ind w:firstLine="480"/>
        <w:jc w:val="both"/>
      </w:pPr>
      <w:r>
        <w:rPr>
          <w:rFonts w:ascii="仿宋_GB2312" w:hAnsi="仿宋_GB2312" w:eastAsia="仿宋_GB2312"/>
          <w:b w:val="0"/>
          <w:sz w:val="24"/>
        </w:rPr>
        <w:t>本手册主要依据现行《中华人民共和国安全生产法》《中华人民共和国危险化学品安全法》《中华人民共和国消防法》《中华人民共和国职业病防治法》《中华人民共和国特种设备安全法》等法律，以及GB 30871—2022《危险化学品企业特殊作业安全规范》、GB/T 42300—2022《精细化工反应安全风险评估规范》等标准编制。法律法规、标准规范、工艺技术、组织职责或风险状况发生变化时，应及时评审修订。</w:t>
      </w:r>
    </w:p>
    <w:p w14:paraId="5793CFAD">
      <w:pPr>
        <w:spacing w:before="0" w:after="0" w:line="360" w:lineRule="auto"/>
        <w:ind w:firstLine="480"/>
        <w:jc w:val="both"/>
      </w:pPr>
      <w:r>
        <w:rPr>
          <w:rFonts w:ascii="仿宋_GB2312" w:hAnsi="仿宋_GB2312" w:eastAsia="仿宋_GB2312"/>
          <w:b w:val="0"/>
          <w:sz w:val="24"/>
        </w:rPr>
        <w:t>本手册不能代替岗位操作规程、工艺卡片、安全技术规程、应急预案和作业票证。员工在任何情况下均应执行经批准的现行文件；本手册与企业专用文件不一致时，应立即报告，由安全、生产、技术等部门组织评审，不得自行选择对自己方便的做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14:paraId="21F3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shd w:val="clear" w:color="auto" w:fill="FFF2CC"/>
            <w:vAlign w:val="center"/>
          </w:tcPr>
          <w:p w14:paraId="5584C24F">
            <w:pPr>
              <w:spacing w:before="0" w:after="0" w:line="288" w:lineRule="auto"/>
              <w:jc w:val="center"/>
            </w:pPr>
            <w:r>
              <w:rPr>
                <w:rFonts w:ascii="仿宋_GB2312" w:hAnsi="仿宋_GB2312" w:eastAsia="仿宋_GB2312"/>
                <w:b/>
                <w:sz w:val="24"/>
              </w:rPr>
              <w:t>使用提示</w:t>
            </w:r>
          </w:p>
        </w:tc>
      </w:tr>
      <w:tr w14:paraId="466A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1CA83780">
            <w:pPr>
              <w:spacing w:before="0" w:after="0" w:line="288" w:lineRule="auto"/>
              <w:jc w:val="left"/>
            </w:pPr>
            <w:r>
              <w:rPr>
                <w:rFonts w:ascii="仿宋_GB2312" w:hAnsi="仿宋_GB2312" w:eastAsia="仿宋_GB2312"/>
                <w:b w:val="0"/>
                <w:sz w:val="22"/>
              </w:rPr>
              <w:t>1. 入职、转岗、复岗和“四新”人员应在独立上岗前完成本手册培训和考核。</w:t>
            </w:r>
          </w:p>
        </w:tc>
      </w:tr>
      <w:tr w14:paraId="7C13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0EFAD038">
            <w:pPr>
              <w:spacing w:before="0" w:after="0" w:line="288" w:lineRule="auto"/>
              <w:jc w:val="left"/>
            </w:pPr>
            <w:r>
              <w:rPr>
                <w:rFonts w:ascii="仿宋_GB2312" w:hAnsi="仿宋_GB2312" w:eastAsia="仿宋_GB2312"/>
                <w:b w:val="0"/>
                <w:sz w:val="22"/>
              </w:rPr>
              <w:t>2. 各岗位应从本手册中提取“岗位应知应会卡”，在班组、控制室、作业现场或移动端便于查阅。</w:t>
            </w:r>
          </w:p>
        </w:tc>
      </w:tr>
      <w:tr w14:paraId="4732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27B8AAB9">
            <w:pPr>
              <w:spacing w:before="0" w:after="0" w:line="288" w:lineRule="auto"/>
              <w:jc w:val="left"/>
            </w:pPr>
            <w:r>
              <w:rPr>
                <w:rFonts w:ascii="仿宋_GB2312" w:hAnsi="仿宋_GB2312" w:eastAsia="仿宋_GB2312"/>
                <w:b w:val="0"/>
                <w:sz w:val="22"/>
              </w:rPr>
              <w:t>3. 任何人员发现无法理解、无法执行或与现场不一致的条款，应停止相关冒险作业并及时反馈。</w:t>
            </w:r>
          </w:p>
        </w:tc>
      </w:tr>
    </w:tbl>
    <w:p w14:paraId="17892F0F"/>
    <w:p w14:paraId="3E9A69F7">
      <w:pPr>
        <w:pStyle w:val="3"/>
        <w:keepNext/>
        <w:pageBreakBefore/>
        <w:spacing w:before="0" w:after="200" w:line="360" w:lineRule="auto"/>
        <w:jc w:val="center"/>
      </w:pPr>
      <w:r>
        <w:rPr>
          <w:rFonts w:ascii="方正小标宋简体" w:hAnsi="方正小标宋简体" w:eastAsia="方正小标宋简体"/>
          <w:b/>
          <w:sz w:val="36"/>
        </w:rPr>
        <w:t>第一章  总则与全员安全责任</w:t>
      </w:r>
    </w:p>
    <w:p w14:paraId="57D2B228">
      <w:pPr>
        <w:pStyle w:val="4"/>
        <w:keepNext/>
        <w:spacing w:before="160" w:after="0" w:line="360" w:lineRule="auto"/>
      </w:pPr>
      <w:r>
        <w:rPr>
          <w:rFonts w:ascii="仿宋_GB2312" w:hAnsi="仿宋_GB2312" w:eastAsia="仿宋_GB2312"/>
          <w:b/>
          <w:sz w:val="28"/>
        </w:rPr>
        <w:t>一、手册目的</w:t>
      </w:r>
    </w:p>
    <w:p w14:paraId="1AD6404A">
      <w:pPr>
        <w:spacing w:before="0" w:after="0" w:line="360" w:lineRule="auto"/>
        <w:ind w:left="0" w:firstLine="0"/>
        <w:jc w:val="both"/>
      </w:pPr>
      <w:r>
        <w:rPr>
          <w:rFonts w:ascii="仿宋_GB2312" w:hAnsi="仿宋_GB2312" w:eastAsia="仿宋_GB2312"/>
          <w:sz w:val="24"/>
        </w:rPr>
        <w:t>1. 建立全员共同遵守的安全知识、行为规范和应急处置底线，使每名员工做到知风险、会操作、能应急、敢制止。</w:t>
      </w:r>
    </w:p>
    <w:p w14:paraId="02DD1DE7">
      <w:pPr>
        <w:spacing w:before="0" w:after="0" w:line="360" w:lineRule="auto"/>
        <w:ind w:left="0" w:firstLine="0"/>
        <w:jc w:val="both"/>
      </w:pPr>
      <w:r>
        <w:rPr>
          <w:rFonts w:ascii="仿宋_GB2312" w:hAnsi="仿宋_GB2312" w:eastAsia="仿宋_GB2312"/>
          <w:sz w:val="24"/>
        </w:rPr>
        <w:t>2. 推动安全生产责任落实到岗位、落实到班次、落实到每一次操作和每一张作业票。</w:t>
      </w:r>
    </w:p>
    <w:p w14:paraId="6F3FD3A5">
      <w:pPr>
        <w:spacing w:before="0" w:after="0" w:line="360" w:lineRule="auto"/>
        <w:ind w:left="0" w:firstLine="0"/>
        <w:jc w:val="both"/>
      </w:pPr>
      <w:r>
        <w:rPr>
          <w:rFonts w:ascii="仿宋_GB2312" w:hAnsi="仿宋_GB2312" w:eastAsia="仿宋_GB2312"/>
          <w:sz w:val="24"/>
        </w:rPr>
        <w:t>3. 减少违章指挥、违章作业、违反劳动纪律等不安全行为，防止火灾、爆炸、中毒窒息、灼烫、机械伤害、触电、高处坠落等事故。</w:t>
      </w:r>
    </w:p>
    <w:p w14:paraId="251401D0">
      <w:pPr>
        <w:pStyle w:val="4"/>
        <w:keepNext/>
        <w:spacing w:before="160" w:after="0" w:line="360" w:lineRule="auto"/>
      </w:pPr>
      <w:r>
        <w:rPr>
          <w:rFonts w:ascii="仿宋_GB2312" w:hAnsi="仿宋_GB2312" w:eastAsia="仿宋_GB2312"/>
          <w:b/>
          <w:sz w:val="28"/>
        </w:rPr>
        <w:t>二、适用范围</w:t>
      </w:r>
    </w:p>
    <w:p w14:paraId="6B47E8C5">
      <w:pPr>
        <w:spacing w:before="0" w:after="0" w:line="360" w:lineRule="auto"/>
        <w:ind w:firstLine="480"/>
        <w:jc w:val="both"/>
      </w:pPr>
      <w:r>
        <w:rPr>
          <w:rFonts w:ascii="仿宋_GB2312" w:hAnsi="仿宋_GB2312" w:eastAsia="仿宋_GB2312"/>
          <w:b w:val="0"/>
          <w:sz w:val="24"/>
        </w:rPr>
        <w:t>适用于本企业所有员工、劳务派遣人员、实习人员，以及进入生产区、仓储区、罐区、装卸区、实验室、公用工程区域和检维修现场的承包商、供应商、访客等相关方。</w:t>
      </w:r>
    </w:p>
    <w:p w14:paraId="20E7F208">
      <w:pPr>
        <w:pStyle w:val="4"/>
        <w:keepNext/>
        <w:spacing w:before="160" w:after="0" w:line="360" w:lineRule="auto"/>
      </w:pPr>
      <w:r>
        <w:rPr>
          <w:rFonts w:ascii="仿宋_GB2312" w:hAnsi="仿宋_GB2312" w:eastAsia="仿宋_GB2312"/>
          <w:b/>
          <w:sz w:val="28"/>
        </w:rPr>
        <w:t>三、全员安全责任的基本要求</w:t>
      </w:r>
    </w:p>
    <w:p w14:paraId="3A3E538A">
      <w:pPr>
        <w:spacing w:before="0" w:after="0" w:line="360" w:lineRule="auto"/>
        <w:ind w:left="0" w:firstLine="0"/>
        <w:jc w:val="both"/>
      </w:pPr>
      <w:r>
        <w:rPr>
          <w:rFonts w:ascii="仿宋_GB2312" w:hAnsi="仿宋_GB2312" w:eastAsia="仿宋_GB2312"/>
          <w:sz w:val="24"/>
        </w:rPr>
        <w:t>1. 主要负责人是企业安全生产第一责任人；其他负责人对职责范围内的安全生产工作负责。</w:t>
      </w:r>
    </w:p>
    <w:p w14:paraId="0680F24D">
      <w:pPr>
        <w:spacing w:before="0" w:after="0" w:line="360" w:lineRule="auto"/>
        <w:ind w:left="0" w:firstLine="0"/>
        <w:jc w:val="both"/>
      </w:pPr>
      <w:r>
        <w:rPr>
          <w:rFonts w:ascii="仿宋_GB2312" w:hAnsi="仿宋_GB2312" w:eastAsia="仿宋_GB2312"/>
          <w:sz w:val="24"/>
        </w:rPr>
        <w:t>2. 安全、生产、技术、设备、工程、仓储、质量、人力等部门应按照“管业务必须管安全、管生产经营必须管安全”的要求履职。</w:t>
      </w:r>
    </w:p>
    <w:p w14:paraId="345A9748">
      <w:pPr>
        <w:spacing w:before="0" w:after="0" w:line="360" w:lineRule="auto"/>
        <w:ind w:left="0" w:firstLine="0"/>
        <w:jc w:val="both"/>
      </w:pPr>
      <w:r>
        <w:rPr>
          <w:rFonts w:ascii="仿宋_GB2312" w:hAnsi="仿宋_GB2312" w:eastAsia="仿宋_GB2312"/>
          <w:sz w:val="24"/>
        </w:rPr>
        <w:t>3. 班组长负责组织班前风险提示、作业条件确认、现场监督、异常报告和交接班。</w:t>
      </w:r>
    </w:p>
    <w:p w14:paraId="3368DB0F">
      <w:pPr>
        <w:spacing w:before="0" w:after="0" w:line="360" w:lineRule="auto"/>
        <w:ind w:left="0" w:firstLine="0"/>
        <w:jc w:val="both"/>
      </w:pPr>
      <w:r>
        <w:rPr>
          <w:rFonts w:ascii="仿宋_GB2312" w:hAnsi="仿宋_GB2312" w:eastAsia="仿宋_GB2312"/>
          <w:sz w:val="24"/>
        </w:rPr>
        <w:t>4. 岗位员工对本人操作、本人使用的设备、本人所在区域和发现的异常承担直接安全责任。</w:t>
      </w:r>
    </w:p>
    <w:p w14:paraId="747F42B5">
      <w:pPr>
        <w:spacing w:before="0" w:after="0" w:line="360" w:lineRule="auto"/>
        <w:ind w:left="0" w:firstLine="0"/>
        <w:jc w:val="both"/>
      </w:pPr>
      <w:r>
        <w:rPr>
          <w:rFonts w:ascii="仿宋_GB2312" w:hAnsi="仿宋_GB2312" w:eastAsia="仿宋_GB2312"/>
          <w:sz w:val="24"/>
        </w:rPr>
        <w:t>5. 任何人员有权拒绝违章指挥和强令冒险作业，有权制止他人违章，并应立即报告事故隐患和险情。</w:t>
      </w:r>
    </w:p>
    <w:p w14:paraId="1FF67210">
      <w:pPr>
        <w:pStyle w:val="4"/>
        <w:keepNext/>
        <w:spacing w:before="160" w:after="0" w:line="360" w:lineRule="auto"/>
      </w:pPr>
      <w:r>
        <w:rPr>
          <w:rFonts w:ascii="仿宋_GB2312" w:hAnsi="仿宋_GB2312" w:eastAsia="仿宋_GB2312"/>
          <w:b/>
          <w:sz w:val="28"/>
        </w:rPr>
        <w:t>四、每名员工必须做到的“四不伤害”</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0A5F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shd w:val="clear" w:color="auto" w:fill="D9EAF7"/>
            <w:tcMar>
              <w:top w:w="80" w:type="dxa"/>
              <w:left w:w="90" w:type="dxa"/>
              <w:bottom w:w="80" w:type="dxa"/>
              <w:right w:w="90" w:type="dxa"/>
            </w:tcMar>
            <w:vAlign w:val="center"/>
          </w:tcPr>
          <w:p w14:paraId="0B203202">
            <w:pPr>
              <w:spacing w:before="0" w:after="0" w:line="288" w:lineRule="auto"/>
              <w:jc w:val="center"/>
            </w:pPr>
            <w:r>
              <w:rPr>
                <w:rFonts w:ascii="仿宋_GB2312" w:hAnsi="仿宋_GB2312" w:eastAsia="仿宋_GB2312"/>
                <w:b/>
                <w:sz w:val="21"/>
              </w:rPr>
              <w:t>要求</w:t>
            </w:r>
          </w:p>
        </w:tc>
        <w:tc>
          <w:tcPr>
            <w:tcW w:w="3515" w:type="dxa"/>
            <w:shd w:val="clear" w:color="auto" w:fill="D9EAF7"/>
            <w:tcMar>
              <w:top w:w="80" w:type="dxa"/>
              <w:left w:w="90" w:type="dxa"/>
              <w:bottom w:w="80" w:type="dxa"/>
              <w:right w:w="90" w:type="dxa"/>
            </w:tcMar>
            <w:vAlign w:val="center"/>
          </w:tcPr>
          <w:p w14:paraId="3DB3059D">
            <w:pPr>
              <w:spacing w:before="0" w:after="0" w:line="288" w:lineRule="auto"/>
              <w:jc w:val="center"/>
            </w:pPr>
            <w:r>
              <w:rPr>
                <w:rFonts w:ascii="仿宋_GB2312" w:hAnsi="仿宋_GB2312" w:eastAsia="仿宋_GB2312"/>
                <w:b/>
                <w:sz w:val="21"/>
              </w:rPr>
              <w:t>应知</w:t>
            </w:r>
          </w:p>
        </w:tc>
        <w:tc>
          <w:tcPr>
            <w:tcW w:w="3855" w:type="dxa"/>
            <w:shd w:val="clear" w:color="auto" w:fill="D9EAF7"/>
            <w:tcMar>
              <w:top w:w="80" w:type="dxa"/>
              <w:left w:w="90" w:type="dxa"/>
              <w:bottom w:w="80" w:type="dxa"/>
              <w:right w:w="90" w:type="dxa"/>
            </w:tcMar>
            <w:vAlign w:val="center"/>
          </w:tcPr>
          <w:p w14:paraId="774EDE2C">
            <w:pPr>
              <w:spacing w:before="0" w:after="0" w:line="288" w:lineRule="auto"/>
              <w:jc w:val="center"/>
            </w:pPr>
            <w:r>
              <w:rPr>
                <w:rFonts w:ascii="仿宋_GB2312" w:hAnsi="仿宋_GB2312" w:eastAsia="仿宋_GB2312"/>
                <w:b/>
                <w:sz w:val="21"/>
              </w:rPr>
              <w:t>应会</w:t>
            </w:r>
          </w:p>
        </w:tc>
      </w:tr>
      <w:tr w14:paraId="2A6D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153109D">
            <w:pPr>
              <w:spacing w:before="0" w:after="0" w:line="288" w:lineRule="auto"/>
              <w:jc w:val="center"/>
            </w:pPr>
            <w:r>
              <w:rPr>
                <w:rFonts w:ascii="仿宋_GB2312" w:hAnsi="仿宋_GB2312" w:eastAsia="仿宋_GB2312"/>
                <w:b w:val="0"/>
                <w:sz w:val="21"/>
              </w:rPr>
              <w:t>不伤害自己</w:t>
            </w:r>
          </w:p>
        </w:tc>
        <w:tc>
          <w:tcPr>
            <w:tcW w:w="3515" w:type="dxa"/>
            <w:tcMar>
              <w:top w:w="80" w:type="dxa"/>
              <w:left w:w="90" w:type="dxa"/>
              <w:bottom w:w="80" w:type="dxa"/>
              <w:right w:w="90" w:type="dxa"/>
            </w:tcMar>
            <w:vAlign w:val="center"/>
          </w:tcPr>
          <w:p w14:paraId="3FBE7586">
            <w:pPr>
              <w:spacing w:before="0" w:after="0" w:line="288" w:lineRule="auto"/>
              <w:jc w:val="left"/>
            </w:pPr>
            <w:r>
              <w:rPr>
                <w:rFonts w:ascii="仿宋_GB2312" w:hAnsi="仿宋_GB2312" w:eastAsia="仿宋_GB2312"/>
                <w:b w:val="0"/>
                <w:sz w:val="21"/>
              </w:rPr>
              <w:t>了解本岗位危险源、操作边界和防护要求</w:t>
            </w:r>
          </w:p>
        </w:tc>
        <w:tc>
          <w:tcPr>
            <w:tcW w:w="3855" w:type="dxa"/>
            <w:tcMar>
              <w:top w:w="80" w:type="dxa"/>
              <w:left w:w="90" w:type="dxa"/>
              <w:bottom w:w="80" w:type="dxa"/>
              <w:right w:w="90" w:type="dxa"/>
            </w:tcMar>
            <w:vAlign w:val="center"/>
          </w:tcPr>
          <w:p w14:paraId="0E59E9EF">
            <w:pPr>
              <w:spacing w:before="0" w:after="0" w:line="288" w:lineRule="auto"/>
              <w:jc w:val="left"/>
            </w:pPr>
            <w:r>
              <w:rPr>
                <w:rFonts w:ascii="仿宋_GB2312" w:hAnsi="仿宋_GB2312" w:eastAsia="仿宋_GB2312"/>
                <w:b w:val="0"/>
                <w:sz w:val="21"/>
              </w:rPr>
              <w:t>操作前确认条件，正确使用防护用品，发现异常立即停手</w:t>
            </w:r>
          </w:p>
        </w:tc>
      </w:tr>
      <w:tr w14:paraId="256D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B5F5278">
            <w:pPr>
              <w:spacing w:before="0" w:after="0" w:line="288" w:lineRule="auto"/>
              <w:jc w:val="center"/>
            </w:pPr>
            <w:r>
              <w:rPr>
                <w:rFonts w:ascii="仿宋_GB2312" w:hAnsi="仿宋_GB2312" w:eastAsia="仿宋_GB2312"/>
                <w:b w:val="0"/>
                <w:sz w:val="21"/>
              </w:rPr>
              <w:t>不伤害他人</w:t>
            </w:r>
          </w:p>
        </w:tc>
        <w:tc>
          <w:tcPr>
            <w:tcW w:w="3515" w:type="dxa"/>
            <w:tcMar>
              <w:top w:w="80" w:type="dxa"/>
              <w:left w:w="90" w:type="dxa"/>
              <w:bottom w:w="80" w:type="dxa"/>
              <w:right w:w="90" w:type="dxa"/>
            </w:tcMar>
            <w:vAlign w:val="center"/>
          </w:tcPr>
          <w:p w14:paraId="0C8B2E9E">
            <w:pPr>
              <w:spacing w:before="0" w:after="0" w:line="288" w:lineRule="auto"/>
              <w:jc w:val="left"/>
            </w:pPr>
            <w:r>
              <w:rPr>
                <w:rFonts w:ascii="仿宋_GB2312" w:hAnsi="仿宋_GB2312" w:eastAsia="仿宋_GB2312"/>
                <w:b w:val="0"/>
                <w:sz w:val="21"/>
              </w:rPr>
              <w:t>了解本人的操作可能对上下游、相邻岗位造成的影响</w:t>
            </w:r>
          </w:p>
        </w:tc>
        <w:tc>
          <w:tcPr>
            <w:tcW w:w="3855" w:type="dxa"/>
            <w:tcMar>
              <w:top w:w="80" w:type="dxa"/>
              <w:left w:w="90" w:type="dxa"/>
              <w:bottom w:w="80" w:type="dxa"/>
              <w:right w:w="90" w:type="dxa"/>
            </w:tcMar>
            <w:vAlign w:val="center"/>
          </w:tcPr>
          <w:p w14:paraId="3E7BDA4B">
            <w:pPr>
              <w:spacing w:before="0" w:after="0" w:line="288" w:lineRule="auto"/>
              <w:jc w:val="left"/>
            </w:pPr>
            <w:r>
              <w:rPr>
                <w:rFonts w:ascii="仿宋_GB2312" w:hAnsi="仿宋_GB2312" w:eastAsia="仿宋_GB2312"/>
                <w:b w:val="0"/>
                <w:sz w:val="21"/>
              </w:rPr>
              <w:t>操作前沟通确认，严禁误送物料、误启设备、误开阀门</w:t>
            </w:r>
          </w:p>
        </w:tc>
      </w:tr>
      <w:tr w14:paraId="7C9C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87704B2">
            <w:pPr>
              <w:spacing w:before="0" w:after="0" w:line="288" w:lineRule="auto"/>
              <w:jc w:val="center"/>
            </w:pPr>
            <w:r>
              <w:rPr>
                <w:rFonts w:ascii="仿宋_GB2312" w:hAnsi="仿宋_GB2312" w:eastAsia="仿宋_GB2312"/>
                <w:b w:val="0"/>
                <w:sz w:val="21"/>
              </w:rPr>
              <w:t>不被他人伤害</w:t>
            </w:r>
          </w:p>
        </w:tc>
        <w:tc>
          <w:tcPr>
            <w:tcW w:w="3515" w:type="dxa"/>
            <w:tcMar>
              <w:top w:w="80" w:type="dxa"/>
              <w:left w:w="90" w:type="dxa"/>
              <w:bottom w:w="80" w:type="dxa"/>
              <w:right w:w="90" w:type="dxa"/>
            </w:tcMar>
            <w:vAlign w:val="center"/>
          </w:tcPr>
          <w:p w14:paraId="569342FA">
            <w:pPr>
              <w:spacing w:before="0" w:after="0" w:line="288" w:lineRule="auto"/>
              <w:jc w:val="left"/>
            </w:pPr>
            <w:r>
              <w:rPr>
                <w:rFonts w:ascii="仿宋_GB2312" w:hAnsi="仿宋_GB2312" w:eastAsia="仿宋_GB2312"/>
                <w:b w:val="0"/>
                <w:sz w:val="21"/>
              </w:rPr>
              <w:t>了解交叉作业、承包商作业和设备状态变化带来的风险</w:t>
            </w:r>
          </w:p>
        </w:tc>
        <w:tc>
          <w:tcPr>
            <w:tcW w:w="3855" w:type="dxa"/>
            <w:tcMar>
              <w:top w:w="80" w:type="dxa"/>
              <w:left w:w="90" w:type="dxa"/>
              <w:bottom w:w="80" w:type="dxa"/>
              <w:right w:w="90" w:type="dxa"/>
            </w:tcMar>
            <w:vAlign w:val="center"/>
          </w:tcPr>
          <w:p w14:paraId="7C9EFF01">
            <w:pPr>
              <w:spacing w:before="0" w:after="0" w:line="288" w:lineRule="auto"/>
              <w:jc w:val="left"/>
            </w:pPr>
            <w:r>
              <w:rPr>
                <w:rFonts w:ascii="仿宋_GB2312" w:hAnsi="仿宋_GB2312" w:eastAsia="仿宋_GB2312"/>
                <w:b w:val="0"/>
                <w:sz w:val="21"/>
              </w:rPr>
              <w:t>进入作业区前确认隔离、警戒、票证和监护是否有效</w:t>
            </w:r>
          </w:p>
        </w:tc>
      </w:tr>
      <w:tr w14:paraId="577E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5506703D">
            <w:pPr>
              <w:spacing w:before="0" w:after="0" w:line="288" w:lineRule="auto"/>
              <w:jc w:val="center"/>
            </w:pPr>
            <w:r>
              <w:rPr>
                <w:rFonts w:ascii="仿宋_GB2312" w:hAnsi="仿宋_GB2312" w:eastAsia="仿宋_GB2312"/>
                <w:b w:val="0"/>
                <w:sz w:val="21"/>
              </w:rPr>
              <w:t>保护他人不受伤害</w:t>
            </w:r>
          </w:p>
        </w:tc>
        <w:tc>
          <w:tcPr>
            <w:tcW w:w="3515" w:type="dxa"/>
            <w:tcMar>
              <w:top w:w="80" w:type="dxa"/>
              <w:left w:w="90" w:type="dxa"/>
              <w:bottom w:w="80" w:type="dxa"/>
              <w:right w:w="90" w:type="dxa"/>
            </w:tcMar>
            <w:vAlign w:val="center"/>
          </w:tcPr>
          <w:p w14:paraId="7245854D">
            <w:pPr>
              <w:spacing w:before="0" w:after="0" w:line="288" w:lineRule="auto"/>
              <w:jc w:val="left"/>
            </w:pPr>
            <w:r>
              <w:rPr>
                <w:rFonts w:ascii="仿宋_GB2312" w:hAnsi="仿宋_GB2312" w:eastAsia="仿宋_GB2312"/>
                <w:b w:val="0"/>
                <w:sz w:val="21"/>
              </w:rPr>
              <w:t>发现违章和险情时人人有责任干预</w:t>
            </w:r>
          </w:p>
        </w:tc>
        <w:tc>
          <w:tcPr>
            <w:tcW w:w="3855" w:type="dxa"/>
            <w:tcMar>
              <w:top w:w="80" w:type="dxa"/>
              <w:left w:w="90" w:type="dxa"/>
              <w:bottom w:w="80" w:type="dxa"/>
              <w:right w:w="90" w:type="dxa"/>
            </w:tcMar>
            <w:vAlign w:val="center"/>
          </w:tcPr>
          <w:p w14:paraId="6404C333">
            <w:pPr>
              <w:spacing w:before="0" w:after="0" w:line="288" w:lineRule="auto"/>
              <w:jc w:val="left"/>
            </w:pPr>
            <w:r>
              <w:rPr>
                <w:rFonts w:ascii="仿宋_GB2312" w:hAnsi="仿宋_GB2312" w:eastAsia="仿宋_GB2312"/>
                <w:b w:val="0"/>
                <w:sz w:val="21"/>
              </w:rPr>
              <w:t>及时提醒、制止、报告并协助人员撤离</w:t>
            </w:r>
          </w:p>
        </w:tc>
      </w:tr>
    </w:tbl>
    <w:p w14:paraId="64C4D3B3">
      <w:pPr>
        <w:spacing w:after="0"/>
      </w:pPr>
    </w:p>
    <w:p w14:paraId="4E628D88">
      <w:pPr>
        <w:pStyle w:val="4"/>
        <w:keepNext/>
        <w:spacing w:before="160" w:after="0" w:line="360" w:lineRule="auto"/>
      </w:pPr>
      <w:r>
        <w:rPr>
          <w:rFonts w:ascii="仿宋_GB2312" w:hAnsi="仿宋_GB2312" w:eastAsia="仿宋_GB2312"/>
          <w:b/>
          <w:sz w:val="28"/>
        </w:rPr>
        <w:t>五、停工和撤离权</w:t>
      </w:r>
    </w:p>
    <w:p w14:paraId="29AFD273">
      <w:pPr>
        <w:spacing w:before="0" w:after="0" w:line="360" w:lineRule="auto"/>
        <w:ind w:firstLine="480"/>
        <w:jc w:val="both"/>
      </w:pPr>
      <w:r>
        <w:rPr>
          <w:rFonts w:ascii="仿宋_GB2312" w:hAnsi="仿宋_GB2312" w:eastAsia="仿宋_GB2312"/>
          <w:b w:val="0"/>
          <w:sz w:val="24"/>
        </w:rPr>
        <w:t>出现超温、超压、超液位、异常振动、异响、异味、泄漏、报警联锁失效、冷却或搅拌中断、可燃有毒气体报警、消防设施失效、作业票证条件变化、监护人离岗等情况时，现场人员应按照规程采取紧急停机、切断物料、就地隔离或人员撤离措施。无法确认安全时，宁可停工核实，不得带险试探。</w:t>
      </w:r>
    </w:p>
    <w:p w14:paraId="11369E95">
      <w:pPr>
        <w:pStyle w:val="3"/>
        <w:keepNext/>
        <w:pageBreakBefore/>
        <w:spacing w:before="0" w:after="200" w:line="360" w:lineRule="auto"/>
        <w:jc w:val="center"/>
      </w:pPr>
      <w:r>
        <w:rPr>
          <w:rFonts w:ascii="方正小标宋简体" w:hAnsi="方正小标宋简体" w:eastAsia="方正小标宋简体"/>
          <w:b/>
          <w:sz w:val="36"/>
        </w:rPr>
        <w:t>第二章  精细化工企业危险特性与主要风险</w:t>
      </w:r>
    </w:p>
    <w:p w14:paraId="3E8CD596">
      <w:pPr>
        <w:pStyle w:val="4"/>
        <w:keepNext/>
        <w:spacing w:before="160" w:after="0" w:line="360" w:lineRule="auto"/>
      </w:pPr>
      <w:r>
        <w:rPr>
          <w:rFonts w:ascii="仿宋_GB2312" w:hAnsi="仿宋_GB2312" w:eastAsia="仿宋_GB2312"/>
          <w:b/>
          <w:sz w:val="28"/>
        </w:rPr>
        <w:t>一、精细化工生产的主要特点</w:t>
      </w:r>
    </w:p>
    <w:p w14:paraId="49001486">
      <w:pPr>
        <w:spacing w:before="0" w:after="0" w:line="360" w:lineRule="auto"/>
        <w:ind w:left="0" w:firstLine="0"/>
        <w:jc w:val="both"/>
      </w:pPr>
      <w:r>
        <w:rPr>
          <w:rFonts w:ascii="仿宋_GB2312" w:hAnsi="仿宋_GB2312" w:eastAsia="仿宋_GB2312"/>
          <w:sz w:val="24"/>
        </w:rPr>
        <w:t>1. 物料品种多，易燃、易爆、有毒、腐蚀、氧化、遇水反应和自反应物质可能同时存在。</w:t>
      </w:r>
    </w:p>
    <w:p w14:paraId="3039B60E">
      <w:pPr>
        <w:spacing w:before="0" w:after="0" w:line="360" w:lineRule="auto"/>
        <w:ind w:left="0" w:firstLine="0"/>
        <w:jc w:val="both"/>
      </w:pPr>
      <w:r>
        <w:rPr>
          <w:rFonts w:ascii="仿宋_GB2312" w:hAnsi="仿宋_GB2312" w:eastAsia="仿宋_GB2312"/>
          <w:sz w:val="24"/>
        </w:rPr>
        <w:t>2. 反应步骤多，投料顺序、速率、温度、压力、浓度、搅拌和传热条件对安全影响显著。</w:t>
      </w:r>
    </w:p>
    <w:p w14:paraId="0EFEB8C7">
      <w:pPr>
        <w:spacing w:before="0" w:after="0" w:line="360" w:lineRule="auto"/>
        <w:ind w:left="0" w:firstLine="0"/>
        <w:jc w:val="both"/>
      </w:pPr>
      <w:r>
        <w:rPr>
          <w:rFonts w:ascii="仿宋_GB2312" w:hAnsi="仿宋_GB2312" w:eastAsia="仿宋_GB2312"/>
          <w:sz w:val="24"/>
        </w:rPr>
        <w:t>3. 间歇操作频繁，开停车、切换、取样、清洗、临时连接和人工操作较多，容易出现状态识别错误。</w:t>
      </w:r>
    </w:p>
    <w:p w14:paraId="032AF5F8">
      <w:pPr>
        <w:spacing w:before="0" w:after="0" w:line="360" w:lineRule="auto"/>
        <w:ind w:left="0" w:firstLine="0"/>
        <w:jc w:val="both"/>
      </w:pPr>
      <w:r>
        <w:rPr>
          <w:rFonts w:ascii="仿宋_GB2312" w:hAnsi="仿宋_GB2312" w:eastAsia="仿宋_GB2312"/>
          <w:sz w:val="24"/>
        </w:rPr>
        <w:t>4. 设备、管道、阀门、仪表和联锁点位多，上下游关联强，局部异常可能迅速扩大。</w:t>
      </w:r>
    </w:p>
    <w:p w14:paraId="5C65A470">
      <w:pPr>
        <w:spacing w:before="0" w:after="0" w:line="360" w:lineRule="auto"/>
        <w:ind w:left="0" w:firstLine="0"/>
        <w:jc w:val="both"/>
      </w:pPr>
      <w:r>
        <w:rPr>
          <w:rFonts w:ascii="仿宋_GB2312" w:hAnsi="仿宋_GB2312" w:eastAsia="仿宋_GB2312"/>
          <w:sz w:val="24"/>
        </w:rPr>
        <w:t>5. 检维修和改造活动多，动火、受限空间、盲板抽堵、高处、吊装、临时用电等特殊作业集中。</w:t>
      </w:r>
    </w:p>
    <w:p w14:paraId="18F92698">
      <w:pPr>
        <w:pStyle w:val="4"/>
        <w:keepNext/>
        <w:spacing w:before="160" w:after="0" w:line="360" w:lineRule="auto"/>
      </w:pPr>
      <w:r>
        <w:rPr>
          <w:rFonts w:ascii="仿宋_GB2312" w:hAnsi="仿宋_GB2312" w:eastAsia="仿宋_GB2312"/>
          <w:b/>
          <w:sz w:val="28"/>
        </w:rPr>
        <w:t>二、常见事故类型与典型诱因</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268"/>
        <w:gridCol w:w="2268"/>
        <w:gridCol w:w="2268"/>
      </w:tblGrid>
      <w:tr w14:paraId="39FE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87" w:type="dxa"/>
            <w:shd w:val="clear" w:color="auto" w:fill="D9EAF7"/>
            <w:tcMar>
              <w:top w:w="80" w:type="dxa"/>
              <w:left w:w="90" w:type="dxa"/>
              <w:bottom w:w="80" w:type="dxa"/>
              <w:right w:w="90" w:type="dxa"/>
            </w:tcMar>
            <w:vAlign w:val="center"/>
          </w:tcPr>
          <w:p w14:paraId="4D0DF02F">
            <w:pPr>
              <w:spacing w:before="0" w:after="0" w:line="288" w:lineRule="auto"/>
              <w:jc w:val="center"/>
            </w:pPr>
            <w:r>
              <w:rPr>
                <w:rFonts w:ascii="仿宋_GB2312" w:hAnsi="仿宋_GB2312" w:eastAsia="仿宋_GB2312"/>
                <w:b/>
                <w:sz w:val="19"/>
              </w:rPr>
              <w:t>事故类型</w:t>
            </w:r>
          </w:p>
        </w:tc>
        <w:tc>
          <w:tcPr>
            <w:tcW w:w="2835" w:type="dxa"/>
            <w:shd w:val="clear" w:color="auto" w:fill="D9EAF7"/>
            <w:tcMar>
              <w:top w:w="80" w:type="dxa"/>
              <w:left w:w="90" w:type="dxa"/>
              <w:bottom w:w="80" w:type="dxa"/>
              <w:right w:w="90" w:type="dxa"/>
            </w:tcMar>
            <w:vAlign w:val="center"/>
          </w:tcPr>
          <w:p w14:paraId="44D9E338">
            <w:pPr>
              <w:spacing w:before="0" w:after="0" w:line="288" w:lineRule="auto"/>
              <w:jc w:val="center"/>
            </w:pPr>
            <w:r>
              <w:rPr>
                <w:rFonts w:ascii="仿宋_GB2312" w:hAnsi="仿宋_GB2312" w:eastAsia="仿宋_GB2312"/>
                <w:b/>
                <w:sz w:val="19"/>
              </w:rPr>
              <w:t>常见诱因</w:t>
            </w:r>
          </w:p>
        </w:tc>
        <w:tc>
          <w:tcPr>
            <w:tcW w:w="2381" w:type="dxa"/>
            <w:shd w:val="clear" w:color="auto" w:fill="D9EAF7"/>
            <w:tcMar>
              <w:top w:w="80" w:type="dxa"/>
              <w:left w:w="90" w:type="dxa"/>
              <w:bottom w:w="80" w:type="dxa"/>
              <w:right w:w="90" w:type="dxa"/>
            </w:tcMar>
            <w:vAlign w:val="center"/>
          </w:tcPr>
          <w:p w14:paraId="5F027078">
            <w:pPr>
              <w:spacing w:before="0" w:after="0" w:line="288" w:lineRule="auto"/>
              <w:jc w:val="center"/>
            </w:pPr>
            <w:r>
              <w:rPr>
                <w:rFonts w:ascii="仿宋_GB2312" w:hAnsi="仿宋_GB2312" w:eastAsia="仿宋_GB2312"/>
                <w:b/>
                <w:sz w:val="19"/>
              </w:rPr>
              <w:t>现场早期信号</w:t>
            </w:r>
          </w:p>
        </w:tc>
        <w:tc>
          <w:tcPr>
            <w:tcW w:w="2268" w:type="dxa"/>
            <w:shd w:val="clear" w:color="auto" w:fill="D9EAF7"/>
            <w:tcMar>
              <w:top w:w="80" w:type="dxa"/>
              <w:left w:w="90" w:type="dxa"/>
              <w:bottom w:w="80" w:type="dxa"/>
              <w:right w:w="90" w:type="dxa"/>
            </w:tcMar>
            <w:vAlign w:val="center"/>
          </w:tcPr>
          <w:p w14:paraId="71FCF8EE">
            <w:pPr>
              <w:spacing w:before="0" w:after="0" w:line="288" w:lineRule="auto"/>
              <w:jc w:val="center"/>
            </w:pPr>
            <w:r>
              <w:rPr>
                <w:rFonts w:ascii="仿宋_GB2312" w:hAnsi="仿宋_GB2312" w:eastAsia="仿宋_GB2312"/>
                <w:b/>
                <w:sz w:val="19"/>
              </w:rPr>
              <w:t>员工第一行动</w:t>
            </w:r>
          </w:p>
        </w:tc>
      </w:tr>
      <w:tr w14:paraId="03C1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Mar>
              <w:top w:w="80" w:type="dxa"/>
              <w:left w:w="90" w:type="dxa"/>
              <w:bottom w:w="80" w:type="dxa"/>
              <w:right w:w="90" w:type="dxa"/>
            </w:tcMar>
            <w:vAlign w:val="center"/>
          </w:tcPr>
          <w:p w14:paraId="1539EA4B">
            <w:pPr>
              <w:spacing w:before="0" w:after="0" w:line="288" w:lineRule="auto"/>
              <w:jc w:val="center"/>
            </w:pPr>
            <w:r>
              <w:rPr>
                <w:rFonts w:ascii="仿宋_GB2312" w:hAnsi="仿宋_GB2312" w:eastAsia="仿宋_GB2312"/>
                <w:b w:val="0"/>
                <w:sz w:val="19"/>
              </w:rPr>
              <w:t>火灾爆炸</w:t>
            </w:r>
          </w:p>
        </w:tc>
        <w:tc>
          <w:tcPr>
            <w:tcW w:w="2835" w:type="dxa"/>
            <w:tcMar>
              <w:top w:w="80" w:type="dxa"/>
              <w:left w:w="90" w:type="dxa"/>
              <w:bottom w:w="80" w:type="dxa"/>
              <w:right w:w="90" w:type="dxa"/>
            </w:tcMar>
            <w:vAlign w:val="center"/>
          </w:tcPr>
          <w:p w14:paraId="432026BB">
            <w:pPr>
              <w:spacing w:before="0" w:after="0" w:line="288" w:lineRule="auto"/>
              <w:jc w:val="left"/>
            </w:pPr>
            <w:r>
              <w:rPr>
                <w:rFonts w:ascii="仿宋_GB2312" w:hAnsi="仿宋_GB2312" w:eastAsia="仿宋_GB2312"/>
                <w:b w:val="0"/>
                <w:sz w:val="19"/>
              </w:rPr>
              <w:t>泄漏遇火源、静电放电、反应失控、可燃气体积聚</w:t>
            </w:r>
          </w:p>
        </w:tc>
        <w:tc>
          <w:tcPr>
            <w:tcW w:w="2381" w:type="dxa"/>
            <w:tcMar>
              <w:top w:w="80" w:type="dxa"/>
              <w:left w:w="90" w:type="dxa"/>
              <w:bottom w:w="80" w:type="dxa"/>
              <w:right w:w="90" w:type="dxa"/>
            </w:tcMar>
            <w:vAlign w:val="center"/>
          </w:tcPr>
          <w:p w14:paraId="6FD5EB8F">
            <w:pPr>
              <w:spacing w:before="0" w:after="0" w:line="288" w:lineRule="auto"/>
              <w:jc w:val="left"/>
            </w:pPr>
            <w:r>
              <w:rPr>
                <w:rFonts w:ascii="仿宋_GB2312" w:hAnsi="仿宋_GB2312" w:eastAsia="仿宋_GB2312"/>
                <w:b w:val="0"/>
                <w:sz w:val="19"/>
              </w:rPr>
              <w:t>异味、白雾、报警、温压异常、火花或局部发热</w:t>
            </w:r>
          </w:p>
        </w:tc>
        <w:tc>
          <w:tcPr>
            <w:tcW w:w="2268" w:type="dxa"/>
            <w:tcMar>
              <w:top w:w="80" w:type="dxa"/>
              <w:left w:w="90" w:type="dxa"/>
              <w:bottom w:w="80" w:type="dxa"/>
              <w:right w:w="90" w:type="dxa"/>
            </w:tcMar>
            <w:vAlign w:val="center"/>
          </w:tcPr>
          <w:p w14:paraId="24DF41C4">
            <w:pPr>
              <w:spacing w:before="0" w:after="0" w:line="288" w:lineRule="auto"/>
              <w:jc w:val="left"/>
            </w:pPr>
            <w:r>
              <w:rPr>
                <w:rFonts w:ascii="仿宋_GB2312" w:hAnsi="仿宋_GB2312" w:eastAsia="仿宋_GB2312"/>
                <w:b w:val="0"/>
                <w:sz w:val="19"/>
              </w:rPr>
              <w:t>立即报警，停止可能产生火花的操作，按路线撤离并服从指挥</w:t>
            </w:r>
          </w:p>
        </w:tc>
      </w:tr>
      <w:tr w14:paraId="7BA3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Mar>
              <w:top w:w="80" w:type="dxa"/>
              <w:left w:w="90" w:type="dxa"/>
              <w:bottom w:w="80" w:type="dxa"/>
              <w:right w:w="90" w:type="dxa"/>
            </w:tcMar>
            <w:vAlign w:val="center"/>
          </w:tcPr>
          <w:p w14:paraId="1C267C5C">
            <w:pPr>
              <w:spacing w:before="0" w:after="0" w:line="288" w:lineRule="auto"/>
              <w:jc w:val="center"/>
            </w:pPr>
            <w:r>
              <w:rPr>
                <w:rFonts w:ascii="仿宋_GB2312" w:hAnsi="仿宋_GB2312" w:eastAsia="仿宋_GB2312"/>
                <w:b w:val="0"/>
                <w:sz w:val="19"/>
              </w:rPr>
              <w:t>中毒窒息</w:t>
            </w:r>
          </w:p>
        </w:tc>
        <w:tc>
          <w:tcPr>
            <w:tcW w:w="2835" w:type="dxa"/>
            <w:tcMar>
              <w:top w:w="80" w:type="dxa"/>
              <w:left w:w="90" w:type="dxa"/>
              <w:bottom w:w="80" w:type="dxa"/>
              <w:right w:w="90" w:type="dxa"/>
            </w:tcMar>
            <w:vAlign w:val="center"/>
          </w:tcPr>
          <w:p w14:paraId="430C546A">
            <w:pPr>
              <w:spacing w:before="0" w:after="0" w:line="288" w:lineRule="auto"/>
              <w:jc w:val="left"/>
            </w:pPr>
            <w:r>
              <w:rPr>
                <w:rFonts w:ascii="仿宋_GB2312" w:hAnsi="仿宋_GB2312" w:eastAsia="仿宋_GB2312"/>
                <w:b w:val="0"/>
                <w:sz w:val="19"/>
              </w:rPr>
              <w:t>有毒气体泄漏、惰性气体置换、受限空间缺氧</w:t>
            </w:r>
          </w:p>
        </w:tc>
        <w:tc>
          <w:tcPr>
            <w:tcW w:w="2381" w:type="dxa"/>
            <w:tcMar>
              <w:top w:w="80" w:type="dxa"/>
              <w:left w:w="90" w:type="dxa"/>
              <w:bottom w:w="80" w:type="dxa"/>
              <w:right w:w="90" w:type="dxa"/>
            </w:tcMar>
            <w:vAlign w:val="center"/>
          </w:tcPr>
          <w:p w14:paraId="027E5A7D">
            <w:pPr>
              <w:spacing w:before="0" w:after="0" w:line="288" w:lineRule="auto"/>
              <w:jc w:val="left"/>
            </w:pPr>
            <w:r>
              <w:rPr>
                <w:rFonts w:ascii="仿宋_GB2312" w:hAnsi="仿宋_GB2312" w:eastAsia="仿宋_GB2312"/>
                <w:b w:val="0"/>
                <w:sz w:val="19"/>
              </w:rPr>
              <w:t>头晕、刺激、呼吸困难、检测报警</w:t>
            </w:r>
          </w:p>
        </w:tc>
        <w:tc>
          <w:tcPr>
            <w:tcW w:w="2268" w:type="dxa"/>
            <w:tcMar>
              <w:top w:w="80" w:type="dxa"/>
              <w:left w:w="90" w:type="dxa"/>
              <w:bottom w:w="80" w:type="dxa"/>
              <w:right w:w="90" w:type="dxa"/>
            </w:tcMar>
            <w:vAlign w:val="center"/>
          </w:tcPr>
          <w:p w14:paraId="13B7A9E8">
            <w:pPr>
              <w:spacing w:before="0" w:after="0" w:line="288" w:lineRule="auto"/>
              <w:jc w:val="left"/>
            </w:pPr>
            <w:r>
              <w:rPr>
                <w:rFonts w:ascii="仿宋_GB2312" w:hAnsi="仿宋_GB2312" w:eastAsia="仿宋_GB2312"/>
                <w:b w:val="0"/>
                <w:sz w:val="19"/>
              </w:rPr>
              <w:t>迅速脱离上风向或侧上风向，禁止无防护盲目施救</w:t>
            </w:r>
          </w:p>
        </w:tc>
      </w:tr>
      <w:tr w14:paraId="4FB7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Mar>
              <w:top w:w="80" w:type="dxa"/>
              <w:left w:w="90" w:type="dxa"/>
              <w:bottom w:w="80" w:type="dxa"/>
              <w:right w:w="90" w:type="dxa"/>
            </w:tcMar>
            <w:vAlign w:val="center"/>
          </w:tcPr>
          <w:p w14:paraId="1042DEC5">
            <w:pPr>
              <w:spacing w:before="0" w:after="0" w:line="288" w:lineRule="auto"/>
              <w:jc w:val="center"/>
            </w:pPr>
            <w:r>
              <w:rPr>
                <w:rFonts w:ascii="仿宋_GB2312" w:hAnsi="仿宋_GB2312" w:eastAsia="仿宋_GB2312"/>
                <w:b w:val="0"/>
                <w:sz w:val="19"/>
              </w:rPr>
              <w:t>灼烫腐蚀</w:t>
            </w:r>
          </w:p>
        </w:tc>
        <w:tc>
          <w:tcPr>
            <w:tcW w:w="2835" w:type="dxa"/>
            <w:tcMar>
              <w:top w:w="80" w:type="dxa"/>
              <w:left w:w="90" w:type="dxa"/>
              <w:bottom w:w="80" w:type="dxa"/>
              <w:right w:w="90" w:type="dxa"/>
            </w:tcMar>
            <w:vAlign w:val="center"/>
          </w:tcPr>
          <w:p w14:paraId="20CF6886">
            <w:pPr>
              <w:spacing w:before="0" w:after="0" w:line="288" w:lineRule="auto"/>
              <w:jc w:val="left"/>
            </w:pPr>
            <w:r>
              <w:rPr>
                <w:rFonts w:ascii="仿宋_GB2312" w:hAnsi="仿宋_GB2312" w:eastAsia="仿宋_GB2312"/>
                <w:b w:val="0"/>
                <w:sz w:val="19"/>
              </w:rPr>
              <w:t>高温介质、蒸汽、酸碱、反应液喷溅</w:t>
            </w:r>
          </w:p>
        </w:tc>
        <w:tc>
          <w:tcPr>
            <w:tcW w:w="2381" w:type="dxa"/>
            <w:tcMar>
              <w:top w:w="80" w:type="dxa"/>
              <w:left w:w="90" w:type="dxa"/>
              <w:bottom w:w="80" w:type="dxa"/>
              <w:right w:w="90" w:type="dxa"/>
            </w:tcMar>
            <w:vAlign w:val="center"/>
          </w:tcPr>
          <w:p w14:paraId="6743DF6B">
            <w:pPr>
              <w:spacing w:before="0" w:after="0" w:line="288" w:lineRule="auto"/>
              <w:jc w:val="left"/>
            </w:pPr>
            <w:r>
              <w:rPr>
                <w:rFonts w:ascii="仿宋_GB2312" w:hAnsi="仿宋_GB2312" w:eastAsia="仿宋_GB2312"/>
                <w:b w:val="0"/>
                <w:sz w:val="19"/>
              </w:rPr>
              <w:t>管线结霜或冒汽、滴漏、压力波动</w:t>
            </w:r>
          </w:p>
        </w:tc>
        <w:tc>
          <w:tcPr>
            <w:tcW w:w="2268" w:type="dxa"/>
            <w:tcMar>
              <w:top w:w="80" w:type="dxa"/>
              <w:left w:w="90" w:type="dxa"/>
              <w:bottom w:w="80" w:type="dxa"/>
              <w:right w:w="90" w:type="dxa"/>
            </w:tcMar>
            <w:vAlign w:val="center"/>
          </w:tcPr>
          <w:p w14:paraId="2B5EAE2B">
            <w:pPr>
              <w:spacing w:before="0" w:after="0" w:line="288" w:lineRule="auto"/>
              <w:jc w:val="center"/>
            </w:pPr>
            <w:r>
              <w:rPr>
                <w:rFonts w:ascii="仿宋_GB2312" w:hAnsi="仿宋_GB2312" w:eastAsia="仿宋_GB2312"/>
                <w:b w:val="0"/>
                <w:sz w:val="19"/>
              </w:rPr>
              <w:t>避开喷射方向，启动冲洗并报告</w:t>
            </w:r>
          </w:p>
        </w:tc>
      </w:tr>
      <w:tr w14:paraId="61C6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Mar>
              <w:top w:w="80" w:type="dxa"/>
              <w:left w:w="90" w:type="dxa"/>
              <w:bottom w:w="80" w:type="dxa"/>
              <w:right w:w="90" w:type="dxa"/>
            </w:tcMar>
            <w:vAlign w:val="center"/>
          </w:tcPr>
          <w:p w14:paraId="5BF8705F">
            <w:pPr>
              <w:spacing w:before="0" w:after="0" w:line="288" w:lineRule="auto"/>
              <w:jc w:val="center"/>
            </w:pPr>
            <w:r>
              <w:rPr>
                <w:rFonts w:ascii="仿宋_GB2312" w:hAnsi="仿宋_GB2312" w:eastAsia="仿宋_GB2312"/>
                <w:b w:val="0"/>
                <w:sz w:val="19"/>
              </w:rPr>
              <w:t>超压破裂</w:t>
            </w:r>
          </w:p>
        </w:tc>
        <w:tc>
          <w:tcPr>
            <w:tcW w:w="2835" w:type="dxa"/>
            <w:tcMar>
              <w:top w:w="80" w:type="dxa"/>
              <w:left w:w="90" w:type="dxa"/>
              <w:bottom w:w="80" w:type="dxa"/>
              <w:right w:w="90" w:type="dxa"/>
            </w:tcMar>
            <w:vAlign w:val="center"/>
          </w:tcPr>
          <w:p w14:paraId="3FDF37E2">
            <w:pPr>
              <w:spacing w:before="0" w:after="0" w:line="288" w:lineRule="auto"/>
              <w:jc w:val="left"/>
            </w:pPr>
            <w:r>
              <w:rPr>
                <w:rFonts w:ascii="仿宋_GB2312" w:hAnsi="仿宋_GB2312" w:eastAsia="仿宋_GB2312"/>
                <w:b w:val="0"/>
                <w:sz w:val="19"/>
              </w:rPr>
              <w:t>出口堵塞、阀门误关、升温汽化、泄压装置失效</w:t>
            </w:r>
          </w:p>
        </w:tc>
        <w:tc>
          <w:tcPr>
            <w:tcW w:w="2381" w:type="dxa"/>
            <w:tcMar>
              <w:top w:w="80" w:type="dxa"/>
              <w:left w:w="90" w:type="dxa"/>
              <w:bottom w:w="80" w:type="dxa"/>
              <w:right w:w="90" w:type="dxa"/>
            </w:tcMar>
            <w:vAlign w:val="center"/>
          </w:tcPr>
          <w:p w14:paraId="758A06D6">
            <w:pPr>
              <w:spacing w:before="0" w:after="0" w:line="288" w:lineRule="auto"/>
              <w:jc w:val="left"/>
            </w:pPr>
            <w:r>
              <w:rPr>
                <w:rFonts w:ascii="仿宋_GB2312" w:hAnsi="仿宋_GB2312" w:eastAsia="仿宋_GB2312"/>
                <w:b w:val="0"/>
                <w:sz w:val="19"/>
              </w:rPr>
              <w:t>压力快速上升、设备鼓胀、异常振动</w:t>
            </w:r>
          </w:p>
        </w:tc>
        <w:tc>
          <w:tcPr>
            <w:tcW w:w="2268" w:type="dxa"/>
            <w:tcMar>
              <w:top w:w="80" w:type="dxa"/>
              <w:left w:w="90" w:type="dxa"/>
              <w:bottom w:w="80" w:type="dxa"/>
              <w:right w:w="90" w:type="dxa"/>
            </w:tcMar>
            <w:vAlign w:val="center"/>
          </w:tcPr>
          <w:p w14:paraId="53FB9BF7">
            <w:pPr>
              <w:spacing w:before="0" w:after="0" w:line="288" w:lineRule="auto"/>
              <w:jc w:val="left"/>
            </w:pPr>
            <w:r>
              <w:rPr>
                <w:rFonts w:ascii="仿宋_GB2312" w:hAnsi="仿宋_GB2312" w:eastAsia="仿宋_GB2312"/>
                <w:b w:val="0"/>
                <w:sz w:val="19"/>
              </w:rPr>
              <w:t>按规程切断热源和物料，撤离危险方向</w:t>
            </w:r>
          </w:p>
        </w:tc>
      </w:tr>
      <w:tr w14:paraId="7CB4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Mar>
              <w:top w:w="80" w:type="dxa"/>
              <w:left w:w="90" w:type="dxa"/>
              <w:bottom w:w="80" w:type="dxa"/>
              <w:right w:w="90" w:type="dxa"/>
            </w:tcMar>
            <w:vAlign w:val="center"/>
          </w:tcPr>
          <w:p w14:paraId="3D9DF845">
            <w:pPr>
              <w:spacing w:before="0" w:after="0" w:line="288" w:lineRule="auto"/>
              <w:jc w:val="center"/>
            </w:pPr>
            <w:r>
              <w:rPr>
                <w:rFonts w:ascii="仿宋_GB2312" w:hAnsi="仿宋_GB2312" w:eastAsia="仿宋_GB2312"/>
                <w:b w:val="0"/>
                <w:sz w:val="19"/>
              </w:rPr>
              <w:t>机械伤害</w:t>
            </w:r>
          </w:p>
        </w:tc>
        <w:tc>
          <w:tcPr>
            <w:tcW w:w="2835" w:type="dxa"/>
            <w:tcMar>
              <w:top w:w="80" w:type="dxa"/>
              <w:left w:w="90" w:type="dxa"/>
              <w:bottom w:w="80" w:type="dxa"/>
              <w:right w:w="90" w:type="dxa"/>
            </w:tcMar>
            <w:vAlign w:val="center"/>
          </w:tcPr>
          <w:p w14:paraId="6351992C">
            <w:pPr>
              <w:spacing w:before="0" w:after="0" w:line="288" w:lineRule="auto"/>
              <w:jc w:val="left"/>
            </w:pPr>
            <w:r>
              <w:rPr>
                <w:rFonts w:ascii="仿宋_GB2312" w:hAnsi="仿宋_GB2312" w:eastAsia="仿宋_GB2312"/>
                <w:b w:val="0"/>
                <w:sz w:val="19"/>
              </w:rPr>
              <w:t>防护缺失、带压带电检修、误启动</w:t>
            </w:r>
          </w:p>
        </w:tc>
        <w:tc>
          <w:tcPr>
            <w:tcW w:w="2381" w:type="dxa"/>
            <w:tcMar>
              <w:top w:w="80" w:type="dxa"/>
              <w:left w:w="90" w:type="dxa"/>
              <w:bottom w:w="80" w:type="dxa"/>
              <w:right w:w="90" w:type="dxa"/>
            </w:tcMar>
            <w:vAlign w:val="center"/>
          </w:tcPr>
          <w:p w14:paraId="1B344302">
            <w:pPr>
              <w:spacing w:before="0" w:after="0" w:line="288" w:lineRule="auto"/>
              <w:jc w:val="center"/>
            </w:pPr>
            <w:r>
              <w:rPr>
                <w:rFonts w:ascii="仿宋_GB2312" w:hAnsi="仿宋_GB2312" w:eastAsia="仿宋_GB2312"/>
                <w:b w:val="0"/>
                <w:sz w:val="19"/>
              </w:rPr>
              <w:t>设备异响、护罩拆除、挂牌缺失</w:t>
            </w:r>
          </w:p>
        </w:tc>
        <w:tc>
          <w:tcPr>
            <w:tcW w:w="2268" w:type="dxa"/>
            <w:tcMar>
              <w:top w:w="80" w:type="dxa"/>
              <w:left w:w="90" w:type="dxa"/>
              <w:bottom w:w="80" w:type="dxa"/>
              <w:right w:w="90" w:type="dxa"/>
            </w:tcMar>
            <w:vAlign w:val="center"/>
          </w:tcPr>
          <w:p w14:paraId="6DCF89B2">
            <w:pPr>
              <w:spacing w:before="0" w:after="0" w:line="288" w:lineRule="auto"/>
              <w:jc w:val="center"/>
            </w:pPr>
            <w:r>
              <w:rPr>
                <w:rFonts w:ascii="仿宋_GB2312" w:hAnsi="仿宋_GB2312" w:eastAsia="仿宋_GB2312"/>
                <w:b w:val="0"/>
                <w:sz w:val="19"/>
              </w:rPr>
              <w:t>立即停机并实施能量隔离</w:t>
            </w:r>
          </w:p>
        </w:tc>
      </w:tr>
      <w:tr w14:paraId="7EEF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Mar>
              <w:top w:w="80" w:type="dxa"/>
              <w:left w:w="90" w:type="dxa"/>
              <w:bottom w:w="80" w:type="dxa"/>
              <w:right w:w="90" w:type="dxa"/>
            </w:tcMar>
            <w:vAlign w:val="center"/>
          </w:tcPr>
          <w:p w14:paraId="510ED42C">
            <w:pPr>
              <w:spacing w:before="0" w:after="0" w:line="288" w:lineRule="auto"/>
              <w:jc w:val="center"/>
            </w:pPr>
            <w:r>
              <w:rPr>
                <w:rFonts w:ascii="仿宋_GB2312" w:hAnsi="仿宋_GB2312" w:eastAsia="仿宋_GB2312"/>
                <w:b w:val="0"/>
                <w:sz w:val="19"/>
              </w:rPr>
              <w:t>高处坠落/物体打击</w:t>
            </w:r>
          </w:p>
        </w:tc>
        <w:tc>
          <w:tcPr>
            <w:tcW w:w="2835" w:type="dxa"/>
            <w:tcMar>
              <w:top w:w="80" w:type="dxa"/>
              <w:left w:w="90" w:type="dxa"/>
              <w:bottom w:w="80" w:type="dxa"/>
              <w:right w:w="90" w:type="dxa"/>
            </w:tcMar>
            <w:vAlign w:val="center"/>
          </w:tcPr>
          <w:p w14:paraId="7DB663C6">
            <w:pPr>
              <w:spacing w:before="0" w:after="0" w:line="288" w:lineRule="auto"/>
              <w:jc w:val="left"/>
            </w:pPr>
            <w:r>
              <w:rPr>
                <w:rFonts w:ascii="仿宋_GB2312" w:hAnsi="仿宋_GB2312" w:eastAsia="仿宋_GB2312"/>
                <w:b w:val="0"/>
                <w:sz w:val="19"/>
              </w:rPr>
              <w:t>平台缺陷、未系安全带、吊装警戒失效</w:t>
            </w:r>
          </w:p>
        </w:tc>
        <w:tc>
          <w:tcPr>
            <w:tcW w:w="2381" w:type="dxa"/>
            <w:tcMar>
              <w:top w:w="80" w:type="dxa"/>
              <w:left w:w="90" w:type="dxa"/>
              <w:bottom w:w="80" w:type="dxa"/>
              <w:right w:w="90" w:type="dxa"/>
            </w:tcMar>
            <w:vAlign w:val="center"/>
          </w:tcPr>
          <w:p w14:paraId="530E39E8">
            <w:pPr>
              <w:spacing w:before="0" w:after="0" w:line="288" w:lineRule="auto"/>
              <w:jc w:val="center"/>
            </w:pPr>
            <w:r>
              <w:rPr>
                <w:rFonts w:ascii="仿宋_GB2312" w:hAnsi="仿宋_GB2312" w:eastAsia="仿宋_GB2312"/>
                <w:b w:val="0"/>
                <w:sz w:val="19"/>
              </w:rPr>
              <w:t>临边洞口未防护、吊物下站人</w:t>
            </w:r>
          </w:p>
        </w:tc>
        <w:tc>
          <w:tcPr>
            <w:tcW w:w="2268" w:type="dxa"/>
            <w:tcMar>
              <w:top w:w="80" w:type="dxa"/>
              <w:left w:w="90" w:type="dxa"/>
              <w:bottom w:w="80" w:type="dxa"/>
              <w:right w:w="90" w:type="dxa"/>
            </w:tcMar>
            <w:vAlign w:val="center"/>
          </w:tcPr>
          <w:p w14:paraId="3ECD97DF">
            <w:pPr>
              <w:spacing w:before="0" w:after="0" w:line="288" w:lineRule="auto"/>
              <w:jc w:val="left"/>
            </w:pPr>
            <w:r>
              <w:rPr>
                <w:rFonts w:ascii="仿宋_GB2312" w:hAnsi="仿宋_GB2312" w:eastAsia="仿宋_GB2312"/>
                <w:b w:val="0"/>
                <w:sz w:val="19"/>
              </w:rPr>
              <w:t>停止作业，完善防护和警戒后再作业</w:t>
            </w:r>
          </w:p>
        </w:tc>
      </w:tr>
    </w:tbl>
    <w:p w14:paraId="6784AED2">
      <w:pPr>
        <w:spacing w:after="0"/>
      </w:pPr>
    </w:p>
    <w:p w14:paraId="40F839D1">
      <w:pPr>
        <w:pStyle w:val="4"/>
        <w:keepNext/>
        <w:spacing w:before="160" w:after="0" w:line="360" w:lineRule="auto"/>
      </w:pPr>
      <w:r>
        <w:rPr>
          <w:rFonts w:ascii="仿宋_GB2312" w:hAnsi="仿宋_GB2312" w:eastAsia="仿宋_GB2312"/>
          <w:b/>
          <w:sz w:val="28"/>
        </w:rPr>
        <w:t>三、认识安全保护层</w:t>
      </w:r>
    </w:p>
    <w:p w14:paraId="7C8B8C6D">
      <w:pPr>
        <w:spacing w:before="0" w:after="0" w:line="360" w:lineRule="auto"/>
        <w:ind w:firstLine="480"/>
        <w:jc w:val="both"/>
      </w:pPr>
      <w:r>
        <w:rPr>
          <w:rFonts w:ascii="仿宋_GB2312" w:hAnsi="仿宋_GB2312" w:eastAsia="仿宋_GB2312"/>
          <w:b w:val="0"/>
          <w:sz w:val="24"/>
        </w:rPr>
        <w:t>工艺本质安全、设备结构、控制系统、报警、联锁、安全阀或爆破片、围堰、防火堤、可燃有毒气体检测、消防设施、操作规程、作业许可和人员防护共同构成保护层。任何一层失效都应被视为风险上升；未经批准不得屏蔽、拆除、短接、旁路或降低其功能。</w:t>
      </w:r>
    </w:p>
    <w:p w14:paraId="3E586D3D">
      <w:pPr>
        <w:pStyle w:val="4"/>
        <w:keepNext/>
        <w:spacing w:before="160" w:after="0" w:line="360" w:lineRule="auto"/>
      </w:pPr>
      <w:r>
        <w:rPr>
          <w:rFonts w:ascii="仿宋_GB2312" w:hAnsi="仿宋_GB2312" w:eastAsia="仿宋_GB2312"/>
          <w:b/>
          <w:sz w:val="28"/>
        </w:rPr>
        <w:t>四、异常状态比正常状态更危险</w:t>
      </w:r>
    </w:p>
    <w:p w14:paraId="6DA28805">
      <w:pPr>
        <w:spacing w:before="0" w:after="0" w:line="360" w:lineRule="auto"/>
        <w:ind w:firstLine="480"/>
        <w:jc w:val="both"/>
      </w:pPr>
      <w:r>
        <w:rPr>
          <w:rFonts w:ascii="仿宋_GB2312" w:hAnsi="仿宋_GB2312" w:eastAsia="仿宋_GB2312"/>
          <w:b w:val="0"/>
          <w:sz w:val="24"/>
        </w:rPr>
        <w:t>开停车、首次投产、长期停用后恢复、原料变化、设备故障、临时工艺、检维修交出和接回、仪表校验、联锁试验、停水停电停汽停冷等状态，必须执行专项方案和确认清单。员工不得用正常生产经验替代异常状态的风险分析。</w:t>
      </w:r>
    </w:p>
    <w:p w14:paraId="37353452">
      <w:pPr>
        <w:pStyle w:val="3"/>
        <w:keepNext/>
        <w:pageBreakBefore/>
        <w:spacing w:before="0" w:after="200" w:line="360" w:lineRule="auto"/>
        <w:jc w:val="center"/>
      </w:pPr>
      <w:r>
        <w:rPr>
          <w:rFonts w:ascii="方正小标宋简体" w:hAnsi="方正小标宋简体" w:eastAsia="方正小标宋简体"/>
          <w:b/>
          <w:sz w:val="36"/>
        </w:rPr>
        <w:t>第三章  全员基本安全纪律与行为红线</w:t>
      </w:r>
    </w:p>
    <w:p w14:paraId="7EF07CEB">
      <w:pPr>
        <w:pStyle w:val="4"/>
        <w:keepNext/>
        <w:spacing w:before="160" w:after="0" w:line="360" w:lineRule="auto"/>
      </w:pPr>
      <w:r>
        <w:rPr>
          <w:rFonts w:ascii="仿宋_GB2312" w:hAnsi="仿宋_GB2312" w:eastAsia="仿宋_GB2312"/>
          <w:b/>
          <w:sz w:val="28"/>
        </w:rPr>
        <w:t>一、进入生产区域前</w:t>
      </w:r>
    </w:p>
    <w:p w14:paraId="01FA2525">
      <w:pPr>
        <w:spacing w:before="0" w:after="0" w:line="360" w:lineRule="auto"/>
        <w:ind w:left="0" w:firstLine="0"/>
        <w:jc w:val="both"/>
      </w:pPr>
      <w:r>
        <w:rPr>
          <w:rFonts w:ascii="仿宋_GB2312" w:hAnsi="仿宋_GB2312" w:eastAsia="仿宋_GB2312"/>
          <w:sz w:val="24"/>
        </w:rPr>
        <w:t>1. 按规定完成安全培训、岗位授权和健康条件确认，未经许可不得进入受限区域。</w:t>
      </w:r>
    </w:p>
    <w:p w14:paraId="5B73D9FF">
      <w:pPr>
        <w:spacing w:before="0" w:after="0" w:line="360" w:lineRule="auto"/>
        <w:ind w:left="0" w:firstLine="0"/>
        <w:jc w:val="both"/>
      </w:pPr>
      <w:r>
        <w:rPr>
          <w:rFonts w:ascii="仿宋_GB2312" w:hAnsi="仿宋_GB2312" w:eastAsia="仿宋_GB2312"/>
          <w:sz w:val="24"/>
        </w:rPr>
        <w:t>2. 穿戴与区域风险相适应的工作服、安全鞋、安全帽、护目镜等防护用品，长发应盘入帽内。</w:t>
      </w:r>
    </w:p>
    <w:p w14:paraId="3BB98BE6">
      <w:pPr>
        <w:spacing w:before="0" w:after="0" w:line="360" w:lineRule="auto"/>
        <w:ind w:left="0" w:firstLine="0"/>
        <w:jc w:val="both"/>
      </w:pPr>
      <w:r>
        <w:rPr>
          <w:rFonts w:ascii="仿宋_GB2312" w:hAnsi="仿宋_GB2312" w:eastAsia="仿宋_GB2312"/>
          <w:sz w:val="24"/>
        </w:rPr>
        <w:t>3. 禁止携带火种和不符合防爆要求的电子设备进入禁火、禁用区域。</w:t>
      </w:r>
    </w:p>
    <w:p w14:paraId="7E94C40F">
      <w:pPr>
        <w:spacing w:before="0" w:after="0" w:line="360" w:lineRule="auto"/>
        <w:ind w:left="0" w:firstLine="0"/>
        <w:jc w:val="both"/>
      </w:pPr>
      <w:r>
        <w:rPr>
          <w:rFonts w:ascii="仿宋_GB2312" w:hAnsi="仿宋_GB2312" w:eastAsia="仿宋_GB2312"/>
          <w:sz w:val="24"/>
        </w:rPr>
        <w:t>4. 了解最近的疏散路线、集合点、报警按钮、洗眼器、喷淋器和灭火器位置。</w:t>
      </w:r>
    </w:p>
    <w:p w14:paraId="5ECA0A14">
      <w:pPr>
        <w:pStyle w:val="4"/>
        <w:keepNext/>
        <w:spacing w:before="160" w:after="0" w:line="360" w:lineRule="auto"/>
      </w:pPr>
      <w:r>
        <w:rPr>
          <w:rFonts w:ascii="仿宋_GB2312" w:hAnsi="仿宋_GB2312" w:eastAsia="仿宋_GB2312"/>
          <w:b/>
          <w:sz w:val="28"/>
        </w:rPr>
        <w:t>二、作业过程基本纪律</w:t>
      </w:r>
    </w:p>
    <w:p w14:paraId="564B521A">
      <w:pPr>
        <w:spacing w:before="0" w:after="0" w:line="360" w:lineRule="auto"/>
        <w:ind w:left="0" w:firstLine="0"/>
        <w:jc w:val="both"/>
      </w:pPr>
      <w:r>
        <w:rPr>
          <w:rFonts w:ascii="仿宋_GB2312" w:hAnsi="仿宋_GB2312" w:eastAsia="仿宋_GB2312"/>
          <w:sz w:val="24"/>
        </w:rPr>
        <w:t>1. 严格执行操作规程、工艺卡片和指令，禁止凭经验擅自改变投料量、投料顺序、温度、压力、搅拌或反应时间。</w:t>
      </w:r>
    </w:p>
    <w:p w14:paraId="631BC934">
      <w:pPr>
        <w:spacing w:before="0" w:after="0" w:line="360" w:lineRule="auto"/>
        <w:ind w:left="0" w:firstLine="0"/>
        <w:jc w:val="both"/>
      </w:pPr>
      <w:r>
        <w:rPr>
          <w:rFonts w:ascii="仿宋_GB2312" w:hAnsi="仿宋_GB2312" w:eastAsia="仿宋_GB2312"/>
          <w:sz w:val="24"/>
        </w:rPr>
        <w:t>2. 执行操作前确认设备位号、管线去向、阀门状态和介质，关键操作应按要求复核或双人确认。</w:t>
      </w:r>
    </w:p>
    <w:p w14:paraId="1C695A76">
      <w:pPr>
        <w:spacing w:before="0" w:after="0" w:line="360" w:lineRule="auto"/>
        <w:ind w:left="0" w:firstLine="0"/>
        <w:jc w:val="both"/>
      </w:pPr>
      <w:r>
        <w:rPr>
          <w:rFonts w:ascii="仿宋_GB2312" w:hAnsi="仿宋_GB2312" w:eastAsia="仿宋_GB2312"/>
          <w:sz w:val="24"/>
        </w:rPr>
        <w:t>3. 不得离岗、睡岗、串岗、玩手机或从事与岗位无关的活动；不得酒后上岗。</w:t>
      </w:r>
    </w:p>
    <w:p w14:paraId="06247287">
      <w:pPr>
        <w:spacing w:before="0" w:after="0" w:line="360" w:lineRule="auto"/>
        <w:ind w:left="0" w:firstLine="0"/>
        <w:jc w:val="both"/>
      </w:pPr>
      <w:r>
        <w:rPr>
          <w:rFonts w:ascii="仿宋_GB2312" w:hAnsi="仿宋_GB2312" w:eastAsia="仿宋_GB2312"/>
          <w:sz w:val="24"/>
        </w:rPr>
        <w:t>4. 不得擅自解除报警联锁、拆除防护装置、封堵泄压口或用不合格材料临时替代。</w:t>
      </w:r>
    </w:p>
    <w:p w14:paraId="4BA36214">
      <w:pPr>
        <w:spacing w:before="0" w:after="0" w:line="360" w:lineRule="auto"/>
        <w:ind w:left="0" w:firstLine="0"/>
        <w:jc w:val="both"/>
      </w:pPr>
      <w:r>
        <w:rPr>
          <w:rFonts w:ascii="仿宋_GB2312" w:hAnsi="仿宋_GB2312" w:eastAsia="仿宋_GB2312"/>
          <w:sz w:val="24"/>
        </w:rPr>
        <w:t>5. 不得跨越运行设备、钻越输送设施、站在吊物下方或进入未设防护的危险区域。</w:t>
      </w:r>
    </w:p>
    <w:p w14:paraId="5305E697">
      <w:pPr>
        <w:spacing w:before="0" w:after="0" w:line="360" w:lineRule="auto"/>
        <w:ind w:left="0" w:firstLine="0"/>
        <w:jc w:val="both"/>
      </w:pPr>
      <w:r>
        <w:rPr>
          <w:rFonts w:ascii="仿宋_GB2312" w:hAnsi="仿宋_GB2312" w:eastAsia="仿宋_GB2312"/>
          <w:sz w:val="24"/>
        </w:rPr>
        <w:t>6. 发现他人违章应及时制止；无法制止时立即报告班组长或管理人员。</w:t>
      </w:r>
    </w:p>
    <w:p w14:paraId="24C4E475">
      <w:pPr>
        <w:pStyle w:val="4"/>
        <w:keepNext/>
        <w:spacing w:before="160" w:after="0" w:line="360" w:lineRule="auto"/>
      </w:pPr>
      <w:r>
        <w:rPr>
          <w:rFonts w:ascii="仿宋_GB2312" w:hAnsi="仿宋_GB2312" w:eastAsia="仿宋_GB2312"/>
          <w:b/>
          <w:sz w:val="28"/>
        </w:rPr>
        <w:t>三、十项行为红线</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14:paraId="297C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shd w:val="clear" w:color="auto" w:fill="FFF2CC"/>
            <w:vAlign w:val="center"/>
          </w:tcPr>
          <w:p w14:paraId="26D955CD">
            <w:pPr>
              <w:spacing w:before="0" w:after="0" w:line="288" w:lineRule="auto"/>
              <w:jc w:val="center"/>
            </w:pPr>
            <w:r>
              <w:rPr>
                <w:rFonts w:ascii="仿宋_GB2312" w:hAnsi="仿宋_GB2312" w:eastAsia="仿宋_GB2312"/>
                <w:b/>
                <w:sz w:val="24"/>
              </w:rPr>
              <w:t>任何人员不得实施以下行为</w:t>
            </w:r>
          </w:p>
        </w:tc>
      </w:tr>
      <w:tr w14:paraId="7F08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783686CC">
            <w:pPr>
              <w:spacing w:before="0" w:after="0" w:line="288" w:lineRule="auto"/>
              <w:jc w:val="left"/>
            </w:pPr>
            <w:r>
              <w:rPr>
                <w:rFonts w:ascii="仿宋_GB2312" w:hAnsi="仿宋_GB2312" w:eastAsia="仿宋_GB2312"/>
                <w:b w:val="0"/>
                <w:sz w:val="22"/>
              </w:rPr>
              <w:t>1. 无票证、票证过期或安全措施未落实即开展特殊作业。</w:t>
            </w:r>
          </w:p>
        </w:tc>
      </w:tr>
      <w:tr w14:paraId="4927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3360B03A">
            <w:pPr>
              <w:spacing w:before="0" w:after="0" w:line="288" w:lineRule="auto"/>
              <w:jc w:val="left"/>
            </w:pPr>
            <w:r>
              <w:rPr>
                <w:rFonts w:ascii="仿宋_GB2312" w:hAnsi="仿宋_GB2312" w:eastAsia="仿宋_GB2312"/>
                <w:b w:val="0"/>
                <w:sz w:val="22"/>
              </w:rPr>
              <w:t>2. 未检测、未通风、无人监护进入受限空间。</w:t>
            </w:r>
          </w:p>
        </w:tc>
      </w:tr>
      <w:tr w14:paraId="3CF0A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44725AE9">
            <w:pPr>
              <w:spacing w:before="0" w:after="0" w:line="288" w:lineRule="auto"/>
              <w:jc w:val="left"/>
            </w:pPr>
            <w:r>
              <w:rPr>
                <w:rFonts w:ascii="仿宋_GB2312" w:hAnsi="仿宋_GB2312" w:eastAsia="仿宋_GB2312"/>
                <w:b w:val="0"/>
                <w:sz w:val="22"/>
              </w:rPr>
              <w:t>3. 未隔离、未泄压、未置换即拆卸设备、管线或阀门。</w:t>
            </w:r>
          </w:p>
        </w:tc>
      </w:tr>
      <w:tr w14:paraId="5F87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24FD3997">
            <w:pPr>
              <w:spacing w:before="0" w:after="0" w:line="288" w:lineRule="auto"/>
              <w:jc w:val="left"/>
            </w:pPr>
            <w:r>
              <w:rPr>
                <w:rFonts w:ascii="仿宋_GB2312" w:hAnsi="仿宋_GB2312" w:eastAsia="仿宋_GB2312"/>
                <w:b w:val="0"/>
                <w:sz w:val="22"/>
              </w:rPr>
              <w:t>4. 擅自屏蔽、短接、旁路报警联锁和安全仪表功能。</w:t>
            </w:r>
          </w:p>
        </w:tc>
      </w:tr>
      <w:tr w14:paraId="5D90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79502693">
            <w:pPr>
              <w:spacing w:before="0" w:after="0" w:line="288" w:lineRule="auto"/>
              <w:jc w:val="left"/>
            </w:pPr>
            <w:r>
              <w:rPr>
                <w:rFonts w:ascii="仿宋_GB2312" w:hAnsi="仿宋_GB2312" w:eastAsia="仿宋_GB2312"/>
                <w:b w:val="0"/>
                <w:sz w:val="22"/>
              </w:rPr>
              <w:t>5. 在禁火区域吸烟、使用明火或非防爆工具设备。</w:t>
            </w:r>
          </w:p>
        </w:tc>
      </w:tr>
      <w:tr w14:paraId="4B61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62FC9196">
            <w:pPr>
              <w:spacing w:before="0" w:after="0" w:line="288" w:lineRule="auto"/>
              <w:jc w:val="left"/>
            </w:pPr>
            <w:r>
              <w:rPr>
                <w:rFonts w:ascii="仿宋_GB2312" w:hAnsi="仿宋_GB2312" w:eastAsia="仿宋_GB2312"/>
                <w:b w:val="0"/>
                <w:sz w:val="22"/>
              </w:rPr>
              <w:t>6. 设备运行中拆护罩、清理、调整、润滑或处理卡堵。</w:t>
            </w:r>
          </w:p>
        </w:tc>
      </w:tr>
      <w:tr w14:paraId="2CFF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3D50C05E">
            <w:pPr>
              <w:spacing w:before="0" w:after="0" w:line="288" w:lineRule="auto"/>
              <w:jc w:val="left"/>
            </w:pPr>
            <w:r>
              <w:rPr>
                <w:rFonts w:ascii="仿宋_GB2312" w:hAnsi="仿宋_GB2312" w:eastAsia="仿宋_GB2312"/>
                <w:b w:val="0"/>
                <w:sz w:val="22"/>
              </w:rPr>
              <w:t>7. 未确认物料和设备状态即误开误关阀门、误送电、误启动。</w:t>
            </w:r>
          </w:p>
        </w:tc>
      </w:tr>
      <w:tr w14:paraId="40B5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52E76A77">
            <w:pPr>
              <w:spacing w:before="0" w:after="0" w:line="288" w:lineRule="auto"/>
              <w:jc w:val="left"/>
            </w:pPr>
            <w:r>
              <w:rPr>
                <w:rFonts w:ascii="仿宋_GB2312" w:hAnsi="仿宋_GB2312" w:eastAsia="仿宋_GB2312"/>
                <w:b w:val="0"/>
                <w:sz w:val="22"/>
              </w:rPr>
              <w:t>8. 高处作业不系安全带、吊装作业人员进入吊物下方。</w:t>
            </w:r>
          </w:p>
        </w:tc>
      </w:tr>
      <w:tr w14:paraId="42C1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462F5D36">
            <w:pPr>
              <w:spacing w:before="0" w:after="0" w:line="288" w:lineRule="auto"/>
              <w:jc w:val="left"/>
            </w:pPr>
            <w:r>
              <w:rPr>
                <w:rFonts w:ascii="仿宋_GB2312" w:hAnsi="仿宋_GB2312" w:eastAsia="仿宋_GB2312"/>
                <w:b w:val="0"/>
                <w:sz w:val="22"/>
              </w:rPr>
              <w:t>9. 事故险情中无防护盲目施救。</w:t>
            </w:r>
          </w:p>
        </w:tc>
      </w:tr>
      <w:tr w14:paraId="05F4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609E4F71">
            <w:pPr>
              <w:spacing w:before="0" w:after="0" w:line="288" w:lineRule="auto"/>
              <w:jc w:val="left"/>
            </w:pPr>
            <w:r>
              <w:rPr>
                <w:rFonts w:ascii="仿宋_GB2312" w:hAnsi="仿宋_GB2312" w:eastAsia="仿宋_GB2312"/>
                <w:b w:val="0"/>
                <w:sz w:val="22"/>
              </w:rPr>
              <w:t>10. 瞒报、迟报事故和异常，伪造记录或替签票证。</w:t>
            </w:r>
          </w:p>
        </w:tc>
      </w:tr>
    </w:tbl>
    <w:p w14:paraId="75312FD7"/>
    <w:p w14:paraId="53CB2561">
      <w:pPr>
        <w:pStyle w:val="4"/>
        <w:keepNext/>
        <w:spacing w:before="160" w:after="0" w:line="360" w:lineRule="auto"/>
      </w:pPr>
      <w:r>
        <w:rPr>
          <w:rFonts w:ascii="仿宋_GB2312" w:hAnsi="仿宋_GB2312" w:eastAsia="仿宋_GB2312"/>
          <w:b/>
          <w:sz w:val="28"/>
        </w:rPr>
        <w:t>四、记录真实性</w:t>
      </w:r>
    </w:p>
    <w:p w14:paraId="2FAA3DED">
      <w:pPr>
        <w:spacing w:before="0" w:after="0" w:line="360" w:lineRule="auto"/>
        <w:ind w:firstLine="480"/>
        <w:jc w:val="both"/>
      </w:pPr>
      <w:r>
        <w:rPr>
          <w:rFonts w:ascii="仿宋_GB2312" w:hAnsi="仿宋_GB2312" w:eastAsia="仿宋_GB2312"/>
          <w:b w:val="0"/>
          <w:sz w:val="24"/>
        </w:rPr>
        <w:t>生产记录、巡检记录、交接班记录、检测数据、作业票证、培训记录和设备状态记录必须与现场同步、真实、完整。禁止提前填写、事后集中补写、代签、涂改关键数据或删除报警记录。发现记录错误应按规定更正并保留痕迹。</w:t>
      </w:r>
    </w:p>
    <w:p w14:paraId="63008AA8">
      <w:pPr>
        <w:pStyle w:val="3"/>
        <w:keepNext/>
        <w:pageBreakBefore/>
        <w:spacing w:before="0" w:after="200" w:line="360" w:lineRule="auto"/>
        <w:jc w:val="center"/>
      </w:pPr>
      <w:r>
        <w:rPr>
          <w:rFonts w:ascii="方正小标宋简体" w:hAnsi="方正小标宋简体" w:eastAsia="方正小标宋简体"/>
          <w:b/>
          <w:sz w:val="36"/>
        </w:rPr>
        <w:t>第四章  工艺安全与岗位操作控制</w:t>
      </w:r>
    </w:p>
    <w:p w14:paraId="4D4DA1D5">
      <w:pPr>
        <w:pStyle w:val="4"/>
        <w:keepNext/>
        <w:spacing w:before="160" w:after="0" w:line="360" w:lineRule="auto"/>
      </w:pPr>
      <w:r>
        <w:rPr>
          <w:rFonts w:ascii="仿宋_GB2312" w:hAnsi="仿宋_GB2312" w:eastAsia="仿宋_GB2312"/>
          <w:b/>
          <w:sz w:val="28"/>
        </w:rPr>
        <w:t>一、岗位人员必须掌握的工艺信息</w:t>
      </w:r>
    </w:p>
    <w:p w14:paraId="5434B88B">
      <w:pPr>
        <w:spacing w:before="0" w:after="0" w:line="360" w:lineRule="auto"/>
        <w:ind w:left="0" w:firstLine="0"/>
        <w:jc w:val="both"/>
      </w:pPr>
      <w:r>
        <w:rPr>
          <w:rFonts w:ascii="仿宋_GB2312" w:hAnsi="仿宋_GB2312" w:eastAsia="仿宋_GB2312"/>
          <w:sz w:val="24"/>
        </w:rPr>
        <w:t>1. 本岗位涉及的物料名称、主要危险特性、不相容物质和泄漏处置原则。</w:t>
      </w:r>
    </w:p>
    <w:p w14:paraId="59022E0C">
      <w:pPr>
        <w:spacing w:before="0" w:after="0" w:line="360" w:lineRule="auto"/>
        <w:ind w:left="0" w:firstLine="0"/>
        <w:jc w:val="both"/>
      </w:pPr>
      <w:r>
        <w:rPr>
          <w:rFonts w:ascii="仿宋_GB2312" w:hAnsi="仿宋_GB2312" w:eastAsia="仿宋_GB2312"/>
          <w:sz w:val="24"/>
        </w:rPr>
        <w:t>2. 设备位号、物料流程、阀门和管线去向、正常运行状态及关键联锁。</w:t>
      </w:r>
    </w:p>
    <w:p w14:paraId="6D130409">
      <w:pPr>
        <w:spacing w:before="0" w:after="0" w:line="360" w:lineRule="auto"/>
        <w:ind w:left="0" w:firstLine="0"/>
        <w:jc w:val="both"/>
      </w:pPr>
      <w:r>
        <w:rPr>
          <w:rFonts w:ascii="仿宋_GB2312" w:hAnsi="仿宋_GB2312" w:eastAsia="仿宋_GB2312"/>
          <w:sz w:val="24"/>
        </w:rPr>
        <w:t>3. 温度、压力、液位、流量、搅拌转速、pH等正常控制范围和报警值。</w:t>
      </w:r>
    </w:p>
    <w:p w14:paraId="458A39E1">
      <w:pPr>
        <w:spacing w:before="0" w:after="0" w:line="360" w:lineRule="auto"/>
        <w:ind w:left="0" w:firstLine="0"/>
        <w:jc w:val="both"/>
      </w:pPr>
      <w:r>
        <w:rPr>
          <w:rFonts w:ascii="仿宋_GB2312" w:hAnsi="仿宋_GB2312" w:eastAsia="仿宋_GB2312"/>
          <w:sz w:val="24"/>
        </w:rPr>
        <w:t>4. 开车、正常运行、切换、停车、清洗和紧急停车的操作步骤。</w:t>
      </w:r>
    </w:p>
    <w:p w14:paraId="62C049EF">
      <w:pPr>
        <w:spacing w:before="0" w:after="0" w:line="360" w:lineRule="auto"/>
        <w:ind w:left="0" w:firstLine="0"/>
        <w:jc w:val="both"/>
      </w:pPr>
      <w:r>
        <w:rPr>
          <w:rFonts w:ascii="仿宋_GB2312" w:hAnsi="仿宋_GB2312" w:eastAsia="仿宋_GB2312"/>
          <w:sz w:val="24"/>
        </w:rPr>
        <w:t>5. 异常情况的判断标准、报告路径、应急操作和撤离条件。</w:t>
      </w:r>
    </w:p>
    <w:p w14:paraId="2A8EBD28">
      <w:pPr>
        <w:pStyle w:val="4"/>
        <w:keepNext/>
        <w:spacing w:before="160" w:after="0" w:line="360" w:lineRule="auto"/>
      </w:pPr>
      <w:r>
        <w:rPr>
          <w:rFonts w:ascii="仿宋_GB2312" w:hAnsi="仿宋_GB2312" w:eastAsia="仿宋_GB2312"/>
          <w:b/>
          <w:sz w:val="28"/>
        </w:rPr>
        <w:t>二、操作前确认</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732F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84" w:type="dxa"/>
            <w:shd w:val="clear" w:color="auto" w:fill="D9EAF7"/>
            <w:tcMar>
              <w:top w:w="80" w:type="dxa"/>
              <w:left w:w="90" w:type="dxa"/>
              <w:bottom w:w="80" w:type="dxa"/>
              <w:right w:w="90" w:type="dxa"/>
            </w:tcMar>
            <w:vAlign w:val="center"/>
          </w:tcPr>
          <w:p w14:paraId="44F6CC32">
            <w:pPr>
              <w:spacing w:before="0" w:after="0" w:line="288" w:lineRule="auto"/>
              <w:jc w:val="center"/>
            </w:pPr>
            <w:r>
              <w:rPr>
                <w:rFonts w:ascii="仿宋_GB2312" w:hAnsi="仿宋_GB2312" w:eastAsia="仿宋_GB2312"/>
                <w:b/>
                <w:sz w:val="21"/>
              </w:rPr>
              <w:t>确认类别</w:t>
            </w:r>
          </w:p>
        </w:tc>
        <w:tc>
          <w:tcPr>
            <w:tcW w:w="7087" w:type="dxa"/>
            <w:shd w:val="clear" w:color="auto" w:fill="D9EAF7"/>
            <w:tcMar>
              <w:top w:w="80" w:type="dxa"/>
              <w:left w:w="90" w:type="dxa"/>
              <w:bottom w:w="80" w:type="dxa"/>
              <w:right w:w="90" w:type="dxa"/>
            </w:tcMar>
            <w:vAlign w:val="center"/>
          </w:tcPr>
          <w:p w14:paraId="6CEA7C5D">
            <w:pPr>
              <w:spacing w:before="0" w:after="0" w:line="288" w:lineRule="auto"/>
              <w:jc w:val="center"/>
            </w:pPr>
            <w:r>
              <w:rPr>
                <w:rFonts w:ascii="仿宋_GB2312" w:hAnsi="仿宋_GB2312" w:eastAsia="仿宋_GB2312"/>
                <w:b/>
                <w:sz w:val="21"/>
              </w:rPr>
              <w:t>主要确认内容</w:t>
            </w:r>
          </w:p>
        </w:tc>
      </w:tr>
      <w:tr w14:paraId="55FB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Mar>
              <w:top w:w="80" w:type="dxa"/>
              <w:left w:w="90" w:type="dxa"/>
              <w:bottom w:w="80" w:type="dxa"/>
              <w:right w:w="90" w:type="dxa"/>
            </w:tcMar>
            <w:vAlign w:val="center"/>
          </w:tcPr>
          <w:p w14:paraId="6E2A97CD">
            <w:pPr>
              <w:spacing w:before="0" w:after="0" w:line="288" w:lineRule="auto"/>
              <w:jc w:val="center"/>
            </w:pPr>
            <w:r>
              <w:rPr>
                <w:rFonts w:ascii="仿宋_GB2312" w:hAnsi="仿宋_GB2312" w:eastAsia="仿宋_GB2312"/>
                <w:b w:val="0"/>
                <w:sz w:val="21"/>
              </w:rPr>
              <w:t>人员</w:t>
            </w:r>
          </w:p>
        </w:tc>
        <w:tc>
          <w:tcPr>
            <w:tcW w:w="7087" w:type="dxa"/>
            <w:tcMar>
              <w:top w:w="80" w:type="dxa"/>
              <w:left w:w="90" w:type="dxa"/>
              <w:bottom w:w="80" w:type="dxa"/>
              <w:right w:w="90" w:type="dxa"/>
            </w:tcMar>
            <w:vAlign w:val="center"/>
          </w:tcPr>
          <w:p w14:paraId="7399A1D3">
            <w:pPr>
              <w:spacing w:before="0" w:after="0" w:line="288" w:lineRule="auto"/>
              <w:jc w:val="left"/>
            </w:pPr>
            <w:r>
              <w:rPr>
                <w:rFonts w:ascii="仿宋_GB2312" w:hAnsi="仿宋_GB2312" w:eastAsia="仿宋_GB2312"/>
                <w:b w:val="0"/>
                <w:sz w:val="21"/>
              </w:rPr>
              <w:t>培训授权有效，精神状态良好，防护用品齐全，关键操作复核人员到位</w:t>
            </w:r>
          </w:p>
        </w:tc>
      </w:tr>
      <w:tr w14:paraId="5DB3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Mar>
              <w:top w:w="80" w:type="dxa"/>
              <w:left w:w="90" w:type="dxa"/>
              <w:bottom w:w="80" w:type="dxa"/>
              <w:right w:w="90" w:type="dxa"/>
            </w:tcMar>
            <w:vAlign w:val="center"/>
          </w:tcPr>
          <w:p w14:paraId="539510FB">
            <w:pPr>
              <w:spacing w:before="0" w:after="0" w:line="288" w:lineRule="auto"/>
              <w:jc w:val="center"/>
            </w:pPr>
            <w:r>
              <w:rPr>
                <w:rFonts w:ascii="仿宋_GB2312" w:hAnsi="仿宋_GB2312" w:eastAsia="仿宋_GB2312"/>
                <w:b w:val="0"/>
                <w:sz w:val="21"/>
              </w:rPr>
              <w:t>设备</w:t>
            </w:r>
          </w:p>
        </w:tc>
        <w:tc>
          <w:tcPr>
            <w:tcW w:w="7087" w:type="dxa"/>
            <w:tcMar>
              <w:top w:w="80" w:type="dxa"/>
              <w:left w:w="90" w:type="dxa"/>
              <w:bottom w:w="80" w:type="dxa"/>
              <w:right w:w="90" w:type="dxa"/>
            </w:tcMar>
            <w:vAlign w:val="center"/>
          </w:tcPr>
          <w:p w14:paraId="264C6780">
            <w:pPr>
              <w:spacing w:before="0" w:after="0" w:line="288" w:lineRule="auto"/>
              <w:jc w:val="left"/>
            </w:pPr>
            <w:r>
              <w:rPr>
                <w:rFonts w:ascii="仿宋_GB2312" w:hAnsi="仿宋_GB2312" w:eastAsia="仿宋_GB2312"/>
                <w:b w:val="0"/>
                <w:sz w:val="21"/>
              </w:rPr>
              <w:t>设备完好，护罩和安全附件齐全，检维修交出接回手续完成</w:t>
            </w:r>
          </w:p>
        </w:tc>
      </w:tr>
      <w:tr w14:paraId="0ED4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Mar>
              <w:top w:w="80" w:type="dxa"/>
              <w:left w:w="90" w:type="dxa"/>
              <w:bottom w:w="80" w:type="dxa"/>
              <w:right w:w="90" w:type="dxa"/>
            </w:tcMar>
            <w:vAlign w:val="center"/>
          </w:tcPr>
          <w:p w14:paraId="74087EF0">
            <w:pPr>
              <w:spacing w:before="0" w:after="0" w:line="288" w:lineRule="auto"/>
              <w:jc w:val="center"/>
            </w:pPr>
            <w:r>
              <w:rPr>
                <w:rFonts w:ascii="仿宋_GB2312" w:hAnsi="仿宋_GB2312" w:eastAsia="仿宋_GB2312"/>
                <w:b w:val="0"/>
                <w:sz w:val="21"/>
              </w:rPr>
              <w:t>物料</w:t>
            </w:r>
          </w:p>
        </w:tc>
        <w:tc>
          <w:tcPr>
            <w:tcW w:w="7087" w:type="dxa"/>
            <w:tcMar>
              <w:top w:w="80" w:type="dxa"/>
              <w:left w:w="90" w:type="dxa"/>
              <w:bottom w:w="80" w:type="dxa"/>
              <w:right w:w="90" w:type="dxa"/>
            </w:tcMar>
            <w:vAlign w:val="center"/>
          </w:tcPr>
          <w:p w14:paraId="0D08DCCA">
            <w:pPr>
              <w:spacing w:before="0" w:after="0" w:line="288" w:lineRule="auto"/>
              <w:jc w:val="left"/>
            </w:pPr>
            <w:r>
              <w:rPr>
                <w:rFonts w:ascii="仿宋_GB2312" w:hAnsi="仿宋_GB2312" w:eastAsia="仿宋_GB2312"/>
                <w:b w:val="0"/>
                <w:sz w:val="21"/>
              </w:rPr>
              <w:t>名称、批次、数量、浓度、温度和质量状态符合要求，不相容物料已隔离</w:t>
            </w:r>
          </w:p>
        </w:tc>
      </w:tr>
      <w:tr w14:paraId="67FA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Mar>
              <w:top w:w="80" w:type="dxa"/>
              <w:left w:w="90" w:type="dxa"/>
              <w:bottom w:w="80" w:type="dxa"/>
              <w:right w:w="90" w:type="dxa"/>
            </w:tcMar>
            <w:vAlign w:val="center"/>
          </w:tcPr>
          <w:p w14:paraId="4AE41439">
            <w:pPr>
              <w:spacing w:before="0" w:after="0" w:line="288" w:lineRule="auto"/>
              <w:jc w:val="center"/>
            </w:pPr>
            <w:r>
              <w:rPr>
                <w:rFonts w:ascii="仿宋_GB2312" w:hAnsi="仿宋_GB2312" w:eastAsia="仿宋_GB2312"/>
                <w:b w:val="0"/>
                <w:sz w:val="21"/>
              </w:rPr>
              <w:t>仪表联锁</w:t>
            </w:r>
          </w:p>
        </w:tc>
        <w:tc>
          <w:tcPr>
            <w:tcW w:w="7087" w:type="dxa"/>
            <w:tcMar>
              <w:top w:w="80" w:type="dxa"/>
              <w:left w:w="90" w:type="dxa"/>
              <w:bottom w:w="80" w:type="dxa"/>
              <w:right w:w="90" w:type="dxa"/>
            </w:tcMar>
            <w:vAlign w:val="center"/>
          </w:tcPr>
          <w:p w14:paraId="00C0B340">
            <w:pPr>
              <w:spacing w:before="0" w:after="0" w:line="288" w:lineRule="auto"/>
              <w:jc w:val="left"/>
            </w:pPr>
            <w:r>
              <w:rPr>
                <w:rFonts w:ascii="仿宋_GB2312" w:hAnsi="仿宋_GB2312" w:eastAsia="仿宋_GB2312"/>
                <w:b w:val="0"/>
                <w:sz w:val="21"/>
              </w:rPr>
              <w:t>显示正常，报警联锁投入，关键仪表校验有效，禁止带故障开车</w:t>
            </w:r>
          </w:p>
        </w:tc>
      </w:tr>
      <w:tr w14:paraId="58FD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Mar>
              <w:top w:w="80" w:type="dxa"/>
              <w:left w:w="90" w:type="dxa"/>
              <w:bottom w:w="80" w:type="dxa"/>
              <w:right w:w="90" w:type="dxa"/>
            </w:tcMar>
            <w:vAlign w:val="center"/>
          </w:tcPr>
          <w:p w14:paraId="23F3C52B">
            <w:pPr>
              <w:spacing w:before="0" w:after="0" w:line="288" w:lineRule="auto"/>
              <w:jc w:val="center"/>
            </w:pPr>
            <w:r>
              <w:rPr>
                <w:rFonts w:ascii="仿宋_GB2312" w:hAnsi="仿宋_GB2312" w:eastAsia="仿宋_GB2312"/>
                <w:b w:val="0"/>
                <w:sz w:val="21"/>
              </w:rPr>
              <w:t>公用工程</w:t>
            </w:r>
          </w:p>
        </w:tc>
        <w:tc>
          <w:tcPr>
            <w:tcW w:w="7087" w:type="dxa"/>
            <w:tcMar>
              <w:top w:w="80" w:type="dxa"/>
              <w:left w:w="90" w:type="dxa"/>
              <w:bottom w:w="80" w:type="dxa"/>
              <w:right w:w="90" w:type="dxa"/>
            </w:tcMar>
            <w:vAlign w:val="center"/>
          </w:tcPr>
          <w:p w14:paraId="44F544E0">
            <w:pPr>
              <w:spacing w:before="0" w:after="0" w:line="288" w:lineRule="auto"/>
              <w:jc w:val="left"/>
            </w:pPr>
            <w:r>
              <w:rPr>
                <w:rFonts w:ascii="仿宋_GB2312" w:hAnsi="仿宋_GB2312" w:eastAsia="仿宋_GB2312"/>
                <w:b w:val="0"/>
                <w:sz w:val="21"/>
              </w:rPr>
              <w:t>冷却、蒸汽、氮气、压缩空气、电力、消防水等具备条件</w:t>
            </w:r>
          </w:p>
        </w:tc>
      </w:tr>
      <w:tr w14:paraId="3AB2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Mar>
              <w:top w:w="80" w:type="dxa"/>
              <w:left w:w="90" w:type="dxa"/>
              <w:bottom w:w="80" w:type="dxa"/>
              <w:right w:w="90" w:type="dxa"/>
            </w:tcMar>
            <w:vAlign w:val="center"/>
          </w:tcPr>
          <w:p w14:paraId="631867D5">
            <w:pPr>
              <w:spacing w:before="0" w:after="0" w:line="288" w:lineRule="auto"/>
              <w:jc w:val="center"/>
            </w:pPr>
            <w:r>
              <w:rPr>
                <w:rFonts w:ascii="仿宋_GB2312" w:hAnsi="仿宋_GB2312" w:eastAsia="仿宋_GB2312"/>
                <w:b w:val="0"/>
                <w:sz w:val="21"/>
              </w:rPr>
              <w:t>现场环境</w:t>
            </w:r>
          </w:p>
        </w:tc>
        <w:tc>
          <w:tcPr>
            <w:tcW w:w="7087" w:type="dxa"/>
            <w:tcMar>
              <w:top w:w="80" w:type="dxa"/>
              <w:left w:w="90" w:type="dxa"/>
              <w:bottom w:w="80" w:type="dxa"/>
              <w:right w:w="90" w:type="dxa"/>
            </w:tcMar>
            <w:vAlign w:val="center"/>
          </w:tcPr>
          <w:p w14:paraId="34FFF897">
            <w:pPr>
              <w:spacing w:before="0" w:after="0" w:line="288" w:lineRule="auto"/>
              <w:jc w:val="left"/>
            </w:pPr>
            <w:r>
              <w:rPr>
                <w:rFonts w:ascii="仿宋_GB2312" w:hAnsi="仿宋_GB2312" w:eastAsia="仿宋_GB2312"/>
                <w:b w:val="0"/>
                <w:sz w:val="21"/>
              </w:rPr>
              <w:t>通道畅通，无泄漏和积液，排风有效，消防和应急设施可用</w:t>
            </w:r>
          </w:p>
        </w:tc>
      </w:tr>
    </w:tbl>
    <w:p w14:paraId="377254D6">
      <w:pPr>
        <w:spacing w:after="0"/>
      </w:pPr>
    </w:p>
    <w:p w14:paraId="473CE818">
      <w:pPr>
        <w:pStyle w:val="4"/>
        <w:keepNext/>
        <w:spacing w:before="160" w:after="0" w:line="360" w:lineRule="auto"/>
      </w:pPr>
      <w:r>
        <w:rPr>
          <w:rFonts w:ascii="仿宋_GB2312" w:hAnsi="仿宋_GB2312" w:eastAsia="仿宋_GB2312"/>
          <w:b/>
          <w:sz w:val="28"/>
        </w:rPr>
        <w:t>三、正常操作要求</w:t>
      </w:r>
    </w:p>
    <w:p w14:paraId="38503E59">
      <w:pPr>
        <w:spacing w:before="0" w:after="0" w:line="360" w:lineRule="auto"/>
        <w:ind w:left="0" w:firstLine="0"/>
        <w:jc w:val="both"/>
      </w:pPr>
      <w:r>
        <w:rPr>
          <w:rFonts w:ascii="仿宋_GB2312" w:hAnsi="仿宋_GB2312" w:eastAsia="仿宋_GB2312"/>
          <w:sz w:val="24"/>
        </w:rPr>
        <w:t>1. 严格按照确认后的批次指令或工艺卡片操作，禁止使用来源不明、标识不清或未经放行的物料。</w:t>
      </w:r>
    </w:p>
    <w:p w14:paraId="05D45635">
      <w:pPr>
        <w:spacing w:before="0" w:after="0" w:line="360" w:lineRule="auto"/>
        <w:ind w:left="0" w:firstLine="0"/>
        <w:jc w:val="both"/>
      </w:pPr>
      <w:r>
        <w:rPr>
          <w:rFonts w:ascii="仿宋_GB2312" w:hAnsi="仿宋_GB2312" w:eastAsia="仿宋_GB2312"/>
          <w:sz w:val="24"/>
        </w:rPr>
        <w:t>2. 阀门操作应缓慢、准确，先核对位号和去向；涉及互串、倒灌或高低压连通的操作应双人确认。</w:t>
      </w:r>
    </w:p>
    <w:p w14:paraId="04A70A82">
      <w:pPr>
        <w:spacing w:before="0" w:after="0" w:line="360" w:lineRule="auto"/>
        <w:ind w:left="0" w:firstLine="0"/>
        <w:jc w:val="both"/>
      </w:pPr>
      <w:r>
        <w:rPr>
          <w:rFonts w:ascii="仿宋_GB2312" w:hAnsi="仿宋_GB2312" w:eastAsia="仿宋_GB2312"/>
          <w:sz w:val="24"/>
        </w:rPr>
        <w:t>3. 巡检应看、听、闻（在安全条件下）、测、查，重点关注温压液位趋势、振动异响、密封泄漏、伴热保温、仪表显示和现场报警。</w:t>
      </w:r>
    </w:p>
    <w:p w14:paraId="7FD38A96">
      <w:pPr>
        <w:spacing w:before="0" w:after="0" w:line="360" w:lineRule="auto"/>
        <w:ind w:left="0" w:firstLine="0"/>
        <w:jc w:val="both"/>
      </w:pPr>
      <w:r>
        <w:rPr>
          <w:rFonts w:ascii="仿宋_GB2312" w:hAnsi="仿宋_GB2312" w:eastAsia="仿宋_GB2312"/>
          <w:sz w:val="24"/>
        </w:rPr>
        <w:t>4. 控制室人员不得只看单点数值，应结合趋势、物料平衡、现场反馈和报警记录综合判断。</w:t>
      </w:r>
    </w:p>
    <w:p w14:paraId="4181E4DC">
      <w:pPr>
        <w:spacing w:before="0" w:after="0" w:line="360" w:lineRule="auto"/>
        <w:ind w:left="0" w:firstLine="0"/>
        <w:jc w:val="both"/>
      </w:pPr>
      <w:r>
        <w:rPr>
          <w:rFonts w:ascii="仿宋_GB2312" w:hAnsi="仿宋_GB2312" w:eastAsia="仿宋_GB2312"/>
          <w:sz w:val="24"/>
        </w:rPr>
        <w:t>5. 取样、排凝、放空、切换过滤器等操作应避开喷射方向，确认接收容器、排放去向和防静电措施。</w:t>
      </w:r>
    </w:p>
    <w:p w14:paraId="3B182A9C">
      <w:pPr>
        <w:pStyle w:val="4"/>
        <w:keepNext/>
        <w:spacing w:before="160" w:after="0" w:line="360" w:lineRule="auto"/>
      </w:pPr>
      <w:r>
        <w:rPr>
          <w:rFonts w:ascii="仿宋_GB2312" w:hAnsi="仿宋_GB2312" w:eastAsia="仿宋_GB2312"/>
          <w:b/>
          <w:sz w:val="28"/>
        </w:rPr>
        <w:t>四、报警与联锁管理</w:t>
      </w:r>
    </w:p>
    <w:p w14:paraId="25F6D6BA">
      <w:pPr>
        <w:spacing w:before="0" w:after="0" w:line="360" w:lineRule="auto"/>
        <w:ind w:left="0" w:firstLine="0"/>
        <w:jc w:val="both"/>
      </w:pPr>
      <w:r>
        <w:rPr>
          <w:rFonts w:ascii="仿宋_GB2312" w:hAnsi="仿宋_GB2312" w:eastAsia="仿宋_GB2312"/>
          <w:sz w:val="24"/>
        </w:rPr>
        <w:t>1. 报警出现后必须查明原因并记录，禁止仅消音不处理。</w:t>
      </w:r>
    </w:p>
    <w:p w14:paraId="18244407">
      <w:pPr>
        <w:spacing w:before="0" w:after="0" w:line="360" w:lineRule="auto"/>
        <w:ind w:left="0" w:firstLine="0"/>
        <w:jc w:val="both"/>
      </w:pPr>
      <w:r>
        <w:rPr>
          <w:rFonts w:ascii="仿宋_GB2312" w:hAnsi="仿宋_GB2312" w:eastAsia="仿宋_GB2312"/>
          <w:sz w:val="24"/>
        </w:rPr>
        <w:t>2. 联锁动作后不得强行复位开车；应确认触发原因、设备状态和恢复条件。</w:t>
      </w:r>
    </w:p>
    <w:p w14:paraId="3F0A4F6B">
      <w:pPr>
        <w:spacing w:before="0" w:after="0" w:line="360" w:lineRule="auto"/>
        <w:ind w:left="0" w:firstLine="0"/>
        <w:jc w:val="both"/>
      </w:pPr>
      <w:r>
        <w:rPr>
          <w:rFonts w:ascii="仿宋_GB2312" w:hAnsi="仿宋_GB2312" w:eastAsia="仿宋_GB2312"/>
          <w:sz w:val="24"/>
        </w:rPr>
        <w:t>3. 确需临时停用报警或联锁时，应履行风险评估、审批、补偿措施和限时恢复程序，并在交接班中重点说明。</w:t>
      </w:r>
    </w:p>
    <w:p w14:paraId="732C6F4B">
      <w:pPr>
        <w:spacing w:before="0" w:after="0" w:line="360" w:lineRule="auto"/>
        <w:ind w:left="0" w:firstLine="0"/>
        <w:jc w:val="both"/>
      </w:pPr>
      <w:r>
        <w:rPr>
          <w:rFonts w:ascii="仿宋_GB2312" w:hAnsi="仿宋_GB2312" w:eastAsia="仿宋_GB2312"/>
          <w:sz w:val="24"/>
        </w:rPr>
        <w:t>4. 发现仪表漂移、卡死、失灵或显示与现场不一致时，应按故障状态管理，必要时降低负荷或停车。</w:t>
      </w:r>
    </w:p>
    <w:p w14:paraId="0C4A64CF">
      <w:pPr>
        <w:pStyle w:val="4"/>
        <w:keepNext/>
        <w:spacing w:before="160" w:after="0" w:line="360" w:lineRule="auto"/>
      </w:pPr>
      <w:r>
        <w:rPr>
          <w:rFonts w:ascii="仿宋_GB2312" w:hAnsi="仿宋_GB2312" w:eastAsia="仿宋_GB2312"/>
          <w:b/>
          <w:sz w:val="28"/>
        </w:rPr>
        <w:t>五、交接班</w:t>
      </w:r>
    </w:p>
    <w:p w14:paraId="40BD59CC">
      <w:pPr>
        <w:spacing w:before="0" w:after="0" w:line="360" w:lineRule="auto"/>
        <w:ind w:firstLine="480"/>
        <w:jc w:val="both"/>
      </w:pPr>
      <w:r>
        <w:rPr>
          <w:rFonts w:ascii="仿宋_GB2312" w:hAnsi="仿宋_GB2312" w:eastAsia="仿宋_GB2312"/>
          <w:b w:val="0"/>
          <w:sz w:val="24"/>
        </w:rPr>
        <w:t>交接班必须面对面进行，至少交清生产负荷、物料库存、关键参数、报警联锁状态、设备缺陷、特殊作业、隔离点、未完成操作、异常处置、应急物资和现场卫生。存在重大异常且未交代清楚时不得强行交班。</w:t>
      </w:r>
    </w:p>
    <w:p w14:paraId="553494CE">
      <w:pPr>
        <w:pStyle w:val="3"/>
        <w:keepNext/>
        <w:pageBreakBefore/>
        <w:spacing w:before="0" w:after="200" w:line="360" w:lineRule="auto"/>
        <w:jc w:val="center"/>
      </w:pPr>
      <w:r>
        <w:rPr>
          <w:rFonts w:ascii="方正小标宋简体" w:hAnsi="方正小标宋简体" w:eastAsia="方正小标宋简体"/>
          <w:b/>
          <w:sz w:val="36"/>
        </w:rPr>
        <w:t>第五章  反应安全与投料控制</w:t>
      </w:r>
    </w:p>
    <w:p w14:paraId="010ADDC3">
      <w:pPr>
        <w:pStyle w:val="4"/>
        <w:keepNext/>
        <w:spacing w:before="160" w:after="0" w:line="360" w:lineRule="auto"/>
      </w:pPr>
      <w:r>
        <w:rPr>
          <w:rFonts w:ascii="仿宋_GB2312" w:hAnsi="仿宋_GB2312" w:eastAsia="仿宋_GB2312"/>
          <w:b/>
          <w:sz w:val="28"/>
        </w:rPr>
        <w:t>一、反应安全的核心认识</w:t>
      </w:r>
    </w:p>
    <w:p w14:paraId="557BD1D1">
      <w:pPr>
        <w:spacing w:before="0" w:after="0" w:line="360" w:lineRule="auto"/>
        <w:ind w:firstLine="480"/>
        <w:jc w:val="both"/>
      </w:pPr>
      <w:r>
        <w:rPr>
          <w:rFonts w:ascii="仿宋_GB2312" w:hAnsi="仿宋_GB2312" w:eastAsia="仿宋_GB2312"/>
          <w:b w:val="0"/>
          <w:sz w:val="24"/>
        </w:rPr>
        <w:t>精细化工反应可能存在放热、产气、分解、聚合、氧化、硝化、氯化、加氢等风险。反应热如果不能及时移出，或投料、搅拌、冷却、压力控制发生偏差，可能引起温度和压力迅速上升。岗位人员必须把“温度上升速度、冷却能力、搅拌状态、加料速率和尾气变化”作为重点监控对象。</w:t>
      </w:r>
    </w:p>
    <w:p w14:paraId="10207E93">
      <w:pPr>
        <w:pStyle w:val="4"/>
        <w:keepNext/>
        <w:spacing w:before="160" w:after="0" w:line="360" w:lineRule="auto"/>
      </w:pPr>
      <w:r>
        <w:rPr>
          <w:rFonts w:ascii="仿宋_GB2312" w:hAnsi="仿宋_GB2312" w:eastAsia="仿宋_GB2312"/>
          <w:b/>
          <w:sz w:val="28"/>
        </w:rPr>
        <w:t>二、投料前必须确认</w:t>
      </w:r>
    </w:p>
    <w:p w14:paraId="29F6040B">
      <w:pPr>
        <w:spacing w:before="0" w:after="0" w:line="360" w:lineRule="auto"/>
        <w:ind w:left="0" w:firstLine="0"/>
        <w:jc w:val="both"/>
      </w:pPr>
      <w:r>
        <w:rPr>
          <w:rFonts w:ascii="仿宋_GB2312" w:hAnsi="仿宋_GB2312" w:eastAsia="仿宋_GB2312"/>
          <w:sz w:val="24"/>
        </w:rPr>
        <w:t>1. 原料名称、浓度、纯度、批次和数量与指令一致，容器和管线标识清楚。</w:t>
      </w:r>
    </w:p>
    <w:p w14:paraId="2B5CD2D2">
      <w:pPr>
        <w:spacing w:before="0" w:after="0" w:line="360" w:lineRule="auto"/>
        <w:ind w:left="0" w:firstLine="0"/>
        <w:jc w:val="both"/>
      </w:pPr>
      <w:r>
        <w:rPr>
          <w:rFonts w:ascii="仿宋_GB2312" w:hAnsi="仿宋_GB2312" w:eastAsia="仿宋_GB2312"/>
          <w:sz w:val="24"/>
        </w:rPr>
        <w:t>2. 反应器清洁、干燥或惰化状态满足工艺要求，不存在残留不相容物料。</w:t>
      </w:r>
    </w:p>
    <w:p w14:paraId="6CF96CB8">
      <w:pPr>
        <w:spacing w:before="0" w:after="0" w:line="360" w:lineRule="auto"/>
        <w:ind w:left="0" w:firstLine="0"/>
        <w:jc w:val="both"/>
      </w:pPr>
      <w:r>
        <w:rPr>
          <w:rFonts w:ascii="仿宋_GB2312" w:hAnsi="仿宋_GB2312" w:eastAsia="仿宋_GB2312"/>
          <w:sz w:val="24"/>
        </w:rPr>
        <w:t>3. 搅拌、冷却、温控、回流、冷凝、尾气处理、泄压和紧急切断设施处于可用状态。</w:t>
      </w:r>
    </w:p>
    <w:p w14:paraId="13F343FA">
      <w:pPr>
        <w:spacing w:before="0" w:after="0" w:line="360" w:lineRule="auto"/>
        <w:ind w:left="0" w:firstLine="0"/>
        <w:jc w:val="both"/>
      </w:pPr>
      <w:r>
        <w:rPr>
          <w:rFonts w:ascii="仿宋_GB2312" w:hAnsi="仿宋_GB2312" w:eastAsia="仿宋_GB2312"/>
          <w:sz w:val="24"/>
        </w:rPr>
        <w:t>4. 投料顺序、加料速度、温度窗口、停止加料条件和异常处置步骤已明确。</w:t>
      </w:r>
    </w:p>
    <w:p w14:paraId="3663E0DE">
      <w:pPr>
        <w:spacing w:before="0" w:after="0" w:line="360" w:lineRule="auto"/>
        <w:ind w:left="0" w:firstLine="0"/>
        <w:jc w:val="both"/>
      </w:pPr>
      <w:r>
        <w:rPr>
          <w:rFonts w:ascii="仿宋_GB2312" w:hAnsi="仿宋_GB2312" w:eastAsia="仿宋_GB2312"/>
          <w:sz w:val="24"/>
        </w:rPr>
        <w:t>5. 备用冷却、应急终止或淬灭条件按工艺要求准备到位；未经批准不得自行改变应急物料。</w:t>
      </w:r>
    </w:p>
    <w:p w14:paraId="35CEB67A">
      <w:pPr>
        <w:pStyle w:val="4"/>
        <w:keepNext/>
        <w:spacing w:before="160" w:after="0" w:line="360" w:lineRule="auto"/>
      </w:pPr>
      <w:r>
        <w:rPr>
          <w:rFonts w:ascii="仿宋_GB2312" w:hAnsi="仿宋_GB2312" w:eastAsia="仿宋_GB2312"/>
          <w:b/>
          <w:sz w:val="28"/>
        </w:rPr>
        <w:t>三、投料与反应过程控制</w:t>
      </w:r>
    </w:p>
    <w:p w14:paraId="3FE9C53F">
      <w:pPr>
        <w:spacing w:before="0" w:after="0" w:line="360" w:lineRule="auto"/>
        <w:ind w:left="0" w:firstLine="0"/>
        <w:jc w:val="both"/>
      </w:pPr>
      <w:r>
        <w:rPr>
          <w:rFonts w:ascii="仿宋_GB2312" w:hAnsi="仿宋_GB2312" w:eastAsia="仿宋_GB2312"/>
          <w:sz w:val="24"/>
        </w:rPr>
        <w:t>1. 先确认搅拌和传热条件，再按规定开始加料；禁止无搅拌或冷却能力不足时继续投料。</w:t>
      </w:r>
    </w:p>
    <w:p w14:paraId="3F0CE8F4">
      <w:pPr>
        <w:spacing w:before="0" w:after="0" w:line="360" w:lineRule="auto"/>
        <w:ind w:left="0" w:firstLine="0"/>
        <w:jc w:val="both"/>
      </w:pPr>
      <w:r>
        <w:rPr>
          <w:rFonts w:ascii="仿宋_GB2312" w:hAnsi="仿宋_GB2312" w:eastAsia="仿宋_GB2312"/>
          <w:sz w:val="24"/>
        </w:rPr>
        <w:t>2. 加料速度应以反应温度、压力和热移除能力为依据，禁止为赶产量擅自加快。</w:t>
      </w:r>
    </w:p>
    <w:p w14:paraId="7ADC1091">
      <w:pPr>
        <w:spacing w:before="0" w:after="0" w:line="360" w:lineRule="auto"/>
        <w:ind w:left="0" w:firstLine="0"/>
        <w:jc w:val="both"/>
      </w:pPr>
      <w:r>
        <w:rPr>
          <w:rFonts w:ascii="仿宋_GB2312" w:hAnsi="仿宋_GB2312" w:eastAsia="仿宋_GB2312"/>
          <w:sz w:val="24"/>
        </w:rPr>
        <w:t>3. 发现温度上升速率异常、压力升高、回流剧烈、尾气量增大、泡沫异常、搅拌电流变化或设备振动时，应立即停止加料并按规程处置。</w:t>
      </w:r>
    </w:p>
    <w:p w14:paraId="6792E0FD">
      <w:pPr>
        <w:spacing w:before="0" w:after="0" w:line="360" w:lineRule="auto"/>
        <w:ind w:left="0" w:firstLine="0"/>
        <w:jc w:val="both"/>
      </w:pPr>
      <w:r>
        <w:rPr>
          <w:rFonts w:ascii="仿宋_GB2312" w:hAnsi="仿宋_GB2312" w:eastAsia="仿宋_GB2312"/>
          <w:sz w:val="24"/>
        </w:rPr>
        <w:t>4. 不得将未知物料、错批物料或未经评估的回收物料投入反应系统。</w:t>
      </w:r>
    </w:p>
    <w:p w14:paraId="3CCAF6DD">
      <w:pPr>
        <w:spacing w:before="0" w:after="0" w:line="360" w:lineRule="auto"/>
        <w:ind w:left="0" w:firstLine="0"/>
        <w:jc w:val="both"/>
      </w:pPr>
      <w:r>
        <w:rPr>
          <w:rFonts w:ascii="仿宋_GB2312" w:hAnsi="仿宋_GB2312" w:eastAsia="仿宋_GB2312"/>
          <w:sz w:val="24"/>
        </w:rPr>
        <w:t>5. 反应结束前应确认终点和残余活性，禁止仅凭时间经验提前转料、蒸馏或开盖。</w:t>
      </w:r>
    </w:p>
    <w:p w14:paraId="318185B4">
      <w:pPr>
        <w:pStyle w:val="4"/>
        <w:keepNext/>
        <w:spacing w:before="160" w:after="0" w:line="360" w:lineRule="auto"/>
      </w:pPr>
      <w:r>
        <w:rPr>
          <w:rFonts w:ascii="仿宋_GB2312" w:hAnsi="仿宋_GB2312" w:eastAsia="仿宋_GB2312"/>
          <w:b/>
          <w:sz w:val="28"/>
        </w:rPr>
        <w:t>四、冷却、搅拌或电力中断</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14:paraId="3B00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072" w:type="dxa"/>
            <w:shd w:val="clear" w:color="auto" w:fill="FFF2CC"/>
            <w:vAlign w:val="center"/>
          </w:tcPr>
          <w:p w14:paraId="0DFC3BD8">
            <w:pPr>
              <w:spacing w:before="0" w:after="0" w:line="288" w:lineRule="auto"/>
              <w:jc w:val="center"/>
            </w:pPr>
            <w:r>
              <w:rPr>
                <w:rFonts w:ascii="仿宋_GB2312" w:hAnsi="仿宋_GB2312" w:eastAsia="仿宋_GB2312"/>
                <w:b/>
                <w:sz w:val="24"/>
              </w:rPr>
              <w:t>异常处置基本顺序</w:t>
            </w:r>
          </w:p>
        </w:tc>
      </w:tr>
      <w:tr w14:paraId="10B5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29CD84EF">
            <w:pPr>
              <w:spacing w:before="0" w:after="0" w:line="288" w:lineRule="auto"/>
              <w:jc w:val="left"/>
            </w:pPr>
            <w:r>
              <w:rPr>
                <w:rFonts w:ascii="仿宋_GB2312" w:hAnsi="仿宋_GB2312" w:eastAsia="仿宋_GB2312"/>
                <w:b w:val="0"/>
                <w:sz w:val="22"/>
              </w:rPr>
              <w:t>1. 立即停止或切断加料、加热及其他促使反应加快的条件。</w:t>
            </w:r>
          </w:p>
        </w:tc>
      </w:tr>
      <w:tr w14:paraId="3935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34EDEEE7">
            <w:pPr>
              <w:spacing w:before="0" w:after="0" w:line="288" w:lineRule="auto"/>
              <w:jc w:val="left"/>
            </w:pPr>
            <w:r>
              <w:rPr>
                <w:rFonts w:ascii="仿宋_GB2312" w:hAnsi="仿宋_GB2312" w:eastAsia="仿宋_GB2312"/>
                <w:b w:val="0"/>
                <w:sz w:val="22"/>
              </w:rPr>
              <w:t>2. 保持或恢复搅拌、冷却、回流、尾气处理等关键保护功能；不得盲目反复启动故障设备。</w:t>
            </w:r>
          </w:p>
        </w:tc>
      </w:tr>
      <w:tr w14:paraId="6DCE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350B64E1">
            <w:pPr>
              <w:spacing w:before="0" w:after="0" w:line="288" w:lineRule="auto"/>
              <w:jc w:val="left"/>
            </w:pPr>
            <w:r>
              <w:rPr>
                <w:rFonts w:ascii="仿宋_GB2312" w:hAnsi="仿宋_GB2312" w:eastAsia="仿宋_GB2312"/>
                <w:b w:val="0"/>
                <w:sz w:val="22"/>
              </w:rPr>
              <w:t>3. 按岗位应急卡报告控制室、班组长和有关负责人，必要时启动紧急停车。</w:t>
            </w:r>
          </w:p>
        </w:tc>
      </w:tr>
      <w:tr w14:paraId="5DFC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1C8608DD">
            <w:pPr>
              <w:spacing w:before="0" w:after="0" w:line="288" w:lineRule="auto"/>
              <w:jc w:val="left"/>
            </w:pPr>
            <w:r>
              <w:rPr>
                <w:rFonts w:ascii="仿宋_GB2312" w:hAnsi="仿宋_GB2312" w:eastAsia="仿宋_GB2312"/>
                <w:b w:val="0"/>
                <w:sz w:val="22"/>
              </w:rPr>
              <w:t>4. 温度或压力继续异常上升、设备出现变形或泄漏迹象时，迅速撤离至安全区域。</w:t>
            </w:r>
          </w:p>
        </w:tc>
      </w:tr>
      <w:tr w14:paraId="51AA4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7906E97C">
            <w:pPr>
              <w:spacing w:before="0" w:after="0" w:line="288" w:lineRule="auto"/>
              <w:jc w:val="left"/>
            </w:pPr>
            <w:r>
              <w:rPr>
                <w:rFonts w:ascii="仿宋_GB2312" w:hAnsi="仿宋_GB2312" w:eastAsia="仿宋_GB2312"/>
                <w:b w:val="0"/>
                <w:sz w:val="22"/>
              </w:rPr>
              <w:t>5. 未经技术评估不得自行加入水、溶剂或其他物料处理失控反应。</w:t>
            </w:r>
          </w:p>
        </w:tc>
      </w:tr>
    </w:tbl>
    <w:p w14:paraId="4A4B5A54"/>
    <w:p w14:paraId="169DDC87">
      <w:pPr>
        <w:pStyle w:val="4"/>
        <w:keepNext/>
        <w:spacing w:before="160" w:after="0" w:line="360" w:lineRule="auto"/>
      </w:pPr>
      <w:r>
        <w:rPr>
          <w:rFonts w:ascii="仿宋_GB2312" w:hAnsi="仿宋_GB2312" w:eastAsia="仿宋_GB2312"/>
          <w:b/>
          <w:sz w:val="28"/>
        </w:rPr>
        <w:t>五、反应风险评估与变更</w:t>
      </w:r>
    </w:p>
    <w:p w14:paraId="2D7BB10C">
      <w:pPr>
        <w:spacing w:before="0" w:after="0" w:line="360" w:lineRule="auto"/>
        <w:ind w:firstLine="480"/>
        <w:jc w:val="both"/>
      </w:pPr>
      <w:r>
        <w:rPr>
          <w:rFonts w:ascii="仿宋_GB2312" w:hAnsi="仿宋_GB2312" w:eastAsia="仿宋_GB2312"/>
          <w:b w:val="0"/>
          <w:sz w:val="24"/>
        </w:rPr>
        <w:t>新工艺、新配方、原料供应商或纯度变化、规模放大、溶剂替换、催化剂变化、回收料使用、设备容积变化、冷却方式变化等，必须经过反应安全风险评估和变更审批。岗位人员发现实际操作条件与批准文件不一致时，应立即报告。</w:t>
      </w:r>
    </w:p>
    <w:p w14:paraId="05A3E732">
      <w:pPr>
        <w:pStyle w:val="3"/>
        <w:keepNext/>
        <w:pageBreakBefore/>
        <w:spacing w:before="0" w:after="200" w:line="360" w:lineRule="auto"/>
        <w:jc w:val="center"/>
      </w:pPr>
      <w:r>
        <w:rPr>
          <w:rFonts w:ascii="方正小标宋简体" w:hAnsi="方正小标宋简体" w:eastAsia="方正小标宋简体"/>
          <w:b/>
          <w:sz w:val="36"/>
        </w:rPr>
        <w:t>第六章  危险化学品接收、储存、使用与装卸</w:t>
      </w:r>
    </w:p>
    <w:p w14:paraId="2E2E6D11">
      <w:pPr>
        <w:pStyle w:val="4"/>
        <w:keepNext/>
        <w:spacing w:before="160" w:after="0" w:line="360" w:lineRule="auto"/>
      </w:pPr>
      <w:r>
        <w:rPr>
          <w:rFonts w:ascii="仿宋_GB2312" w:hAnsi="仿宋_GB2312" w:eastAsia="仿宋_GB2312"/>
          <w:b/>
          <w:sz w:val="28"/>
        </w:rPr>
        <w:t>一、标签和安全技术说明书</w:t>
      </w:r>
    </w:p>
    <w:p w14:paraId="53C5ED9F">
      <w:pPr>
        <w:spacing w:before="0" w:after="0" w:line="360" w:lineRule="auto"/>
        <w:ind w:left="0" w:firstLine="0"/>
        <w:jc w:val="both"/>
      </w:pPr>
      <w:r>
        <w:rPr>
          <w:rFonts w:ascii="仿宋_GB2312" w:hAnsi="仿宋_GB2312" w:eastAsia="仿宋_GB2312"/>
          <w:sz w:val="24"/>
        </w:rPr>
        <w:t>1. 危险化学品容器、包装和储罐应有清晰、完整、与实物一致的标签和标识。</w:t>
      </w:r>
    </w:p>
    <w:p w14:paraId="0411E84F">
      <w:pPr>
        <w:spacing w:before="0" w:after="0" w:line="360" w:lineRule="auto"/>
        <w:ind w:left="0" w:firstLine="0"/>
        <w:jc w:val="both"/>
      </w:pPr>
      <w:r>
        <w:rPr>
          <w:rFonts w:ascii="仿宋_GB2312" w:hAnsi="仿宋_GB2312" w:eastAsia="仿宋_GB2312"/>
          <w:sz w:val="24"/>
        </w:rPr>
        <w:t>2. 岗位人员应能查阅安全技术说明书，至少了解危险性、防护、泄漏处置、灭火和急救要点。</w:t>
      </w:r>
    </w:p>
    <w:p w14:paraId="4C959634">
      <w:pPr>
        <w:spacing w:before="0" w:after="0" w:line="360" w:lineRule="auto"/>
        <w:ind w:left="0" w:firstLine="0"/>
        <w:jc w:val="both"/>
      </w:pPr>
      <w:r>
        <w:rPr>
          <w:rFonts w:ascii="仿宋_GB2312" w:hAnsi="仿宋_GB2312" w:eastAsia="仿宋_GB2312"/>
          <w:sz w:val="24"/>
        </w:rPr>
        <w:t>3. 标签脱落、字迹不清、名称不确定或实物与单据不一致时，应隔离并报告，禁止猜测使用。</w:t>
      </w:r>
    </w:p>
    <w:p w14:paraId="0571FABD">
      <w:pPr>
        <w:pStyle w:val="4"/>
        <w:keepNext/>
        <w:spacing w:before="160" w:after="0" w:line="360" w:lineRule="auto"/>
      </w:pPr>
      <w:r>
        <w:rPr>
          <w:rFonts w:ascii="仿宋_GB2312" w:hAnsi="仿宋_GB2312" w:eastAsia="仿宋_GB2312"/>
          <w:b/>
          <w:sz w:val="28"/>
        </w:rPr>
        <w:t>二、分类分区和禁忌管理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4F0F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68" w:type="dxa"/>
            <w:shd w:val="clear" w:color="auto" w:fill="D9EAF7"/>
            <w:tcMar>
              <w:top w:w="80" w:type="dxa"/>
              <w:left w:w="90" w:type="dxa"/>
              <w:bottom w:w="80" w:type="dxa"/>
              <w:right w:w="90" w:type="dxa"/>
            </w:tcMar>
            <w:vAlign w:val="center"/>
          </w:tcPr>
          <w:p w14:paraId="45B09972">
            <w:pPr>
              <w:spacing w:before="0" w:after="0" w:line="288" w:lineRule="auto"/>
              <w:jc w:val="center"/>
            </w:pPr>
            <w:r>
              <w:rPr>
                <w:rFonts w:ascii="仿宋_GB2312" w:hAnsi="仿宋_GB2312" w:eastAsia="仿宋_GB2312"/>
                <w:b/>
                <w:sz w:val="21"/>
              </w:rPr>
              <w:t>物料类别</w:t>
            </w:r>
          </w:p>
        </w:tc>
        <w:tc>
          <w:tcPr>
            <w:tcW w:w="6803" w:type="dxa"/>
            <w:shd w:val="clear" w:color="auto" w:fill="D9EAF7"/>
            <w:tcMar>
              <w:top w:w="80" w:type="dxa"/>
              <w:left w:w="90" w:type="dxa"/>
              <w:bottom w:w="80" w:type="dxa"/>
              <w:right w:w="90" w:type="dxa"/>
            </w:tcMar>
            <w:vAlign w:val="center"/>
          </w:tcPr>
          <w:p w14:paraId="2BFE69F8">
            <w:pPr>
              <w:spacing w:before="0" w:after="0" w:line="288" w:lineRule="auto"/>
              <w:jc w:val="center"/>
            </w:pPr>
            <w:r>
              <w:rPr>
                <w:rFonts w:ascii="仿宋_GB2312" w:hAnsi="仿宋_GB2312" w:eastAsia="仿宋_GB2312"/>
                <w:b/>
                <w:sz w:val="21"/>
              </w:rPr>
              <w:t>主要注意事项</w:t>
            </w:r>
          </w:p>
        </w:tc>
      </w:tr>
      <w:tr w14:paraId="0E19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4FDF4B4F">
            <w:pPr>
              <w:spacing w:before="0" w:after="0" w:line="288" w:lineRule="auto"/>
              <w:jc w:val="center"/>
            </w:pPr>
            <w:r>
              <w:rPr>
                <w:rFonts w:ascii="仿宋_GB2312" w:hAnsi="仿宋_GB2312" w:eastAsia="仿宋_GB2312"/>
                <w:b w:val="0"/>
                <w:sz w:val="21"/>
              </w:rPr>
              <w:t>易燃液体</w:t>
            </w:r>
          </w:p>
        </w:tc>
        <w:tc>
          <w:tcPr>
            <w:tcW w:w="6803" w:type="dxa"/>
            <w:tcMar>
              <w:top w:w="80" w:type="dxa"/>
              <w:left w:w="90" w:type="dxa"/>
              <w:bottom w:w="80" w:type="dxa"/>
              <w:right w:w="90" w:type="dxa"/>
            </w:tcMar>
            <w:vAlign w:val="center"/>
          </w:tcPr>
          <w:p w14:paraId="161DE28F">
            <w:pPr>
              <w:spacing w:before="0" w:after="0" w:line="288" w:lineRule="auto"/>
              <w:jc w:val="left"/>
            </w:pPr>
            <w:r>
              <w:rPr>
                <w:rFonts w:ascii="仿宋_GB2312" w:hAnsi="仿宋_GB2312" w:eastAsia="仿宋_GB2312"/>
                <w:b w:val="0"/>
                <w:sz w:val="21"/>
              </w:rPr>
              <w:t>远离点火源，控制温度和通风，装卸转移落实静电接地和等电位连接</w:t>
            </w:r>
          </w:p>
        </w:tc>
      </w:tr>
      <w:tr w14:paraId="586D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1D663406">
            <w:pPr>
              <w:spacing w:before="0" w:after="0" w:line="288" w:lineRule="auto"/>
              <w:jc w:val="center"/>
            </w:pPr>
            <w:r>
              <w:rPr>
                <w:rFonts w:ascii="仿宋_GB2312" w:hAnsi="仿宋_GB2312" w:eastAsia="仿宋_GB2312"/>
                <w:b w:val="0"/>
                <w:sz w:val="21"/>
              </w:rPr>
              <w:t>氧化性物质</w:t>
            </w:r>
          </w:p>
        </w:tc>
        <w:tc>
          <w:tcPr>
            <w:tcW w:w="6803" w:type="dxa"/>
            <w:tcMar>
              <w:top w:w="80" w:type="dxa"/>
              <w:left w:w="90" w:type="dxa"/>
              <w:bottom w:w="80" w:type="dxa"/>
              <w:right w:w="90" w:type="dxa"/>
            </w:tcMar>
            <w:vAlign w:val="center"/>
          </w:tcPr>
          <w:p w14:paraId="10092538">
            <w:pPr>
              <w:spacing w:before="0" w:after="0" w:line="288" w:lineRule="auto"/>
              <w:jc w:val="left"/>
            </w:pPr>
            <w:r>
              <w:rPr>
                <w:rFonts w:ascii="仿宋_GB2312" w:hAnsi="仿宋_GB2312" w:eastAsia="仿宋_GB2312"/>
                <w:b w:val="0"/>
                <w:sz w:val="21"/>
              </w:rPr>
              <w:t>与可燃物、还原剂和有机物分开，防止污染和受热</w:t>
            </w:r>
          </w:p>
        </w:tc>
      </w:tr>
      <w:tr w14:paraId="50A8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71DBB9C5">
            <w:pPr>
              <w:spacing w:before="0" w:after="0" w:line="288" w:lineRule="auto"/>
              <w:jc w:val="center"/>
            </w:pPr>
            <w:r>
              <w:rPr>
                <w:rFonts w:ascii="仿宋_GB2312" w:hAnsi="仿宋_GB2312" w:eastAsia="仿宋_GB2312"/>
                <w:b w:val="0"/>
                <w:sz w:val="21"/>
              </w:rPr>
              <w:t>遇水反应物质</w:t>
            </w:r>
          </w:p>
        </w:tc>
        <w:tc>
          <w:tcPr>
            <w:tcW w:w="6803" w:type="dxa"/>
            <w:tcMar>
              <w:top w:w="80" w:type="dxa"/>
              <w:left w:w="90" w:type="dxa"/>
              <w:bottom w:w="80" w:type="dxa"/>
              <w:right w:w="90" w:type="dxa"/>
            </w:tcMar>
            <w:vAlign w:val="center"/>
          </w:tcPr>
          <w:p w14:paraId="00AC5133">
            <w:pPr>
              <w:spacing w:before="0" w:after="0" w:line="288" w:lineRule="auto"/>
              <w:jc w:val="left"/>
            </w:pPr>
            <w:r>
              <w:rPr>
                <w:rFonts w:ascii="仿宋_GB2312" w:hAnsi="仿宋_GB2312" w:eastAsia="仿宋_GB2312"/>
                <w:b w:val="0"/>
                <w:sz w:val="21"/>
              </w:rPr>
              <w:t>严格防潮防水，禁止用水处置，泄漏按专用方案处理</w:t>
            </w:r>
          </w:p>
        </w:tc>
      </w:tr>
      <w:tr w14:paraId="5024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379179EE">
            <w:pPr>
              <w:spacing w:before="0" w:after="0" w:line="288" w:lineRule="auto"/>
              <w:jc w:val="center"/>
            </w:pPr>
            <w:r>
              <w:rPr>
                <w:rFonts w:ascii="仿宋_GB2312" w:hAnsi="仿宋_GB2312" w:eastAsia="仿宋_GB2312"/>
                <w:b w:val="0"/>
                <w:sz w:val="21"/>
              </w:rPr>
              <w:t>酸碱腐蚀品</w:t>
            </w:r>
          </w:p>
        </w:tc>
        <w:tc>
          <w:tcPr>
            <w:tcW w:w="6803" w:type="dxa"/>
            <w:tcMar>
              <w:top w:w="80" w:type="dxa"/>
              <w:left w:w="90" w:type="dxa"/>
              <w:bottom w:w="80" w:type="dxa"/>
              <w:right w:w="90" w:type="dxa"/>
            </w:tcMar>
            <w:vAlign w:val="center"/>
          </w:tcPr>
          <w:p w14:paraId="71F5CA49">
            <w:pPr>
              <w:spacing w:before="0" w:after="0" w:line="288" w:lineRule="auto"/>
              <w:jc w:val="left"/>
            </w:pPr>
            <w:r>
              <w:rPr>
                <w:rFonts w:ascii="仿宋_GB2312" w:hAnsi="仿宋_GB2312" w:eastAsia="仿宋_GB2312"/>
                <w:b w:val="0"/>
                <w:sz w:val="21"/>
              </w:rPr>
              <w:t>分区存放，防止容器破损和混合，配置冲洗设施和耐腐蚀托盘</w:t>
            </w:r>
          </w:p>
        </w:tc>
      </w:tr>
      <w:tr w14:paraId="2798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574EF34D">
            <w:pPr>
              <w:spacing w:before="0" w:after="0" w:line="288" w:lineRule="auto"/>
              <w:jc w:val="center"/>
            </w:pPr>
            <w:r>
              <w:rPr>
                <w:rFonts w:ascii="仿宋_GB2312" w:hAnsi="仿宋_GB2312" w:eastAsia="仿宋_GB2312"/>
                <w:b w:val="0"/>
                <w:sz w:val="21"/>
              </w:rPr>
              <w:t>有毒物质</w:t>
            </w:r>
          </w:p>
        </w:tc>
        <w:tc>
          <w:tcPr>
            <w:tcW w:w="6803" w:type="dxa"/>
            <w:tcMar>
              <w:top w:w="80" w:type="dxa"/>
              <w:left w:w="90" w:type="dxa"/>
              <w:bottom w:w="80" w:type="dxa"/>
              <w:right w:w="90" w:type="dxa"/>
            </w:tcMar>
            <w:vAlign w:val="center"/>
          </w:tcPr>
          <w:p w14:paraId="1B156C99">
            <w:pPr>
              <w:spacing w:before="0" w:after="0" w:line="288" w:lineRule="auto"/>
              <w:jc w:val="left"/>
            </w:pPr>
            <w:r>
              <w:rPr>
                <w:rFonts w:ascii="仿宋_GB2312" w:hAnsi="仿宋_GB2312" w:eastAsia="仿宋_GB2312"/>
                <w:b w:val="0"/>
                <w:sz w:val="21"/>
              </w:rPr>
              <w:t>密闭、通风、限量、双人或授权管理，防止吸入和皮肤接触</w:t>
            </w:r>
          </w:p>
        </w:tc>
      </w:tr>
      <w:tr w14:paraId="0F96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42C0816F">
            <w:pPr>
              <w:spacing w:before="0" w:after="0" w:line="288" w:lineRule="auto"/>
              <w:jc w:val="center"/>
            </w:pPr>
            <w:r>
              <w:rPr>
                <w:rFonts w:ascii="仿宋_GB2312" w:hAnsi="仿宋_GB2312" w:eastAsia="仿宋_GB2312"/>
                <w:b w:val="0"/>
                <w:sz w:val="21"/>
              </w:rPr>
              <w:t>自反应/有机过氧化物</w:t>
            </w:r>
          </w:p>
        </w:tc>
        <w:tc>
          <w:tcPr>
            <w:tcW w:w="6803" w:type="dxa"/>
            <w:tcMar>
              <w:top w:w="80" w:type="dxa"/>
              <w:left w:w="90" w:type="dxa"/>
              <w:bottom w:w="80" w:type="dxa"/>
              <w:right w:w="90" w:type="dxa"/>
            </w:tcMar>
            <w:vAlign w:val="center"/>
          </w:tcPr>
          <w:p w14:paraId="452E9FBE">
            <w:pPr>
              <w:spacing w:before="0" w:after="0" w:line="288" w:lineRule="auto"/>
              <w:jc w:val="left"/>
            </w:pPr>
            <w:r>
              <w:rPr>
                <w:rFonts w:ascii="仿宋_GB2312" w:hAnsi="仿宋_GB2312" w:eastAsia="仿宋_GB2312"/>
                <w:b w:val="0"/>
                <w:sz w:val="21"/>
              </w:rPr>
              <w:t>按规定温度和稳定条件储存，避免污染、摩擦、冲击和超期</w:t>
            </w:r>
          </w:p>
        </w:tc>
      </w:tr>
      <w:tr w14:paraId="1348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1CE5DD35">
            <w:pPr>
              <w:spacing w:before="0" w:after="0" w:line="288" w:lineRule="auto"/>
              <w:jc w:val="center"/>
            </w:pPr>
            <w:r>
              <w:rPr>
                <w:rFonts w:ascii="仿宋_GB2312" w:hAnsi="仿宋_GB2312" w:eastAsia="仿宋_GB2312"/>
                <w:b w:val="0"/>
                <w:sz w:val="21"/>
              </w:rPr>
              <w:t>压缩/液化气体</w:t>
            </w:r>
          </w:p>
        </w:tc>
        <w:tc>
          <w:tcPr>
            <w:tcW w:w="6803" w:type="dxa"/>
            <w:tcMar>
              <w:top w:w="80" w:type="dxa"/>
              <w:left w:w="90" w:type="dxa"/>
              <w:bottom w:w="80" w:type="dxa"/>
              <w:right w:w="90" w:type="dxa"/>
            </w:tcMar>
            <w:vAlign w:val="center"/>
          </w:tcPr>
          <w:p w14:paraId="58558FBB">
            <w:pPr>
              <w:spacing w:before="0" w:after="0" w:line="288" w:lineRule="auto"/>
              <w:jc w:val="left"/>
            </w:pPr>
            <w:r>
              <w:rPr>
                <w:rFonts w:ascii="仿宋_GB2312" w:hAnsi="仿宋_GB2312" w:eastAsia="仿宋_GB2312"/>
                <w:b w:val="0"/>
                <w:sz w:val="21"/>
              </w:rPr>
              <w:t>防倾倒、防暴晒，瓶帽附件齐全，空实瓶和不同性质气体分类</w:t>
            </w:r>
          </w:p>
        </w:tc>
      </w:tr>
    </w:tbl>
    <w:p w14:paraId="577C42AE">
      <w:pPr>
        <w:spacing w:after="0"/>
      </w:pPr>
    </w:p>
    <w:p w14:paraId="3FB8F269">
      <w:pPr>
        <w:pStyle w:val="4"/>
        <w:keepNext/>
        <w:spacing w:before="160" w:after="0" w:line="360" w:lineRule="auto"/>
      </w:pPr>
      <w:r>
        <w:rPr>
          <w:rFonts w:ascii="仿宋_GB2312" w:hAnsi="仿宋_GB2312" w:eastAsia="仿宋_GB2312"/>
          <w:b/>
          <w:sz w:val="28"/>
        </w:rPr>
        <w:t>三、仓库与储存区基本要求</w:t>
      </w:r>
    </w:p>
    <w:p w14:paraId="2EE163DB">
      <w:pPr>
        <w:spacing w:before="0" w:after="0" w:line="360" w:lineRule="auto"/>
        <w:ind w:left="0" w:firstLine="0"/>
        <w:jc w:val="both"/>
      </w:pPr>
      <w:r>
        <w:rPr>
          <w:rFonts w:ascii="仿宋_GB2312" w:hAnsi="仿宋_GB2312" w:eastAsia="仿宋_GB2312"/>
          <w:sz w:val="24"/>
        </w:rPr>
        <w:t>1. 严格控制品种和数量，不得超量、超高、超范围储存，不得堵塞通道和消防设施。</w:t>
      </w:r>
    </w:p>
    <w:p w14:paraId="27E94588">
      <w:pPr>
        <w:spacing w:before="0" w:after="0" w:line="360" w:lineRule="auto"/>
        <w:ind w:left="0" w:firstLine="0"/>
        <w:jc w:val="both"/>
      </w:pPr>
      <w:r>
        <w:rPr>
          <w:rFonts w:ascii="仿宋_GB2312" w:hAnsi="仿宋_GB2312" w:eastAsia="仿宋_GB2312"/>
          <w:sz w:val="24"/>
        </w:rPr>
        <w:t>2. 库内保持通风、干燥、整洁，禁止使用不符合区域要求的电气设备和工具。</w:t>
      </w:r>
    </w:p>
    <w:p w14:paraId="1D2747B0">
      <w:pPr>
        <w:spacing w:before="0" w:after="0" w:line="360" w:lineRule="auto"/>
        <w:ind w:left="0" w:firstLine="0"/>
        <w:jc w:val="both"/>
      </w:pPr>
      <w:r>
        <w:rPr>
          <w:rFonts w:ascii="仿宋_GB2312" w:hAnsi="仿宋_GB2312" w:eastAsia="仿宋_GB2312"/>
          <w:sz w:val="24"/>
        </w:rPr>
        <w:t>3. 容器不得直接在地面拖拉、滚动或碰撞；发现鼓包、锈蚀、渗漏、结晶或温度异常应隔离处置。</w:t>
      </w:r>
    </w:p>
    <w:p w14:paraId="68035290">
      <w:pPr>
        <w:spacing w:before="0" w:after="0" w:line="360" w:lineRule="auto"/>
        <w:ind w:left="0" w:firstLine="0"/>
        <w:jc w:val="both"/>
      </w:pPr>
      <w:r>
        <w:rPr>
          <w:rFonts w:ascii="仿宋_GB2312" w:hAnsi="仿宋_GB2312" w:eastAsia="仿宋_GB2312"/>
          <w:sz w:val="24"/>
        </w:rPr>
        <w:t>4. 剧毒、易制毒、易制爆等受管制化学品按企业制度和监管要求实行专账、专库、双人或其他专项管理。</w:t>
      </w:r>
    </w:p>
    <w:p w14:paraId="14326CA9">
      <w:pPr>
        <w:pStyle w:val="4"/>
        <w:keepNext/>
        <w:spacing w:before="160" w:after="0" w:line="360" w:lineRule="auto"/>
      </w:pPr>
      <w:r>
        <w:rPr>
          <w:rFonts w:ascii="仿宋_GB2312" w:hAnsi="仿宋_GB2312" w:eastAsia="仿宋_GB2312"/>
          <w:b/>
          <w:sz w:val="28"/>
        </w:rPr>
        <w:t>四、储罐、管线和输送</w:t>
      </w:r>
    </w:p>
    <w:p w14:paraId="240C6E18">
      <w:pPr>
        <w:spacing w:before="0" w:after="0" w:line="360" w:lineRule="auto"/>
        <w:ind w:left="0" w:firstLine="0"/>
        <w:jc w:val="both"/>
      </w:pPr>
      <w:r>
        <w:rPr>
          <w:rFonts w:ascii="仿宋_GB2312" w:hAnsi="仿宋_GB2312" w:eastAsia="仿宋_GB2312"/>
          <w:sz w:val="24"/>
        </w:rPr>
        <w:t>1. 输送前核对物料、来源罐、目标罐、管线和阀门状态，防止错料、混料和冒顶。</w:t>
      </w:r>
    </w:p>
    <w:p w14:paraId="4A84C2C2">
      <w:pPr>
        <w:spacing w:before="0" w:after="0" w:line="360" w:lineRule="auto"/>
        <w:ind w:left="0" w:firstLine="0"/>
        <w:jc w:val="both"/>
      </w:pPr>
      <w:r>
        <w:rPr>
          <w:rFonts w:ascii="仿宋_GB2312" w:hAnsi="仿宋_GB2312" w:eastAsia="仿宋_GB2312"/>
          <w:sz w:val="24"/>
        </w:rPr>
        <w:t>2. 储罐液位、温度、压力和高高液位报警应保持有效；禁止以人工观察替代应有的保护。</w:t>
      </w:r>
    </w:p>
    <w:p w14:paraId="5454952C">
      <w:pPr>
        <w:spacing w:before="0" w:after="0" w:line="360" w:lineRule="auto"/>
        <w:ind w:left="0" w:firstLine="0"/>
        <w:jc w:val="both"/>
      </w:pPr>
      <w:r>
        <w:rPr>
          <w:rFonts w:ascii="仿宋_GB2312" w:hAnsi="仿宋_GB2312" w:eastAsia="仿宋_GB2312"/>
          <w:sz w:val="24"/>
        </w:rPr>
        <w:t>3. 装卸软管、鹤管、快速接头和跨接线使用前检查，连接后进行确认，拆卸前泄压排空。</w:t>
      </w:r>
    </w:p>
    <w:p w14:paraId="025BD1E7">
      <w:pPr>
        <w:spacing w:before="0" w:after="0" w:line="360" w:lineRule="auto"/>
        <w:ind w:left="0" w:firstLine="0"/>
        <w:jc w:val="both"/>
      </w:pPr>
      <w:r>
        <w:rPr>
          <w:rFonts w:ascii="仿宋_GB2312" w:hAnsi="仿宋_GB2312" w:eastAsia="仿宋_GB2312"/>
          <w:sz w:val="24"/>
        </w:rPr>
        <w:t>4. 严禁车辆未熄火、未制动、未接地或人员未撤离即开始装卸。</w:t>
      </w:r>
    </w:p>
    <w:p w14:paraId="7FC5CF14">
      <w:pPr>
        <w:pStyle w:val="4"/>
        <w:keepNext/>
        <w:spacing w:before="160" w:after="0" w:line="360" w:lineRule="auto"/>
      </w:pPr>
      <w:r>
        <w:rPr>
          <w:rFonts w:ascii="仿宋_GB2312" w:hAnsi="仿宋_GB2312" w:eastAsia="仿宋_GB2312"/>
          <w:b/>
          <w:sz w:val="28"/>
        </w:rPr>
        <w:t>五、泄漏处置基本原则</w:t>
      </w:r>
    </w:p>
    <w:p w14:paraId="220625BC">
      <w:pPr>
        <w:spacing w:before="0" w:after="0" w:line="360" w:lineRule="auto"/>
        <w:ind w:firstLine="480"/>
        <w:jc w:val="both"/>
      </w:pPr>
      <w:r>
        <w:rPr>
          <w:rFonts w:ascii="仿宋_GB2312" w:hAnsi="仿宋_GB2312" w:eastAsia="仿宋_GB2312"/>
          <w:b w:val="0"/>
          <w:sz w:val="24"/>
        </w:rPr>
        <w:t>先辨识物料和风向，立即报警、隔离火源、停止输送并限制人员进入。处置人员必须使用与物料危害相适应的防护用品，优先在安全位置关闭阀门或切断来源。禁止不明物料混合收集，禁止将泄漏物冲入雨水系统，禁止无防护人员进入高浓度区域。</w:t>
      </w:r>
    </w:p>
    <w:p w14:paraId="415F20A0">
      <w:pPr>
        <w:pStyle w:val="3"/>
        <w:keepNext/>
        <w:pageBreakBefore/>
        <w:spacing w:before="0" w:after="200" w:line="360" w:lineRule="auto"/>
        <w:jc w:val="center"/>
      </w:pPr>
      <w:r>
        <w:rPr>
          <w:rFonts w:ascii="方正小标宋简体" w:hAnsi="方正小标宋简体" w:eastAsia="方正小标宋简体"/>
          <w:b/>
          <w:sz w:val="36"/>
        </w:rPr>
        <w:t>第七章  设备设施、压力容器与安全附件</w:t>
      </w:r>
    </w:p>
    <w:p w14:paraId="1AC2DD33">
      <w:pPr>
        <w:pStyle w:val="4"/>
        <w:keepNext/>
        <w:spacing w:before="160" w:after="0" w:line="360" w:lineRule="auto"/>
      </w:pPr>
      <w:r>
        <w:rPr>
          <w:rFonts w:ascii="仿宋_GB2312" w:hAnsi="仿宋_GB2312" w:eastAsia="仿宋_GB2312"/>
          <w:b/>
          <w:sz w:val="28"/>
        </w:rPr>
        <w:t>一、设备使用基本要求</w:t>
      </w:r>
    </w:p>
    <w:p w14:paraId="09D92A78">
      <w:pPr>
        <w:spacing w:before="0" w:after="0" w:line="360" w:lineRule="auto"/>
        <w:ind w:left="0" w:firstLine="0"/>
        <w:jc w:val="both"/>
      </w:pPr>
      <w:r>
        <w:rPr>
          <w:rFonts w:ascii="仿宋_GB2312" w:hAnsi="仿宋_GB2312" w:eastAsia="仿宋_GB2312"/>
          <w:sz w:val="24"/>
        </w:rPr>
        <w:t>1. 仅使用经过验收、状态标识清楚且在检验或维护有效期内的设备。</w:t>
      </w:r>
    </w:p>
    <w:p w14:paraId="78BFF263">
      <w:pPr>
        <w:spacing w:before="0" w:after="0" w:line="360" w:lineRule="auto"/>
        <w:ind w:left="0" w:firstLine="0"/>
        <w:jc w:val="both"/>
      </w:pPr>
      <w:r>
        <w:rPr>
          <w:rFonts w:ascii="仿宋_GB2312" w:hAnsi="仿宋_GB2312" w:eastAsia="仿宋_GB2312"/>
          <w:sz w:val="24"/>
        </w:rPr>
        <w:t>2. 启动前确认润滑、冷却、密封、防护罩、联轴器、地脚和旋转方向等条件。</w:t>
      </w:r>
    </w:p>
    <w:p w14:paraId="63DA2507">
      <w:pPr>
        <w:spacing w:before="0" w:after="0" w:line="360" w:lineRule="auto"/>
        <w:ind w:left="0" w:firstLine="0"/>
        <w:jc w:val="both"/>
      </w:pPr>
      <w:r>
        <w:rPr>
          <w:rFonts w:ascii="仿宋_GB2312" w:hAnsi="仿宋_GB2312" w:eastAsia="仿宋_GB2312"/>
          <w:sz w:val="24"/>
        </w:rPr>
        <w:t>3. 运行中发现超温、超压、异常振动、异响、摩擦、泄漏、电流异常或基础松动时，应及时降负荷或停机。</w:t>
      </w:r>
    </w:p>
    <w:p w14:paraId="43B8C017">
      <w:pPr>
        <w:spacing w:before="0" w:after="0" w:line="360" w:lineRule="auto"/>
        <w:ind w:left="0" w:firstLine="0"/>
        <w:jc w:val="both"/>
      </w:pPr>
      <w:r>
        <w:rPr>
          <w:rFonts w:ascii="仿宋_GB2312" w:hAnsi="仿宋_GB2312" w:eastAsia="仿宋_GB2312"/>
          <w:sz w:val="24"/>
        </w:rPr>
        <w:t>4. 禁止用手、脚或工具接触运行中的旋转、往复和传动部件。</w:t>
      </w:r>
    </w:p>
    <w:p w14:paraId="2036B6F7">
      <w:pPr>
        <w:pStyle w:val="4"/>
        <w:keepNext/>
        <w:spacing w:before="160" w:after="0" w:line="360" w:lineRule="auto"/>
      </w:pPr>
      <w:r>
        <w:rPr>
          <w:rFonts w:ascii="仿宋_GB2312" w:hAnsi="仿宋_GB2312" w:eastAsia="仿宋_GB2312"/>
          <w:b/>
          <w:sz w:val="28"/>
        </w:rPr>
        <w:t>二、压力容器和压力管道</w:t>
      </w:r>
    </w:p>
    <w:p w14:paraId="6EFB9A0E">
      <w:pPr>
        <w:spacing w:before="0" w:after="0" w:line="360" w:lineRule="auto"/>
        <w:ind w:left="0" w:firstLine="0"/>
        <w:jc w:val="both"/>
      </w:pPr>
      <w:r>
        <w:rPr>
          <w:rFonts w:ascii="仿宋_GB2312" w:hAnsi="仿宋_GB2312" w:eastAsia="仿宋_GB2312"/>
          <w:sz w:val="24"/>
        </w:rPr>
        <w:t>1. 操作人员应熟悉设计介质、允许压力温度、正常液位和紧急切断方式。</w:t>
      </w:r>
    </w:p>
    <w:p w14:paraId="27B25C9B">
      <w:pPr>
        <w:spacing w:before="0" w:after="0" w:line="360" w:lineRule="auto"/>
        <w:ind w:left="0" w:firstLine="0"/>
        <w:jc w:val="both"/>
      </w:pPr>
      <w:r>
        <w:rPr>
          <w:rFonts w:ascii="仿宋_GB2312" w:hAnsi="仿宋_GB2312" w:eastAsia="仿宋_GB2312"/>
          <w:sz w:val="24"/>
        </w:rPr>
        <w:t>2. 严禁超参数运行，严禁带压紧固、拆卸、敲击或处理泄漏。</w:t>
      </w:r>
    </w:p>
    <w:p w14:paraId="32AFEF3B">
      <w:pPr>
        <w:spacing w:before="0" w:after="0" w:line="360" w:lineRule="auto"/>
        <w:ind w:left="0" w:firstLine="0"/>
        <w:jc w:val="both"/>
      </w:pPr>
      <w:r>
        <w:rPr>
          <w:rFonts w:ascii="仿宋_GB2312" w:hAnsi="仿宋_GB2312" w:eastAsia="仿宋_GB2312"/>
          <w:sz w:val="24"/>
        </w:rPr>
        <w:t>3. 保温层异常鼓包、结霜、变色、滴漏、腐蚀、支架位移等应及时报告。</w:t>
      </w:r>
    </w:p>
    <w:p w14:paraId="3DE6D6A7">
      <w:pPr>
        <w:spacing w:before="0" w:after="0" w:line="360" w:lineRule="auto"/>
        <w:ind w:left="0" w:firstLine="0"/>
        <w:jc w:val="both"/>
      </w:pPr>
      <w:r>
        <w:rPr>
          <w:rFonts w:ascii="仿宋_GB2312" w:hAnsi="仿宋_GB2312" w:eastAsia="仿宋_GB2312"/>
          <w:sz w:val="24"/>
        </w:rPr>
        <w:t>4. 停用、检修和重新投用应按方案完成置换、检测、隔离和验收。</w:t>
      </w:r>
    </w:p>
    <w:p w14:paraId="5956CC82">
      <w:pPr>
        <w:pStyle w:val="4"/>
        <w:keepNext/>
        <w:spacing w:before="160" w:after="0" w:line="360" w:lineRule="auto"/>
      </w:pPr>
      <w:r>
        <w:rPr>
          <w:rFonts w:ascii="仿宋_GB2312" w:hAnsi="仿宋_GB2312" w:eastAsia="仿宋_GB2312"/>
          <w:b/>
          <w:sz w:val="28"/>
        </w:rPr>
        <w:t>三、安全阀、爆破片和其他安全附件</w:t>
      </w:r>
    </w:p>
    <w:p w14:paraId="4878DA0C">
      <w:pPr>
        <w:spacing w:before="0" w:after="0" w:line="360" w:lineRule="auto"/>
        <w:ind w:left="0" w:firstLine="0"/>
        <w:jc w:val="both"/>
      </w:pPr>
      <w:r>
        <w:rPr>
          <w:rFonts w:ascii="仿宋_GB2312" w:hAnsi="仿宋_GB2312" w:eastAsia="仿宋_GB2312"/>
          <w:sz w:val="24"/>
        </w:rPr>
        <w:t>1. 安全阀、爆破片、压力表、液位计、紧急切断阀和阻火器等不得擅自停用、封堵或调整。</w:t>
      </w:r>
    </w:p>
    <w:p w14:paraId="24D33E21">
      <w:pPr>
        <w:spacing w:before="0" w:after="0" w:line="360" w:lineRule="auto"/>
        <w:ind w:left="0" w:firstLine="0"/>
        <w:jc w:val="both"/>
      </w:pPr>
      <w:r>
        <w:rPr>
          <w:rFonts w:ascii="仿宋_GB2312" w:hAnsi="仿宋_GB2312" w:eastAsia="仿宋_GB2312"/>
          <w:sz w:val="24"/>
        </w:rPr>
        <w:t>2. 泄压出口应保持畅通并通向安全位置；不得在出口前设置可能误关的阀门。</w:t>
      </w:r>
    </w:p>
    <w:p w14:paraId="7E7047B6">
      <w:pPr>
        <w:spacing w:before="0" w:after="0" w:line="360" w:lineRule="auto"/>
        <w:ind w:left="0" w:firstLine="0"/>
        <w:jc w:val="both"/>
      </w:pPr>
      <w:r>
        <w:rPr>
          <w:rFonts w:ascii="仿宋_GB2312" w:hAnsi="仿宋_GB2312" w:eastAsia="仿宋_GB2312"/>
          <w:sz w:val="24"/>
        </w:rPr>
        <w:t>3. 发现铅封破坏、校验过期、指针不回零、导压管堵塞或泄压装置动作后，应立即报告处理。</w:t>
      </w:r>
    </w:p>
    <w:p w14:paraId="31B0CDBE">
      <w:pPr>
        <w:spacing w:before="0" w:after="0" w:line="360" w:lineRule="auto"/>
        <w:ind w:left="0" w:firstLine="0"/>
        <w:jc w:val="both"/>
      </w:pPr>
      <w:r>
        <w:rPr>
          <w:rFonts w:ascii="仿宋_GB2312" w:hAnsi="仿宋_GB2312" w:eastAsia="仿宋_GB2312"/>
          <w:sz w:val="24"/>
        </w:rPr>
        <w:t>4. 备用安全附件必须与原设计参数、材质和安装要求相符，禁止随意代用。</w:t>
      </w:r>
    </w:p>
    <w:p w14:paraId="73883FB6">
      <w:pPr>
        <w:pStyle w:val="4"/>
        <w:keepNext/>
        <w:spacing w:before="160" w:after="0" w:line="360" w:lineRule="auto"/>
      </w:pPr>
      <w:r>
        <w:rPr>
          <w:rFonts w:ascii="仿宋_GB2312" w:hAnsi="仿宋_GB2312" w:eastAsia="仿宋_GB2312"/>
          <w:b/>
          <w:sz w:val="28"/>
        </w:rPr>
        <w:t>四、泵、压缩机和搅拌设备</w:t>
      </w:r>
    </w:p>
    <w:p w14:paraId="7EB71E9B">
      <w:pPr>
        <w:spacing w:before="0" w:after="0" w:line="360" w:lineRule="auto"/>
        <w:ind w:left="0" w:firstLine="0"/>
        <w:jc w:val="both"/>
      </w:pPr>
      <w:r>
        <w:rPr>
          <w:rFonts w:ascii="仿宋_GB2312" w:hAnsi="仿宋_GB2312" w:eastAsia="仿宋_GB2312"/>
          <w:sz w:val="24"/>
        </w:rPr>
        <w:t>1. 禁止泵无液空转、出口关闭长时间运行或超额定工况运行。</w:t>
      </w:r>
    </w:p>
    <w:p w14:paraId="38C780D4">
      <w:pPr>
        <w:spacing w:before="0" w:after="0" w:line="360" w:lineRule="auto"/>
        <w:ind w:left="0" w:firstLine="0"/>
        <w:jc w:val="both"/>
      </w:pPr>
      <w:r>
        <w:rPr>
          <w:rFonts w:ascii="仿宋_GB2312" w:hAnsi="仿宋_GB2312" w:eastAsia="仿宋_GB2312"/>
          <w:sz w:val="24"/>
        </w:rPr>
        <w:t>2. 机械密封、填料、润滑和冷却系统泄漏应及时处理，禁止用抹布长期包裹。</w:t>
      </w:r>
    </w:p>
    <w:p w14:paraId="525414ED">
      <w:pPr>
        <w:spacing w:before="0" w:after="0" w:line="360" w:lineRule="auto"/>
        <w:ind w:left="0" w:firstLine="0"/>
        <w:jc w:val="both"/>
      </w:pPr>
      <w:r>
        <w:rPr>
          <w:rFonts w:ascii="仿宋_GB2312" w:hAnsi="仿宋_GB2312" w:eastAsia="仿宋_GB2312"/>
          <w:sz w:val="24"/>
        </w:rPr>
        <w:t>3. 压缩机入口、出口、润滑、冷却和联锁异常时不得强行运行。</w:t>
      </w:r>
    </w:p>
    <w:p w14:paraId="0C806F64">
      <w:pPr>
        <w:spacing w:before="0" w:after="0" w:line="360" w:lineRule="auto"/>
        <w:ind w:left="0" w:firstLine="0"/>
        <w:jc w:val="both"/>
      </w:pPr>
      <w:r>
        <w:rPr>
          <w:rFonts w:ascii="仿宋_GB2312" w:hAnsi="仿宋_GB2312" w:eastAsia="仿宋_GB2312"/>
          <w:sz w:val="24"/>
        </w:rPr>
        <w:t>4. 搅拌器未停稳、未隔离、未确认内部安全前不得开盖或伸入工具。</w:t>
      </w:r>
    </w:p>
    <w:p w14:paraId="335DDB1F">
      <w:pPr>
        <w:pStyle w:val="3"/>
        <w:keepNext/>
        <w:pageBreakBefore/>
        <w:spacing w:before="0" w:after="200" w:line="360" w:lineRule="auto"/>
        <w:jc w:val="center"/>
      </w:pPr>
      <w:r>
        <w:rPr>
          <w:rFonts w:ascii="方正小标宋简体" w:hAnsi="方正小标宋简体" w:eastAsia="方正小标宋简体"/>
          <w:b/>
          <w:sz w:val="36"/>
        </w:rPr>
        <w:t>第八章  电气、防雷、防静电与防爆安全</w:t>
      </w:r>
    </w:p>
    <w:p w14:paraId="59EAA24C">
      <w:pPr>
        <w:pStyle w:val="4"/>
        <w:keepNext/>
        <w:spacing w:before="160" w:after="0" w:line="360" w:lineRule="auto"/>
      </w:pPr>
      <w:r>
        <w:rPr>
          <w:rFonts w:ascii="仿宋_GB2312" w:hAnsi="仿宋_GB2312" w:eastAsia="仿宋_GB2312"/>
          <w:b/>
          <w:sz w:val="28"/>
        </w:rPr>
        <w:t>一、电气安全基本要求</w:t>
      </w:r>
    </w:p>
    <w:p w14:paraId="53DAB7FD">
      <w:pPr>
        <w:spacing w:before="0" w:after="0" w:line="360" w:lineRule="auto"/>
        <w:ind w:left="0" w:firstLine="0"/>
        <w:jc w:val="both"/>
      </w:pPr>
      <w:r>
        <w:rPr>
          <w:rFonts w:ascii="仿宋_GB2312" w:hAnsi="仿宋_GB2312" w:eastAsia="仿宋_GB2312"/>
          <w:sz w:val="24"/>
        </w:rPr>
        <w:t>1. 非电气专业人员不得擅自拆接电气线路、打开带电柜门或处理电气故障。</w:t>
      </w:r>
    </w:p>
    <w:p w14:paraId="215C23FC">
      <w:pPr>
        <w:spacing w:before="0" w:after="0" w:line="360" w:lineRule="auto"/>
        <w:ind w:left="0" w:firstLine="0"/>
        <w:jc w:val="both"/>
      </w:pPr>
      <w:r>
        <w:rPr>
          <w:rFonts w:ascii="仿宋_GB2312" w:hAnsi="仿宋_GB2312" w:eastAsia="仿宋_GB2312"/>
          <w:sz w:val="24"/>
        </w:rPr>
        <w:t>2. 发现电缆破损、接头发热、异味、冒烟、火花、漏电保护器频繁动作时，应立即停用并报告。</w:t>
      </w:r>
    </w:p>
    <w:p w14:paraId="505346A8">
      <w:pPr>
        <w:spacing w:before="0" w:after="0" w:line="360" w:lineRule="auto"/>
        <w:ind w:left="0" w:firstLine="0"/>
        <w:jc w:val="both"/>
      </w:pPr>
      <w:r>
        <w:rPr>
          <w:rFonts w:ascii="仿宋_GB2312" w:hAnsi="仿宋_GB2312" w:eastAsia="仿宋_GB2312"/>
          <w:sz w:val="24"/>
        </w:rPr>
        <w:t>3. 禁止用湿手操作电器，禁止私拉乱接、使用破损插座或多级插排串联。</w:t>
      </w:r>
    </w:p>
    <w:p w14:paraId="4818EF61">
      <w:pPr>
        <w:spacing w:before="0" w:after="0" w:line="360" w:lineRule="auto"/>
        <w:ind w:left="0" w:firstLine="0"/>
        <w:jc w:val="both"/>
      </w:pPr>
      <w:r>
        <w:rPr>
          <w:rFonts w:ascii="仿宋_GB2312" w:hAnsi="仿宋_GB2312" w:eastAsia="仿宋_GB2312"/>
          <w:sz w:val="24"/>
        </w:rPr>
        <w:t>4. 电气作业必须实施停电、验电、接地、挂牌和防止误送电措施。</w:t>
      </w:r>
    </w:p>
    <w:p w14:paraId="363145C9">
      <w:pPr>
        <w:pStyle w:val="4"/>
        <w:keepNext/>
        <w:spacing w:before="160" w:after="0" w:line="360" w:lineRule="auto"/>
      </w:pPr>
      <w:r>
        <w:rPr>
          <w:rFonts w:ascii="仿宋_GB2312" w:hAnsi="仿宋_GB2312" w:eastAsia="仿宋_GB2312"/>
          <w:b/>
          <w:sz w:val="28"/>
        </w:rPr>
        <w:t>二、防爆区域要求</w:t>
      </w:r>
    </w:p>
    <w:p w14:paraId="0589866B">
      <w:pPr>
        <w:spacing w:before="0" w:after="0" w:line="360" w:lineRule="auto"/>
        <w:ind w:left="0" w:firstLine="0"/>
        <w:jc w:val="both"/>
      </w:pPr>
      <w:r>
        <w:rPr>
          <w:rFonts w:ascii="仿宋_GB2312" w:hAnsi="仿宋_GB2312" w:eastAsia="仿宋_GB2312"/>
          <w:sz w:val="24"/>
        </w:rPr>
        <w:t>1. 防爆区域内设备、照明、接线、仪表和移动工具应与区域等级和介质特性相适应。</w:t>
      </w:r>
    </w:p>
    <w:p w14:paraId="3B388F1C">
      <w:pPr>
        <w:spacing w:before="0" w:after="0" w:line="360" w:lineRule="auto"/>
        <w:ind w:left="0" w:firstLine="0"/>
        <w:jc w:val="both"/>
      </w:pPr>
      <w:r>
        <w:rPr>
          <w:rFonts w:ascii="仿宋_GB2312" w:hAnsi="仿宋_GB2312" w:eastAsia="仿宋_GB2312"/>
          <w:sz w:val="24"/>
        </w:rPr>
        <w:t>2. 不得擅自打开运行中的防爆电气外壳，不得使用非防爆手机、相机、对讲机或充电设备。</w:t>
      </w:r>
    </w:p>
    <w:p w14:paraId="7AD6A050">
      <w:pPr>
        <w:spacing w:before="0" w:after="0" w:line="360" w:lineRule="auto"/>
        <w:ind w:left="0" w:firstLine="0"/>
        <w:jc w:val="both"/>
      </w:pPr>
      <w:r>
        <w:rPr>
          <w:rFonts w:ascii="仿宋_GB2312" w:hAnsi="仿宋_GB2312" w:eastAsia="仿宋_GB2312"/>
          <w:sz w:val="24"/>
        </w:rPr>
        <w:t>3. 防爆接线盒、密封件、格兰头和螺栓应完整紧固；发现失爆迹象立即停用。</w:t>
      </w:r>
    </w:p>
    <w:p w14:paraId="57805890">
      <w:pPr>
        <w:spacing w:before="0" w:after="0" w:line="360" w:lineRule="auto"/>
        <w:ind w:left="0" w:firstLine="0"/>
        <w:jc w:val="both"/>
      </w:pPr>
      <w:r>
        <w:rPr>
          <w:rFonts w:ascii="仿宋_GB2312" w:hAnsi="仿宋_GB2312" w:eastAsia="仿宋_GB2312"/>
          <w:sz w:val="24"/>
        </w:rPr>
        <w:t>4. 临时电气设备进入防爆区域前必须经过批准和风险控制。</w:t>
      </w:r>
    </w:p>
    <w:p w14:paraId="004A834C">
      <w:pPr>
        <w:pStyle w:val="4"/>
        <w:keepNext/>
        <w:spacing w:before="160" w:after="0" w:line="360" w:lineRule="auto"/>
      </w:pPr>
      <w:r>
        <w:rPr>
          <w:rFonts w:ascii="仿宋_GB2312" w:hAnsi="仿宋_GB2312" w:eastAsia="仿宋_GB2312"/>
          <w:b/>
          <w:sz w:val="28"/>
        </w:rPr>
        <w:t>三、防雷和防静电</w:t>
      </w:r>
    </w:p>
    <w:p w14:paraId="191F7266">
      <w:pPr>
        <w:spacing w:before="0" w:after="0" w:line="360" w:lineRule="auto"/>
        <w:ind w:left="0" w:firstLine="0"/>
        <w:jc w:val="both"/>
      </w:pPr>
      <w:r>
        <w:rPr>
          <w:rFonts w:ascii="仿宋_GB2312" w:hAnsi="仿宋_GB2312" w:eastAsia="仿宋_GB2312"/>
          <w:sz w:val="24"/>
        </w:rPr>
        <w:t>1. 雷雨天气按照企业规定停止露天高风险装卸、登高和可能受雷击影响的作业。</w:t>
      </w:r>
    </w:p>
    <w:p w14:paraId="4B411A7D">
      <w:pPr>
        <w:spacing w:before="0" w:after="0" w:line="360" w:lineRule="auto"/>
        <w:ind w:left="0" w:firstLine="0"/>
        <w:jc w:val="both"/>
      </w:pPr>
      <w:r>
        <w:rPr>
          <w:rFonts w:ascii="仿宋_GB2312" w:hAnsi="仿宋_GB2312" w:eastAsia="仿宋_GB2312"/>
          <w:sz w:val="24"/>
        </w:rPr>
        <w:t>2. 易燃液体装卸、转移、过滤、搅拌和取样时，应确认设备、容器和管线的接地、跨接连续可靠。</w:t>
      </w:r>
    </w:p>
    <w:p w14:paraId="2696F7FC">
      <w:pPr>
        <w:spacing w:before="0" w:after="0" w:line="360" w:lineRule="auto"/>
        <w:ind w:left="0" w:firstLine="0"/>
        <w:jc w:val="both"/>
      </w:pPr>
      <w:r>
        <w:rPr>
          <w:rFonts w:ascii="仿宋_GB2312" w:hAnsi="仿宋_GB2312" w:eastAsia="仿宋_GB2312"/>
          <w:sz w:val="24"/>
        </w:rPr>
        <w:t>3. 控制流速，避免喷溅、自由落料和高压冲击；使用导静电软管、工具和符合要求的工作服鞋。</w:t>
      </w:r>
    </w:p>
    <w:p w14:paraId="08E38F21">
      <w:pPr>
        <w:spacing w:before="0" w:after="0" w:line="360" w:lineRule="auto"/>
        <w:ind w:left="0" w:firstLine="0"/>
        <w:jc w:val="both"/>
      </w:pPr>
      <w:r>
        <w:rPr>
          <w:rFonts w:ascii="仿宋_GB2312" w:hAnsi="仿宋_GB2312" w:eastAsia="仿宋_GB2312"/>
          <w:sz w:val="24"/>
        </w:rPr>
        <w:t>4. 不得用塑料袋、普通塑料桶等不适用容器盛装或转移易燃液体。</w:t>
      </w:r>
    </w:p>
    <w:p w14:paraId="62A202C2">
      <w:pPr>
        <w:pStyle w:val="4"/>
        <w:keepNext/>
        <w:spacing w:before="160" w:after="0" w:line="360" w:lineRule="auto"/>
      </w:pPr>
      <w:r>
        <w:rPr>
          <w:rFonts w:ascii="仿宋_GB2312" w:hAnsi="仿宋_GB2312" w:eastAsia="仿宋_GB2312"/>
          <w:b/>
          <w:sz w:val="28"/>
        </w:rPr>
        <w:t>四、临时用电</w:t>
      </w:r>
    </w:p>
    <w:p w14:paraId="7CFD1126">
      <w:pPr>
        <w:spacing w:before="0" w:after="0" w:line="360" w:lineRule="auto"/>
        <w:ind w:firstLine="480"/>
        <w:jc w:val="both"/>
      </w:pPr>
      <w:r>
        <w:rPr>
          <w:rFonts w:ascii="仿宋_GB2312" w:hAnsi="仿宋_GB2312" w:eastAsia="仿宋_GB2312"/>
          <w:b w:val="0"/>
          <w:sz w:val="24"/>
        </w:rPr>
        <w:t>临时用电应办理作业手续，明确电源点、负荷、线路敷设、漏电保护、接地和防雨措施。线路不得浸水、受压、被车辆碾压或沿高温、腐蚀介质附近敷设。用电结束后应及时拆除，禁止将临时线路长期固定使用。</w:t>
      </w:r>
    </w:p>
    <w:p w14:paraId="5EAAA81F">
      <w:pPr>
        <w:pStyle w:val="3"/>
        <w:keepNext/>
        <w:pageBreakBefore/>
        <w:spacing w:before="0" w:after="200" w:line="360" w:lineRule="auto"/>
        <w:jc w:val="center"/>
      </w:pPr>
      <w:r>
        <w:rPr>
          <w:rFonts w:ascii="方正小标宋简体" w:hAnsi="方正小标宋简体" w:eastAsia="方正小标宋简体"/>
          <w:b/>
          <w:sz w:val="36"/>
        </w:rPr>
        <w:t>第九章  特殊作业安全</w:t>
      </w:r>
    </w:p>
    <w:p w14:paraId="0B768F70">
      <w:pPr>
        <w:spacing w:before="0" w:after="0" w:line="360" w:lineRule="auto"/>
        <w:ind w:firstLine="480"/>
        <w:jc w:val="both"/>
      </w:pPr>
      <w:r>
        <w:rPr>
          <w:rFonts w:ascii="仿宋_GB2312" w:hAnsi="仿宋_GB2312" w:eastAsia="仿宋_GB2312"/>
          <w:b w:val="0"/>
          <w:sz w:val="24"/>
        </w:rPr>
        <w:t>特殊作业必须执行作业许可和全过程风险管控。作业票不是“开工证明”，而是确认风险、措施、责任和条件持续有效的工具。作业内容、地点、时间、人员或现场条件变化时，应重新评估，必要时停止作业、收回票证。</w:t>
      </w:r>
    </w:p>
    <w:p w14:paraId="0E92A05E">
      <w:pPr>
        <w:pStyle w:val="4"/>
        <w:keepNext/>
        <w:spacing w:before="160" w:after="0" w:line="360" w:lineRule="auto"/>
      </w:pPr>
      <w:r>
        <w:rPr>
          <w:rFonts w:ascii="仿宋_GB2312" w:hAnsi="仿宋_GB2312" w:eastAsia="仿宋_GB2312"/>
          <w:b/>
          <w:sz w:val="28"/>
        </w:rPr>
        <w:t>一、动火作业</w:t>
      </w:r>
    </w:p>
    <w:p w14:paraId="24676799">
      <w:pPr>
        <w:spacing w:before="0" w:after="0" w:line="360" w:lineRule="auto"/>
        <w:ind w:left="0" w:firstLine="0"/>
        <w:jc w:val="both"/>
      </w:pPr>
      <w:r>
        <w:rPr>
          <w:rFonts w:ascii="仿宋_GB2312" w:hAnsi="仿宋_GB2312" w:eastAsia="仿宋_GB2312"/>
          <w:sz w:val="24"/>
        </w:rPr>
        <w:t>1. 确认动火等级、区域和内容，完成隔离、清洗置换、气体检测、可燃物清理和消防准备。</w:t>
      </w:r>
    </w:p>
    <w:p w14:paraId="57B3B0B5">
      <w:pPr>
        <w:spacing w:before="0" w:after="0" w:line="360" w:lineRule="auto"/>
        <w:ind w:left="0" w:firstLine="0"/>
        <w:jc w:val="both"/>
      </w:pPr>
      <w:r>
        <w:rPr>
          <w:rFonts w:ascii="仿宋_GB2312" w:hAnsi="仿宋_GB2312" w:eastAsia="仿宋_GB2312"/>
          <w:sz w:val="24"/>
        </w:rPr>
        <w:t>2. 动火点周边和下方孔洞、地沟、设备夹层应检查并采取防火花飞溅措施。</w:t>
      </w:r>
    </w:p>
    <w:p w14:paraId="1404E29C">
      <w:pPr>
        <w:spacing w:before="0" w:after="0" w:line="360" w:lineRule="auto"/>
        <w:ind w:left="0" w:firstLine="0"/>
        <w:jc w:val="both"/>
      </w:pPr>
      <w:r>
        <w:rPr>
          <w:rFonts w:ascii="仿宋_GB2312" w:hAnsi="仿宋_GB2312" w:eastAsia="仿宋_GB2312"/>
          <w:sz w:val="24"/>
        </w:rPr>
        <w:t>3. 动火期间持续监护，检测和环境条件变化时立即停止；作业后进行余火检查。</w:t>
      </w:r>
    </w:p>
    <w:p w14:paraId="2E9C70BE">
      <w:pPr>
        <w:spacing w:before="0" w:after="0" w:line="360" w:lineRule="auto"/>
        <w:ind w:left="0" w:firstLine="0"/>
        <w:jc w:val="both"/>
      </w:pPr>
      <w:r>
        <w:rPr>
          <w:rFonts w:ascii="仿宋_GB2312" w:hAnsi="仿宋_GB2312" w:eastAsia="仿宋_GB2312"/>
          <w:sz w:val="24"/>
        </w:rPr>
        <w:t>4. 禁止在带压、带料、未隔离或存在未知气体的设备管线上动火。</w:t>
      </w:r>
    </w:p>
    <w:p w14:paraId="2BE78B38">
      <w:pPr>
        <w:pStyle w:val="4"/>
        <w:keepNext/>
        <w:spacing w:before="160" w:after="0" w:line="360" w:lineRule="auto"/>
      </w:pPr>
      <w:r>
        <w:rPr>
          <w:rFonts w:ascii="仿宋_GB2312" w:hAnsi="仿宋_GB2312" w:eastAsia="仿宋_GB2312"/>
          <w:b/>
          <w:sz w:val="28"/>
        </w:rPr>
        <w:t>二、受限空间作业</w:t>
      </w:r>
    </w:p>
    <w:p w14:paraId="1AD27E8B">
      <w:pPr>
        <w:spacing w:before="0" w:after="0" w:line="360" w:lineRule="auto"/>
        <w:ind w:left="0" w:firstLine="0"/>
        <w:jc w:val="both"/>
      </w:pPr>
      <w:r>
        <w:rPr>
          <w:rFonts w:ascii="仿宋_GB2312" w:hAnsi="仿宋_GB2312" w:eastAsia="仿宋_GB2312"/>
          <w:sz w:val="24"/>
        </w:rPr>
        <w:t>1. 先隔离、清洗置换、通风和检测，检测应覆盖氧含量、可燃气体和有毒气体。</w:t>
      </w:r>
    </w:p>
    <w:p w14:paraId="745A38C7">
      <w:pPr>
        <w:spacing w:before="0" w:after="0" w:line="360" w:lineRule="auto"/>
        <w:ind w:left="0" w:firstLine="0"/>
        <w:jc w:val="both"/>
      </w:pPr>
      <w:r>
        <w:rPr>
          <w:rFonts w:ascii="仿宋_GB2312" w:hAnsi="仿宋_GB2312" w:eastAsia="仿宋_GB2312"/>
          <w:sz w:val="24"/>
        </w:rPr>
        <w:t>2. 作业人员、监护人、救援人员和设备应在作业前确认到位；监护人不得离岗或兼做其他工作。</w:t>
      </w:r>
    </w:p>
    <w:p w14:paraId="4C3B6FEB">
      <w:pPr>
        <w:spacing w:before="0" w:after="0" w:line="360" w:lineRule="auto"/>
        <w:ind w:left="0" w:firstLine="0"/>
        <w:jc w:val="both"/>
      </w:pPr>
      <w:r>
        <w:rPr>
          <w:rFonts w:ascii="仿宋_GB2312" w:hAnsi="仿宋_GB2312" w:eastAsia="仿宋_GB2312"/>
          <w:sz w:val="24"/>
        </w:rPr>
        <w:t>3. 持续通风和按要求复测，作业人员与外部保持有效联络。</w:t>
      </w:r>
    </w:p>
    <w:p w14:paraId="0FCBDD30">
      <w:pPr>
        <w:spacing w:before="0" w:after="0" w:line="360" w:lineRule="auto"/>
        <w:ind w:left="0" w:firstLine="0"/>
        <w:jc w:val="both"/>
      </w:pPr>
      <w:r>
        <w:rPr>
          <w:rFonts w:ascii="仿宋_GB2312" w:hAnsi="仿宋_GB2312" w:eastAsia="仿宋_GB2312"/>
          <w:sz w:val="24"/>
        </w:rPr>
        <w:t>4. 发生报警、人员不适、通风中断或条件变化时立即撤离；严禁无防护盲目进入施救。</w:t>
      </w:r>
    </w:p>
    <w:p w14:paraId="6BDB4488">
      <w:pPr>
        <w:pStyle w:val="4"/>
        <w:keepNext/>
        <w:spacing w:before="160" w:after="0" w:line="360" w:lineRule="auto"/>
      </w:pPr>
      <w:r>
        <w:rPr>
          <w:rFonts w:ascii="仿宋_GB2312" w:hAnsi="仿宋_GB2312" w:eastAsia="仿宋_GB2312"/>
          <w:b/>
          <w:sz w:val="28"/>
        </w:rPr>
        <w:t>三、盲板抽堵作业</w:t>
      </w:r>
    </w:p>
    <w:p w14:paraId="1C7F88CD">
      <w:pPr>
        <w:spacing w:before="0" w:after="0" w:line="360" w:lineRule="auto"/>
        <w:ind w:left="0" w:firstLine="0"/>
        <w:jc w:val="both"/>
      </w:pPr>
      <w:r>
        <w:rPr>
          <w:rFonts w:ascii="仿宋_GB2312" w:hAnsi="仿宋_GB2312" w:eastAsia="仿宋_GB2312"/>
          <w:sz w:val="24"/>
        </w:rPr>
        <w:t>1. 核对流程图、介质、温压和盲板位置，建立盲板编号和状态台账。</w:t>
      </w:r>
    </w:p>
    <w:p w14:paraId="0BB2C093">
      <w:pPr>
        <w:spacing w:before="0" w:after="0" w:line="360" w:lineRule="auto"/>
        <w:ind w:left="0" w:firstLine="0"/>
        <w:jc w:val="both"/>
      </w:pPr>
      <w:r>
        <w:rPr>
          <w:rFonts w:ascii="仿宋_GB2312" w:hAnsi="仿宋_GB2312" w:eastAsia="仿宋_GB2312"/>
          <w:sz w:val="24"/>
        </w:rPr>
        <w:t>2. 作业点必须泄压、排净并与系统可靠隔离，防止错抽、漏抽和介质倒灌。</w:t>
      </w:r>
    </w:p>
    <w:p w14:paraId="4F6A1680">
      <w:pPr>
        <w:spacing w:before="0" w:after="0" w:line="360" w:lineRule="auto"/>
        <w:ind w:left="0" w:firstLine="0"/>
        <w:jc w:val="both"/>
      </w:pPr>
      <w:r>
        <w:rPr>
          <w:rFonts w:ascii="仿宋_GB2312" w:hAnsi="仿宋_GB2312" w:eastAsia="仿宋_GB2312"/>
          <w:sz w:val="24"/>
        </w:rPr>
        <w:t>3. 高温、有毒、可燃或腐蚀介质应采取专项防护，人员避开法兰喷射方向。</w:t>
      </w:r>
    </w:p>
    <w:p w14:paraId="349B9B4D">
      <w:pPr>
        <w:pStyle w:val="4"/>
        <w:keepNext/>
        <w:spacing w:before="160" w:after="0" w:line="360" w:lineRule="auto"/>
      </w:pPr>
      <w:r>
        <w:rPr>
          <w:rFonts w:ascii="仿宋_GB2312" w:hAnsi="仿宋_GB2312" w:eastAsia="仿宋_GB2312"/>
          <w:b/>
          <w:sz w:val="28"/>
        </w:rPr>
        <w:t>四、高处作业</w:t>
      </w:r>
    </w:p>
    <w:p w14:paraId="49806B91">
      <w:pPr>
        <w:spacing w:before="0" w:after="0" w:line="360" w:lineRule="auto"/>
        <w:ind w:left="0" w:firstLine="0"/>
        <w:jc w:val="both"/>
      </w:pPr>
      <w:r>
        <w:rPr>
          <w:rFonts w:ascii="仿宋_GB2312" w:hAnsi="仿宋_GB2312" w:eastAsia="仿宋_GB2312"/>
          <w:sz w:val="24"/>
        </w:rPr>
        <w:t>1. 作业平台、脚手架、梯具、临边洞口和坠落防护应检查合格。</w:t>
      </w:r>
    </w:p>
    <w:p w14:paraId="1EF268D1">
      <w:pPr>
        <w:spacing w:before="0" w:after="0" w:line="360" w:lineRule="auto"/>
        <w:ind w:left="0" w:firstLine="0"/>
        <w:jc w:val="both"/>
      </w:pPr>
      <w:r>
        <w:rPr>
          <w:rFonts w:ascii="仿宋_GB2312" w:hAnsi="仿宋_GB2312" w:eastAsia="仿宋_GB2312"/>
          <w:sz w:val="24"/>
        </w:rPr>
        <w:t>2. 安全带高挂低用，系挂点可靠；移动时保持连续保护。</w:t>
      </w:r>
    </w:p>
    <w:p w14:paraId="277CC269">
      <w:pPr>
        <w:spacing w:before="0" w:after="0" w:line="360" w:lineRule="auto"/>
        <w:ind w:left="0" w:firstLine="0"/>
        <w:jc w:val="both"/>
      </w:pPr>
      <w:r>
        <w:rPr>
          <w:rFonts w:ascii="仿宋_GB2312" w:hAnsi="仿宋_GB2312" w:eastAsia="仿宋_GB2312"/>
          <w:sz w:val="24"/>
        </w:rPr>
        <w:t>3. 工具和材料防坠落，地面设置警戒，禁止上下抛掷物品。</w:t>
      </w:r>
    </w:p>
    <w:p w14:paraId="4F629277">
      <w:pPr>
        <w:spacing w:before="0" w:after="0" w:line="360" w:lineRule="auto"/>
        <w:ind w:left="0" w:firstLine="0"/>
        <w:jc w:val="both"/>
      </w:pPr>
      <w:r>
        <w:rPr>
          <w:rFonts w:ascii="仿宋_GB2312" w:hAnsi="仿宋_GB2312" w:eastAsia="仿宋_GB2312"/>
          <w:sz w:val="24"/>
        </w:rPr>
        <w:t>4. 大风、雷雨、能见度不足或表面湿滑等不适宜条件下停止露天高处作业。</w:t>
      </w:r>
    </w:p>
    <w:p w14:paraId="39A89B29">
      <w:pPr>
        <w:pStyle w:val="4"/>
        <w:keepNext/>
        <w:spacing w:before="160" w:after="0" w:line="360" w:lineRule="auto"/>
      </w:pPr>
      <w:r>
        <w:rPr>
          <w:rFonts w:ascii="仿宋_GB2312" w:hAnsi="仿宋_GB2312" w:eastAsia="仿宋_GB2312"/>
          <w:b/>
          <w:sz w:val="28"/>
        </w:rPr>
        <w:t>五、吊装作业</w:t>
      </w:r>
    </w:p>
    <w:p w14:paraId="004D797E">
      <w:pPr>
        <w:spacing w:before="0" w:after="0" w:line="360" w:lineRule="auto"/>
        <w:ind w:left="0" w:firstLine="0"/>
        <w:jc w:val="both"/>
      </w:pPr>
      <w:r>
        <w:rPr>
          <w:rFonts w:ascii="仿宋_GB2312" w:hAnsi="仿宋_GB2312" w:eastAsia="仿宋_GB2312"/>
          <w:sz w:val="24"/>
        </w:rPr>
        <w:t>1. 起重机械、吊具、索具和作业人员资质符合要求，吊装方案和指挥信号明确。</w:t>
      </w:r>
    </w:p>
    <w:p w14:paraId="3E9B1148">
      <w:pPr>
        <w:spacing w:before="0" w:after="0" w:line="360" w:lineRule="auto"/>
        <w:ind w:left="0" w:firstLine="0"/>
        <w:jc w:val="both"/>
      </w:pPr>
      <w:r>
        <w:rPr>
          <w:rFonts w:ascii="仿宋_GB2312" w:hAnsi="仿宋_GB2312" w:eastAsia="仿宋_GB2312"/>
          <w:sz w:val="24"/>
        </w:rPr>
        <w:t>2. 试吊确认制动、平衡和受力情况，禁止超载、斜拉、吊埋物和捆绑不牢。</w:t>
      </w:r>
    </w:p>
    <w:p w14:paraId="47942AA2">
      <w:pPr>
        <w:spacing w:before="0" w:after="0" w:line="360" w:lineRule="auto"/>
        <w:ind w:left="0" w:firstLine="0"/>
        <w:jc w:val="both"/>
      </w:pPr>
      <w:r>
        <w:rPr>
          <w:rFonts w:ascii="仿宋_GB2312" w:hAnsi="仿宋_GB2312" w:eastAsia="仿宋_GB2312"/>
          <w:sz w:val="24"/>
        </w:rPr>
        <w:t>3. 吊物下方和回转半径内禁止站人或通行，指挥人员应在安全位置。</w:t>
      </w:r>
    </w:p>
    <w:p w14:paraId="18253A1C">
      <w:pPr>
        <w:pStyle w:val="4"/>
        <w:keepNext/>
        <w:spacing w:before="160" w:after="0" w:line="360" w:lineRule="auto"/>
      </w:pPr>
      <w:r>
        <w:rPr>
          <w:rFonts w:ascii="仿宋_GB2312" w:hAnsi="仿宋_GB2312" w:eastAsia="仿宋_GB2312"/>
          <w:b/>
          <w:sz w:val="28"/>
        </w:rPr>
        <w:t>六、动土、断路和其他特殊作业</w:t>
      </w:r>
    </w:p>
    <w:p w14:paraId="00A4EF92">
      <w:pPr>
        <w:spacing w:before="0" w:after="0" w:line="360" w:lineRule="auto"/>
        <w:ind w:left="0" w:firstLine="0"/>
        <w:jc w:val="both"/>
      </w:pPr>
      <w:r>
        <w:rPr>
          <w:rFonts w:ascii="仿宋_GB2312" w:hAnsi="仿宋_GB2312" w:eastAsia="仿宋_GB2312"/>
          <w:sz w:val="24"/>
        </w:rPr>
        <w:t>1. 动土前确认地下管线、电缆、基础和污染土风险，采用探测和人工试挖等措施。</w:t>
      </w:r>
    </w:p>
    <w:p w14:paraId="47539DEE">
      <w:pPr>
        <w:spacing w:before="0" w:after="0" w:line="360" w:lineRule="auto"/>
        <w:ind w:left="0" w:firstLine="0"/>
        <w:jc w:val="both"/>
      </w:pPr>
      <w:r>
        <w:rPr>
          <w:rFonts w:ascii="仿宋_GB2312" w:hAnsi="仿宋_GB2312" w:eastAsia="仿宋_GB2312"/>
          <w:sz w:val="24"/>
        </w:rPr>
        <w:t>2. 断路作业设置围挡、警示、照明和绕行路线，保障消防和应急通道。</w:t>
      </w:r>
    </w:p>
    <w:p w14:paraId="1F907258">
      <w:pPr>
        <w:spacing w:before="0" w:after="0" w:line="360" w:lineRule="auto"/>
        <w:ind w:left="0" w:firstLine="0"/>
        <w:jc w:val="both"/>
      </w:pPr>
      <w:r>
        <w:rPr>
          <w:rFonts w:ascii="仿宋_GB2312" w:hAnsi="仿宋_GB2312" w:eastAsia="仿宋_GB2312"/>
          <w:sz w:val="24"/>
        </w:rPr>
        <w:t>3. 涉及临时用电、射线、带压堵漏、清洗置换等作业时，执行相应专项许可和方案。</w:t>
      </w:r>
    </w:p>
    <w:p w14:paraId="23E5997F">
      <w:pPr>
        <w:pStyle w:val="3"/>
        <w:keepNext/>
        <w:pageBreakBefore/>
        <w:spacing w:before="0" w:after="200" w:line="360" w:lineRule="auto"/>
        <w:jc w:val="center"/>
      </w:pPr>
      <w:r>
        <w:rPr>
          <w:rFonts w:ascii="方正小标宋简体" w:hAnsi="方正小标宋简体" w:eastAsia="方正小标宋简体"/>
          <w:b/>
          <w:sz w:val="36"/>
        </w:rPr>
        <w:t>第十章  开停车、检维修与能量隔离</w:t>
      </w:r>
    </w:p>
    <w:p w14:paraId="77C02976">
      <w:pPr>
        <w:pStyle w:val="4"/>
        <w:keepNext/>
        <w:spacing w:before="160" w:after="0" w:line="360" w:lineRule="auto"/>
      </w:pPr>
      <w:r>
        <w:rPr>
          <w:rFonts w:ascii="仿宋_GB2312" w:hAnsi="仿宋_GB2312" w:eastAsia="仿宋_GB2312"/>
          <w:b/>
          <w:sz w:val="28"/>
        </w:rPr>
        <w:t>一、开车前安全确认</w:t>
      </w:r>
    </w:p>
    <w:p w14:paraId="7E9FFAE2">
      <w:pPr>
        <w:spacing w:before="0" w:after="0" w:line="360" w:lineRule="auto"/>
        <w:ind w:left="0" w:firstLine="0"/>
        <w:jc w:val="both"/>
      </w:pPr>
      <w:r>
        <w:rPr>
          <w:rFonts w:ascii="仿宋_GB2312" w:hAnsi="仿宋_GB2312" w:eastAsia="仿宋_GB2312"/>
          <w:sz w:val="24"/>
        </w:rPr>
        <w:t>1. 工艺、设备、仪表、电气、消防和公用工程条件已按清单验收。</w:t>
      </w:r>
    </w:p>
    <w:p w14:paraId="29970706">
      <w:pPr>
        <w:spacing w:before="0" w:after="0" w:line="360" w:lineRule="auto"/>
        <w:ind w:left="0" w:firstLine="0"/>
        <w:jc w:val="both"/>
      </w:pPr>
      <w:r>
        <w:rPr>
          <w:rFonts w:ascii="仿宋_GB2312" w:hAnsi="仿宋_GB2312" w:eastAsia="仿宋_GB2312"/>
          <w:sz w:val="24"/>
        </w:rPr>
        <w:t>2. 检维修工具、脚手架、临时管线、盲板和杂物已按要求清理或确认状态。</w:t>
      </w:r>
    </w:p>
    <w:p w14:paraId="56A1A585">
      <w:pPr>
        <w:spacing w:before="0" w:after="0" w:line="360" w:lineRule="auto"/>
        <w:ind w:left="0" w:firstLine="0"/>
        <w:jc w:val="both"/>
      </w:pPr>
      <w:r>
        <w:rPr>
          <w:rFonts w:ascii="仿宋_GB2312" w:hAnsi="仿宋_GB2312" w:eastAsia="仿宋_GB2312"/>
          <w:sz w:val="24"/>
        </w:rPr>
        <w:t>3. 报警联锁和紧急停车系统完成测试，安全阀和其他安全附件状态有效。</w:t>
      </w:r>
    </w:p>
    <w:p w14:paraId="4CA625C5">
      <w:pPr>
        <w:spacing w:before="0" w:after="0" w:line="360" w:lineRule="auto"/>
        <w:ind w:left="0" w:firstLine="0"/>
        <w:jc w:val="both"/>
      </w:pPr>
      <w:r>
        <w:rPr>
          <w:rFonts w:ascii="仿宋_GB2312" w:hAnsi="仿宋_GB2312" w:eastAsia="仿宋_GB2312"/>
          <w:sz w:val="24"/>
        </w:rPr>
        <w:t>4. 人员培训、操作规程、应急预案和物料准备到位，首次操作安排技术和管理人员现场指导。</w:t>
      </w:r>
    </w:p>
    <w:p w14:paraId="40A86EF6">
      <w:pPr>
        <w:pStyle w:val="4"/>
        <w:keepNext/>
        <w:spacing w:before="160" w:after="0" w:line="360" w:lineRule="auto"/>
      </w:pPr>
      <w:r>
        <w:rPr>
          <w:rFonts w:ascii="仿宋_GB2312" w:hAnsi="仿宋_GB2312" w:eastAsia="仿宋_GB2312"/>
          <w:b/>
          <w:sz w:val="28"/>
        </w:rPr>
        <w:t>二、停车与交出</w:t>
      </w:r>
    </w:p>
    <w:p w14:paraId="3F622460">
      <w:pPr>
        <w:spacing w:before="0" w:after="0" w:line="360" w:lineRule="auto"/>
        <w:ind w:left="0" w:firstLine="0"/>
        <w:jc w:val="both"/>
      </w:pPr>
      <w:r>
        <w:rPr>
          <w:rFonts w:ascii="仿宋_GB2312" w:hAnsi="仿宋_GB2312" w:eastAsia="仿宋_GB2312"/>
          <w:sz w:val="24"/>
        </w:rPr>
        <w:t>1. 按照批准的顺序降负荷、停料、停热、冷却、排空和置换，防止物料滞留和异常反应。</w:t>
      </w:r>
    </w:p>
    <w:p w14:paraId="6D17DC44">
      <w:pPr>
        <w:spacing w:before="0" w:after="0" w:line="360" w:lineRule="auto"/>
        <w:ind w:left="0" w:firstLine="0"/>
        <w:jc w:val="both"/>
      </w:pPr>
      <w:r>
        <w:rPr>
          <w:rFonts w:ascii="仿宋_GB2312" w:hAnsi="仿宋_GB2312" w:eastAsia="仿宋_GB2312"/>
          <w:sz w:val="24"/>
        </w:rPr>
        <w:t>2. 设备交检修前应与生产系统隔离，完成泄压、排净、清洗、置换和检测。</w:t>
      </w:r>
    </w:p>
    <w:p w14:paraId="5A84EC8E">
      <w:pPr>
        <w:spacing w:before="0" w:after="0" w:line="360" w:lineRule="auto"/>
        <w:ind w:left="0" w:firstLine="0"/>
        <w:jc w:val="both"/>
      </w:pPr>
      <w:r>
        <w:rPr>
          <w:rFonts w:ascii="仿宋_GB2312" w:hAnsi="仿宋_GB2312" w:eastAsia="仿宋_GB2312"/>
          <w:sz w:val="24"/>
        </w:rPr>
        <w:t>3. 交出状态、残余风险、盲板位置、阀门状态和禁止操作事项应书面确认。</w:t>
      </w:r>
    </w:p>
    <w:p w14:paraId="0A92DA4F">
      <w:pPr>
        <w:pStyle w:val="4"/>
        <w:keepNext/>
        <w:spacing w:before="160" w:after="0" w:line="360" w:lineRule="auto"/>
      </w:pPr>
      <w:r>
        <w:rPr>
          <w:rFonts w:ascii="仿宋_GB2312" w:hAnsi="仿宋_GB2312" w:eastAsia="仿宋_GB2312"/>
          <w:b/>
          <w:sz w:val="28"/>
        </w:rPr>
        <w:t>三、能量隔离与挂牌上锁</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65D6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14" w:type="dxa"/>
            <w:shd w:val="clear" w:color="auto" w:fill="D9EAF7"/>
            <w:tcMar>
              <w:top w:w="80" w:type="dxa"/>
              <w:left w:w="90" w:type="dxa"/>
              <w:bottom w:w="80" w:type="dxa"/>
              <w:right w:w="90" w:type="dxa"/>
            </w:tcMar>
            <w:vAlign w:val="center"/>
          </w:tcPr>
          <w:p w14:paraId="315DA744">
            <w:pPr>
              <w:spacing w:before="0" w:after="0" w:line="288" w:lineRule="auto"/>
              <w:jc w:val="center"/>
            </w:pPr>
            <w:r>
              <w:rPr>
                <w:rFonts w:ascii="仿宋_GB2312" w:hAnsi="仿宋_GB2312" w:eastAsia="仿宋_GB2312"/>
                <w:b/>
                <w:sz w:val="21"/>
              </w:rPr>
              <w:t>能量类型</w:t>
            </w:r>
          </w:p>
        </w:tc>
        <w:tc>
          <w:tcPr>
            <w:tcW w:w="2948" w:type="dxa"/>
            <w:shd w:val="clear" w:color="auto" w:fill="D9EAF7"/>
            <w:tcMar>
              <w:top w:w="80" w:type="dxa"/>
              <w:left w:w="90" w:type="dxa"/>
              <w:bottom w:w="80" w:type="dxa"/>
              <w:right w:w="90" w:type="dxa"/>
            </w:tcMar>
            <w:vAlign w:val="center"/>
          </w:tcPr>
          <w:p w14:paraId="072F72A6">
            <w:pPr>
              <w:spacing w:before="0" w:after="0" w:line="288" w:lineRule="auto"/>
              <w:jc w:val="center"/>
            </w:pPr>
            <w:r>
              <w:rPr>
                <w:rFonts w:ascii="仿宋_GB2312" w:hAnsi="仿宋_GB2312" w:eastAsia="仿宋_GB2312"/>
                <w:b/>
                <w:sz w:val="21"/>
              </w:rPr>
              <w:t>常见来源</w:t>
            </w:r>
          </w:p>
        </w:tc>
        <w:tc>
          <w:tcPr>
            <w:tcW w:w="4309" w:type="dxa"/>
            <w:shd w:val="clear" w:color="auto" w:fill="D9EAF7"/>
            <w:tcMar>
              <w:top w:w="80" w:type="dxa"/>
              <w:left w:w="90" w:type="dxa"/>
              <w:bottom w:w="80" w:type="dxa"/>
              <w:right w:w="90" w:type="dxa"/>
            </w:tcMar>
            <w:vAlign w:val="center"/>
          </w:tcPr>
          <w:p w14:paraId="7E47ACF4">
            <w:pPr>
              <w:spacing w:before="0" w:after="0" w:line="288" w:lineRule="auto"/>
              <w:jc w:val="center"/>
            </w:pPr>
            <w:r>
              <w:rPr>
                <w:rFonts w:ascii="仿宋_GB2312" w:hAnsi="仿宋_GB2312" w:eastAsia="仿宋_GB2312"/>
                <w:b/>
                <w:sz w:val="21"/>
              </w:rPr>
              <w:t>基本控制</w:t>
            </w:r>
          </w:p>
        </w:tc>
      </w:tr>
      <w:tr w14:paraId="7906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4D537E47">
            <w:pPr>
              <w:spacing w:before="0" w:after="0" w:line="288" w:lineRule="auto"/>
              <w:jc w:val="center"/>
            </w:pPr>
            <w:r>
              <w:rPr>
                <w:rFonts w:ascii="仿宋_GB2312" w:hAnsi="仿宋_GB2312" w:eastAsia="仿宋_GB2312"/>
                <w:b w:val="0"/>
                <w:sz w:val="21"/>
              </w:rPr>
              <w:t>电能</w:t>
            </w:r>
          </w:p>
        </w:tc>
        <w:tc>
          <w:tcPr>
            <w:tcW w:w="2948" w:type="dxa"/>
            <w:tcMar>
              <w:top w:w="80" w:type="dxa"/>
              <w:left w:w="90" w:type="dxa"/>
              <w:bottom w:w="80" w:type="dxa"/>
              <w:right w:w="90" w:type="dxa"/>
            </w:tcMar>
            <w:vAlign w:val="center"/>
          </w:tcPr>
          <w:p w14:paraId="7788C1C4">
            <w:pPr>
              <w:spacing w:before="0" w:after="0" w:line="288" w:lineRule="auto"/>
              <w:jc w:val="center"/>
            </w:pPr>
            <w:r>
              <w:rPr>
                <w:rFonts w:ascii="仿宋_GB2312" w:hAnsi="仿宋_GB2312" w:eastAsia="仿宋_GB2312"/>
                <w:b w:val="0"/>
                <w:sz w:val="21"/>
              </w:rPr>
              <w:t>电机、电加热、控制柜、蓄电池</w:t>
            </w:r>
          </w:p>
        </w:tc>
        <w:tc>
          <w:tcPr>
            <w:tcW w:w="4309" w:type="dxa"/>
            <w:tcMar>
              <w:top w:w="80" w:type="dxa"/>
              <w:left w:w="90" w:type="dxa"/>
              <w:bottom w:w="80" w:type="dxa"/>
              <w:right w:w="90" w:type="dxa"/>
            </w:tcMar>
            <w:vAlign w:val="center"/>
          </w:tcPr>
          <w:p w14:paraId="700FCB03">
            <w:pPr>
              <w:spacing w:before="0" w:after="0" w:line="288" w:lineRule="auto"/>
              <w:jc w:val="left"/>
            </w:pPr>
            <w:r>
              <w:rPr>
                <w:rFonts w:ascii="仿宋_GB2312" w:hAnsi="仿宋_GB2312" w:eastAsia="仿宋_GB2312"/>
                <w:b w:val="0"/>
                <w:sz w:val="21"/>
              </w:rPr>
              <w:t>停电、验电、上锁挂牌，防止反送电</w:t>
            </w:r>
          </w:p>
        </w:tc>
      </w:tr>
      <w:tr w14:paraId="53CA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4071D3B7">
            <w:pPr>
              <w:spacing w:before="0" w:after="0" w:line="288" w:lineRule="auto"/>
              <w:jc w:val="center"/>
            </w:pPr>
            <w:r>
              <w:rPr>
                <w:rFonts w:ascii="仿宋_GB2312" w:hAnsi="仿宋_GB2312" w:eastAsia="仿宋_GB2312"/>
                <w:b w:val="0"/>
                <w:sz w:val="21"/>
              </w:rPr>
              <w:t>压力能</w:t>
            </w:r>
          </w:p>
        </w:tc>
        <w:tc>
          <w:tcPr>
            <w:tcW w:w="2948" w:type="dxa"/>
            <w:tcMar>
              <w:top w:w="80" w:type="dxa"/>
              <w:left w:w="90" w:type="dxa"/>
              <w:bottom w:w="80" w:type="dxa"/>
              <w:right w:w="90" w:type="dxa"/>
            </w:tcMar>
            <w:vAlign w:val="center"/>
          </w:tcPr>
          <w:p w14:paraId="313C3B06">
            <w:pPr>
              <w:spacing w:before="0" w:after="0" w:line="288" w:lineRule="auto"/>
              <w:jc w:val="center"/>
            </w:pPr>
            <w:r>
              <w:rPr>
                <w:rFonts w:ascii="仿宋_GB2312" w:hAnsi="仿宋_GB2312" w:eastAsia="仿宋_GB2312"/>
                <w:b w:val="0"/>
                <w:sz w:val="21"/>
              </w:rPr>
              <w:t>压缩气体、蒸汽、液压、气动</w:t>
            </w:r>
          </w:p>
        </w:tc>
        <w:tc>
          <w:tcPr>
            <w:tcW w:w="4309" w:type="dxa"/>
            <w:tcMar>
              <w:top w:w="80" w:type="dxa"/>
              <w:left w:w="90" w:type="dxa"/>
              <w:bottom w:w="80" w:type="dxa"/>
              <w:right w:w="90" w:type="dxa"/>
            </w:tcMar>
            <w:vAlign w:val="center"/>
          </w:tcPr>
          <w:p w14:paraId="7A1358C2">
            <w:pPr>
              <w:spacing w:before="0" w:after="0" w:line="288" w:lineRule="auto"/>
              <w:jc w:val="left"/>
            </w:pPr>
            <w:r>
              <w:rPr>
                <w:rFonts w:ascii="仿宋_GB2312" w:hAnsi="仿宋_GB2312" w:eastAsia="仿宋_GB2312"/>
                <w:b w:val="0"/>
                <w:sz w:val="21"/>
              </w:rPr>
              <w:t>关闭并隔离，泄压排空，必要时盲板或断开</w:t>
            </w:r>
          </w:p>
        </w:tc>
      </w:tr>
      <w:tr w14:paraId="2635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4A94F49B">
            <w:pPr>
              <w:spacing w:before="0" w:after="0" w:line="288" w:lineRule="auto"/>
              <w:jc w:val="center"/>
            </w:pPr>
            <w:r>
              <w:rPr>
                <w:rFonts w:ascii="仿宋_GB2312" w:hAnsi="仿宋_GB2312" w:eastAsia="仿宋_GB2312"/>
                <w:b w:val="0"/>
                <w:sz w:val="21"/>
              </w:rPr>
              <w:t>机械能</w:t>
            </w:r>
          </w:p>
        </w:tc>
        <w:tc>
          <w:tcPr>
            <w:tcW w:w="2948" w:type="dxa"/>
            <w:tcMar>
              <w:top w:w="80" w:type="dxa"/>
              <w:left w:w="90" w:type="dxa"/>
              <w:bottom w:w="80" w:type="dxa"/>
              <w:right w:w="90" w:type="dxa"/>
            </w:tcMar>
            <w:vAlign w:val="center"/>
          </w:tcPr>
          <w:p w14:paraId="5517B832">
            <w:pPr>
              <w:spacing w:before="0" w:after="0" w:line="288" w:lineRule="auto"/>
              <w:jc w:val="center"/>
            </w:pPr>
            <w:r>
              <w:rPr>
                <w:rFonts w:ascii="仿宋_GB2312" w:hAnsi="仿宋_GB2312" w:eastAsia="仿宋_GB2312"/>
                <w:b w:val="0"/>
                <w:sz w:val="21"/>
              </w:rPr>
              <w:t>旋转、弹簧、重力、惯性</w:t>
            </w:r>
          </w:p>
        </w:tc>
        <w:tc>
          <w:tcPr>
            <w:tcW w:w="4309" w:type="dxa"/>
            <w:tcMar>
              <w:top w:w="80" w:type="dxa"/>
              <w:left w:w="90" w:type="dxa"/>
              <w:bottom w:w="80" w:type="dxa"/>
              <w:right w:w="90" w:type="dxa"/>
            </w:tcMar>
            <w:vAlign w:val="center"/>
          </w:tcPr>
          <w:p w14:paraId="05BAF4E4">
            <w:pPr>
              <w:spacing w:before="0" w:after="0" w:line="288" w:lineRule="auto"/>
              <w:jc w:val="center"/>
            </w:pPr>
            <w:r>
              <w:rPr>
                <w:rFonts w:ascii="仿宋_GB2312" w:hAnsi="仿宋_GB2312" w:eastAsia="仿宋_GB2312"/>
                <w:b w:val="0"/>
                <w:sz w:val="21"/>
              </w:rPr>
              <w:t>停稳、支撑、固定、释放储能</w:t>
            </w:r>
          </w:p>
        </w:tc>
      </w:tr>
      <w:tr w14:paraId="548E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231CCA02">
            <w:pPr>
              <w:spacing w:before="0" w:after="0" w:line="288" w:lineRule="auto"/>
              <w:jc w:val="center"/>
            </w:pPr>
            <w:r>
              <w:rPr>
                <w:rFonts w:ascii="仿宋_GB2312" w:hAnsi="仿宋_GB2312" w:eastAsia="仿宋_GB2312"/>
                <w:b w:val="0"/>
                <w:sz w:val="21"/>
              </w:rPr>
              <w:t>热能/低温</w:t>
            </w:r>
          </w:p>
        </w:tc>
        <w:tc>
          <w:tcPr>
            <w:tcW w:w="2948" w:type="dxa"/>
            <w:tcMar>
              <w:top w:w="80" w:type="dxa"/>
              <w:left w:w="90" w:type="dxa"/>
              <w:bottom w:w="80" w:type="dxa"/>
              <w:right w:w="90" w:type="dxa"/>
            </w:tcMar>
            <w:vAlign w:val="center"/>
          </w:tcPr>
          <w:p w14:paraId="772D2F64">
            <w:pPr>
              <w:spacing w:before="0" w:after="0" w:line="288" w:lineRule="auto"/>
              <w:jc w:val="center"/>
            </w:pPr>
            <w:r>
              <w:rPr>
                <w:rFonts w:ascii="仿宋_GB2312" w:hAnsi="仿宋_GB2312" w:eastAsia="仿宋_GB2312"/>
                <w:b w:val="0"/>
                <w:sz w:val="21"/>
              </w:rPr>
              <w:t>高温物料、蒸汽、冷媒</w:t>
            </w:r>
          </w:p>
        </w:tc>
        <w:tc>
          <w:tcPr>
            <w:tcW w:w="4309" w:type="dxa"/>
            <w:tcMar>
              <w:top w:w="80" w:type="dxa"/>
              <w:left w:w="90" w:type="dxa"/>
              <w:bottom w:w="80" w:type="dxa"/>
              <w:right w:w="90" w:type="dxa"/>
            </w:tcMar>
            <w:vAlign w:val="center"/>
          </w:tcPr>
          <w:p w14:paraId="57F290CD">
            <w:pPr>
              <w:spacing w:before="0" w:after="0" w:line="288" w:lineRule="auto"/>
              <w:jc w:val="left"/>
            </w:pPr>
            <w:r>
              <w:rPr>
                <w:rFonts w:ascii="仿宋_GB2312" w:hAnsi="仿宋_GB2312" w:eastAsia="仿宋_GB2312"/>
                <w:b w:val="0"/>
                <w:sz w:val="21"/>
              </w:rPr>
              <w:t>冷却或升温至安全范围，隔离并检测</w:t>
            </w:r>
          </w:p>
        </w:tc>
      </w:tr>
      <w:tr w14:paraId="2BDC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631DED57">
            <w:pPr>
              <w:spacing w:before="0" w:after="0" w:line="288" w:lineRule="auto"/>
              <w:jc w:val="center"/>
            </w:pPr>
            <w:r>
              <w:rPr>
                <w:rFonts w:ascii="仿宋_GB2312" w:hAnsi="仿宋_GB2312" w:eastAsia="仿宋_GB2312"/>
                <w:b w:val="0"/>
                <w:sz w:val="21"/>
              </w:rPr>
              <w:t>化学能</w:t>
            </w:r>
          </w:p>
        </w:tc>
        <w:tc>
          <w:tcPr>
            <w:tcW w:w="2948" w:type="dxa"/>
            <w:tcMar>
              <w:top w:w="80" w:type="dxa"/>
              <w:left w:w="90" w:type="dxa"/>
              <w:bottom w:w="80" w:type="dxa"/>
              <w:right w:w="90" w:type="dxa"/>
            </w:tcMar>
            <w:vAlign w:val="center"/>
          </w:tcPr>
          <w:p w14:paraId="6EAB8748">
            <w:pPr>
              <w:spacing w:before="0" w:after="0" w:line="288" w:lineRule="auto"/>
              <w:jc w:val="center"/>
            </w:pPr>
            <w:r>
              <w:rPr>
                <w:rFonts w:ascii="仿宋_GB2312" w:hAnsi="仿宋_GB2312" w:eastAsia="仿宋_GB2312"/>
                <w:b w:val="0"/>
                <w:sz w:val="21"/>
              </w:rPr>
              <w:t>反应物、残留物、不相容物</w:t>
            </w:r>
          </w:p>
        </w:tc>
        <w:tc>
          <w:tcPr>
            <w:tcW w:w="4309" w:type="dxa"/>
            <w:tcMar>
              <w:top w:w="80" w:type="dxa"/>
              <w:left w:w="90" w:type="dxa"/>
              <w:bottom w:w="80" w:type="dxa"/>
              <w:right w:w="90" w:type="dxa"/>
            </w:tcMar>
            <w:vAlign w:val="center"/>
          </w:tcPr>
          <w:p w14:paraId="1D24AAE6">
            <w:pPr>
              <w:spacing w:before="0" w:after="0" w:line="288" w:lineRule="auto"/>
              <w:jc w:val="left"/>
            </w:pPr>
            <w:r>
              <w:rPr>
                <w:rFonts w:ascii="仿宋_GB2312" w:hAnsi="仿宋_GB2312" w:eastAsia="仿宋_GB2312"/>
                <w:b w:val="0"/>
                <w:sz w:val="21"/>
              </w:rPr>
              <w:t>排净、清洗、置换、检测和禁忌控制</w:t>
            </w:r>
          </w:p>
        </w:tc>
      </w:tr>
    </w:tbl>
    <w:p w14:paraId="727AD9C6">
      <w:pPr>
        <w:spacing w:after="0"/>
      </w:pPr>
    </w:p>
    <w:p w14:paraId="11BE2ED6">
      <w:pPr>
        <w:pStyle w:val="4"/>
        <w:keepNext/>
        <w:spacing w:before="160" w:after="0" w:line="360" w:lineRule="auto"/>
      </w:pPr>
      <w:r>
        <w:rPr>
          <w:rFonts w:ascii="仿宋_GB2312" w:hAnsi="仿宋_GB2312" w:eastAsia="仿宋_GB2312"/>
          <w:b/>
          <w:sz w:val="28"/>
        </w:rPr>
        <w:t>四、检维修过程</w:t>
      </w:r>
    </w:p>
    <w:p w14:paraId="17536D85">
      <w:pPr>
        <w:spacing w:before="0" w:after="0" w:line="360" w:lineRule="auto"/>
        <w:ind w:left="0" w:firstLine="0"/>
        <w:jc w:val="both"/>
      </w:pPr>
      <w:r>
        <w:rPr>
          <w:rFonts w:ascii="仿宋_GB2312" w:hAnsi="仿宋_GB2312" w:eastAsia="仿宋_GB2312"/>
          <w:sz w:val="24"/>
        </w:rPr>
        <w:t>1. 检维修人员不得擅自改变隔离状态；确需调整时必须由授权人员重新确认。</w:t>
      </w:r>
    </w:p>
    <w:p w14:paraId="7699F2A5">
      <w:pPr>
        <w:spacing w:before="0" w:after="0" w:line="360" w:lineRule="auto"/>
        <w:ind w:left="0" w:firstLine="0"/>
        <w:jc w:val="both"/>
      </w:pPr>
      <w:r>
        <w:rPr>
          <w:rFonts w:ascii="仿宋_GB2312" w:hAnsi="仿宋_GB2312" w:eastAsia="仿宋_GB2312"/>
          <w:sz w:val="24"/>
        </w:rPr>
        <w:t>2. 拆卸前先松动远离身体的一侧并确认无压，人员避开法兰和阀门可能喷射方向。</w:t>
      </w:r>
    </w:p>
    <w:p w14:paraId="25434206">
      <w:pPr>
        <w:spacing w:before="0" w:after="0" w:line="360" w:lineRule="auto"/>
        <w:ind w:left="0" w:firstLine="0"/>
        <w:jc w:val="both"/>
      </w:pPr>
      <w:r>
        <w:rPr>
          <w:rFonts w:ascii="仿宋_GB2312" w:hAnsi="仿宋_GB2312" w:eastAsia="仿宋_GB2312"/>
          <w:sz w:val="24"/>
        </w:rPr>
        <w:t>3. 试车前清点人员和工具，恢复护罩、联锁和安全附件，撤除临时设施并通知相关岗位。</w:t>
      </w:r>
    </w:p>
    <w:p w14:paraId="46FF5062">
      <w:pPr>
        <w:spacing w:before="0" w:after="0" w:line="360" w:lineRule="auto"/>
        <w:ind w:left="0" w:firstLine="0"/>
        <w:jc w:val="both"/>
      </w:pPr>
      <w:r>
        <w:rPr>
          <w:rFonts w:ascii="仿宋_GB2312" w:hAnsi="仿宋_GB2312" w:eastAsia="仿宋_GB2312"/>
          <w:sz w:val="24"/>
        </w:rPr>
        <w:t>4. 检维修结束必须办理接回和验收，未验收设备不得投入运行。</w:t>
      </w:r>
    </w:p>
    <w:p w14:paraId="1AA300F6">
      <w:pPr>
        <w:pStyle w:val="4"/>
        <w:keepNext/>
        <w:spacing w:before="160" w:after="0" w:line="360" w:lineRule="auto"/>
      </w:pPr>
      <w:r>
        <w:rPr>
          <w:rFonts w:ascii="仿宋_GB2312" w:hAnsi="仿宋_GB2312" w:eastAsia="仿宋_GB2312"/>
          <w:b/>
          <w:sz w:val="28"/>
        </w:rPr>
        <w:t>五、变更管理</w:t>
      </w:r>
    </w:p>
    <w:p w14:paraId="0FDC91C9">
      <w:pPr>
        <w:spacing w:before="0" w:after="0" w:line="360" w:lineRule="auto"/>
        <w:ind w:firstLine="480"/>
        <w:jc w:val="both"/>
      </w:pPr>
      <w:r>
        <w:rPr>
          <w:rFonts w:ascii="仿宋_GB2312" w:hAnsi="仿宋_GB2312" w:eastAsia="仿宋_GB2312"/>
          <w:b w:val="0"/>
          <w:sz w:val="24"/>
        </w:rPr>
        <w:t>设备材质、规格、阀门类型、仪表量程、报警值、联锁逻辑、管线走向、工艺参数、原辅料、操作方法、组织人员和临时措施发生变化时，应履行变更申请、风险评估、审批、实施、验收、培训和资料更新程序。禁止以“临时”“试一下”为由绕过变更管理。</w:t>
      </w:r>
    </w:p>
    <w:p w14:paraId="10137C0E">
      <w:pPr>
        <w:pStyle w:val="3"/>
        <w:keepNext/>
        <w:pageBreakBefore/>
        <w:spacing w:before="0" w:after="200" w:line="360" w:lineRule="auto"/>
        <w:jc w:val="center"/>
      </w:pPr>
      <w:r>
        <w:rPr>
          <w:rFonts w:ascii="方正小标宋简体" w:hAnsi="方正小标宋简体" w:eastAsia="方正小标宋简体"/>
          <w:b/>
          <w:sz w:val="36"/>
        </w:rPr>
        <w:t>第十一章  重大危险源、关键装置和重点部位</w:t>
      </w:r>
    </w:p>
    <w:p w14:paraId="2B2E2423">
      <w:pPr>
        <w:pStyle w:val="4"/>
        <w:keepNext/>
        <w:spacing w:before="160" w:after="0" w:line="360" w:lineRule="auto"/>
      </w:pPr>
      <w:r>
        <w:rPr>
          <w:rFonts w:ascii="仿宋_GB2312" w:hAnsi="仿宋_GB2312" w:eastAsia="仿宋_GB2312"/>
          <w:b/>
          <w:sz w:val="28"/>
        </w:rPr>
        <w:t>一、员工应掌握的基本信息</w:t>
      </w:r>
    </w:p>
    <w:p w14:paraId="78346DD5">
      <w:pPr>
        <w:spacing w:before="0" w:after="0" w:line="360" w:lineRule="auto"/>
        <w:ind w:left="0" w:firstLine="0"/>
        <w:jc w:val="both"/>
      </w:pPr>
      <w:r>
        <w:rPr>
          <w:rFonts w:ascii="仿宋_GB2312" w:hAnsi="仿宋_GB2312" w:eastAsia="仿宋_GB2312"/>
          <w:sz w:val="24"/>
        </w:rPr>
        <w:t>1. 本企业重大危险源和关键装置的名称、位置、主要介质、主要事故后果和警戒范围。</w:t>
      </w:r>
    </w:p>
    <w:p w14:paraId="3CA96350">
      <w:pPr>
        <w:spacing w:before="0" w:after="0" w:line="360" w:lineRule="auto"/>
        <w:ind w:left="0" w:firstLine="0"/>
        <w:jc w:val="both"/>
      </w:pPr>
      <w:r>
        <w:rPr>
          <w:rFonts w:ascii="仿宋_GB2312" w:hAnsi="仿宋_GB2312" w:eastAsia="仿宋_GB2312"/>
          <w:sz w:val="24"/>
        </w:rPr>
        <w:t>2. 高高液位、超压、超温、可燃有毒气体报警和紧急切断等关键保护功能。</w:t>
      </w:r>
    </w:p>
    <w:p w14:paraId="0BA850D5">
      <w:pPr>
        <w:spacing w:before="0" w:after="0" w:line="360" w:lineRule="auto"/>
        <w:ind w:left="0" w:firstLine="0"/>
        <w:jc w:val="both"/>
      </w:pPr>
      <w:r>
        <w:rPr>
          <w:rFonts w:ascii="仿宋_GB2312" w:hAnsi="仿宋_GB2312" w:eastAsia="仿宋_GB2312"/>
          <w:sz w:val="24"/>
        </w:rPr>
        <w:t>3. 防火堤、围堰、事故池、消防水、泡沫系统、喷淋冷却和紧急疏散设施的位置及用途。</w:t>
      </w:r>
    </w:p>
    <w:p w14:paraId="17E67696">
      <w:pPr>
        <w:spacing w:before="0" w:after="0" w:line="360" w:lineRule="auto"/>
        <w:ind w:left="0" w:firstLine="0"/>
        <w:jc w:val="both"/>
      </w:pPr>
      <w:r>
        <w:rPr>
          <w:rFonts w:ascii="仿宋_GB2312" w:hAnsi="仿宋_GB2312" w:eastAsia="仿宋_GB2312"/>
          <w:sz w:val="24"/>
        </w:rPr>
        <w:t>4. 发生泄漏、火灾、超温超压或外部威胁时的报告、停车、隔离和撤离路线。</w:t>
      </w:r>
    </w:p>
    <w:p w14:paraId="19B30B9F">
      <w:pPr>
        <w:pStyle w:val="4"/>
        <w:keepNext/>
        <w:spacing w:before="160" w:after="0" w:line="360" w:lineRule="auto"/>
      </w:pPr>
      <w:r>
        <w:rPr>
          <w:rFonts w:ascii="仿宋_GB2312" w:hAnsi="仿宋_GB2312" w:eastAsia="仿宋_GB2312"/>
          <w:b/>
          <w:sz w:val="28"/>
        </w:rPr>
        <w:t>二、罐区和装卸区重点要求</w:t>
      </w:r>
    </w:p>
    <w:p w14:paraId="2F677596">
      <w:pPr>
        <w:spacing w:before="0" w:after="0" w:line="360" w:lineRule="auto"/>
        <w:ind w:left="0" w:firstLine="0"/>
        <w:jc w:val="both"/>
      </w:pPr>
      <w:r>
        <w:rPr>
          <w:rFonts w:ascii="仿宋_GB2312" w:hAnsi="仿宋_GB2312" w:eastAsia="仿宋_GB2312"/>
          <w:sz w:val="24"/>
        </w:rPr>
        <w:t>1. 控制储量和液位，严禁冒顶、超压和不同物料误混。</w:t>
      </w:r>
    </w:p>
    <w:p w14:paraId="32D03B83">
      <w:pPr>
        <w:spacing w:before="0" w:after="0" w:line="360" w:lineRule="auto"/>
        <w:ind w:left="0" w:firstLine="0"/>
        <w:jc w:val="both"/>
      </w:pPr>
      <w:r>
        <w:rPr>
          <w:rFonts w:ascii="仿宋_GB2312" w:hAnsi="仿宋_GB2312" w:eastAsia="仿宋_GB2312"/>
          <w:sz w:val="24"/>
        </w:rPr>
        <w:t>2. 防火堤、围堰和排水切换设施保持完好，雨水排放前按规定确认。</w:t>
      </w:r>
    </w:p>
    <w:p w14:paraId="48B2E9E4">
      <w:pPr>
        <w:spacing w:before="0" w:after="0" w:line="360" w:lineRule="auto"/>
        <w:ind w:left="0" w:firstLine="0"/>
        <w:jc w:val="both"/>
      </w:pPr>
      <w:r>
        <w:rPr>
          <w:rFonts w:ascii="仿宋_GB2312" w:hAnsi="仿宋_GB2312" w:eastAsia="仿宋_GB2312"/>
          <w:sz w:val="24"/>
        </w:rPr>
        <w:t>3. 装卸车辆定位、熄火、制动、接地和人员确认后方可连接；装卸过程不得离人。</w:t>
      </w:r>
    </w:p>
    <w:p w14:paraId="79F279FE">
      <w:pPr>
        <w:spacing w:before="0" w:after="0" w:line="360" w:lineRule="auto"/>
        <w:ind w:left="0" w:firstLine="0"/>
        <w:jc w:val="both"/>
      </w:pPr>
      <w:r>
        <w:rPr>
          <w:rFonts w:ascii="仿宋_GB2312" w:hAnsi="仿宋_GB2312" w:eastAsia="仿宋_GB2312"/>
          <w:sz w:val="24"/>
        </w:rPr>
        <w:t>4. 雷雨、高温、设备故障、报警或泄漏等条件不满足时停止装卸。</w:t>
      </w:r>
    </w:p>
    <w:p w14:paraId="7BE1AF2A">
      <w:pPr>
        <w:pStyle w:val="4"/>
        <w:keepNext/>
        <w:spacing w:before="160" w:after="0" w:line="360" w:lineRule="auto"/>
      </w:pPr>
      <w:r>
        <w:rPr>
          <w:rFonts w:ascii="仿宋_GB2312" w:hAnsi="仿宋_GB2312" w:eastAsia="仿宋_GB2312"/>
          <w:b/>
          <w:sz w:val="28"/>
        </w:rPr>
        <w:t>三、关键装置巡检</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3A47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68" w:type="dxa"/>
            <w:shd w:val="clear" w:color="auto" w:fill="D9EAF7"/>
            <w:tcMar>
              <w:top w:w="80" w:type="dxa"/>
              <w:left w:w="90" w:type="dxa"/>
              <w:bottom w:w="80" w:type="dxa"/>
              <w:right w:w="90" w:type="dxa"/>
            </w:tcMar>
            <w:vAlign w:val="center"/>
          </w:tcPr>
          <w:p w14:paraId="0FDF3118">
            <w:pPr>
              <w:spacing w:before="0" w:after="0" w:line="288" w:lineRule="auto"/>
              <w:jc w:val="center"/>
            </w:pPr>
            <w:r>
              <w:rPr>
                <w:rFonts w:ascii="仿宋_GB2312" w:hAnsi="仿宋_GB2312" w:eastAsia="仿宋_GB2312"/>
                <w:b/>
                <w:sz w:val="21"/>
              </w:rPr>
              <w:t>巡检对象</w:t>
            </w:r>
          </w:p>
        </w:tc>
        <w:tc>
          <w:tcPr>
            <w:tcW w:w="6803" w:type="dxa"/>
            <w:shd w:val="clear" w:color="auto" w:fill="D9EAF7"/>
            <w:tcMar>
              <w:top w:w="80" w:type="dxa"/>
              <w:left w:w="90" w:type="dxa"/>
              <w:bottom w:w="80" w:type="dxa"/>
              <w:right w:w="90" w:type="dxa"/>
            </w:tcMar>
            <w:vAlign w:val="center"/>
          </w:tcPr>
          <w:p w14:paraId="6102F961">
            <w:pPr>
              <w:spacing w:before="0" w:after="0" w:line="288" w:lineRule="auto"/>
              <w:jc w:val="center"/>
            </w:pPr>
            <w:r>
              <w:rPr>
                <w:rFonts w:ascii="仿宋_GB2312" w:hAnsi="仿宋_GB2312" w:eastAsia="仿宋_GB2312"/>
                <w:b/>
                <w:sz w:val="21"/>
              </w:rPr>
              <w:t>重点观察</w:t>
            </w:r>
          </w:p>
        </w:tc>
      </w:tr>
      <w:tr w14:paraId="1B77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067404DA">
            <w:pPr>
              <w:spacing w:before="0" w:after="0" w:line="288" w:lineRule="auto"/>
              <w:jc w:val="center"/>
            </w:pPr>
            <w:r>
              <w:rPr>
                <w:rFonts w:ascii="仿宋_GB2312" w:hAnsi="仿宋_GB2312" w:eastAsia="仿宋_GB2312"/>
                <w:b w:val="0"/>
                <w:sz w:val="21"/>
              </w:rPr>
              <w:t>储罐和反应器</w:t>
            </w:r>
          </w:p>
        </w:tc>
        <w:tc>
          <w:tcPr>
            <w:tcW w:w="6803" w:type="dxa"/>
            <w:tcMar>
              <w:top w:w="80" w:type="dxa"/>
              <w:left w:w="90" w:type="dxa"/>
              <w:bottom w:w="80" w:type="dxa"/>
              <w:right w:w="90" w:type="dxa"/>
            </w:tcMar>
            <w:vAlign w:val="center"/>
          </w:tcPr>
          <w:p w14:paraId="585E97BF">
            <w:pPr>
              <w:spacing w:before="0" w:after="0" w:line="288" w:lineRule="auto"/>
              <w:jc w:val="left"/>
            </w:pPr>
            <w:r>
              <w:rPr>
                <w:rFonts w:ascii="仿宋_GB2312" w:hAnsi="仿宋_GB2312" w:eastAsia="仿宋_GB2312"/>
                <w:b w:val="0"/>
                <w:sz w:val="21"/>
              </w:rPr>
              <w:t>液位、温度、压力、呼吸或泄压状态、保温、防腐和渗漏</w:t>
            </w:r>
          </w:p>
        </w:tc>
      </w:tr>
      <w:tr w14:paraId="799C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7298ACD8">
            <w:pPr>
              <w:spacing w:before="0" w:after="0" w:line="288" w:lineRule="auto"/>
              <w:jc w:val="center"/>
            </w:pPr>
            <w:r>
              <w:rPr>
                <w:rFonts w:ascii="仿宋_GB2312" w:hAnsi="仿宋_GB2312" w:eastAsia="仿宋_GB2312"/>
                <w:b w:val="0"/>
                <w:sz w:val="21"/>
              </w:rPr>
              <w:t>泵和压缩机</w:t>
            </w:r>
          </w:p>
        </w:tc>
        <w:tc>
          <w:tcPr>
            <w:tcW w:w="6803" w:type="dxa"/>
            <w:tcMar>
              <w:top w:w="80" w:type="dxa"/>
              <w:left w:w="90" w:type="dxa"/>
              <w:bottom w:w="80" w:type="dxa"/>
              <w:right w:w="90" w:type="dxa"/>
            </w:tcMar>
            <w:vAlign w:val="center"/>
          </w:tcPr>
          <w:p w14:paraId="4312A2A4">
            <w:pPr>
              <w:spacing w:before="0" w:after="0" w:line="288" w:lineRule="auto"/>
              <w:jc w:val="left"/>
            </w:pPr>
            <w:r>
              <w:rPr>
                <w:rFonts w:ascii="仿宋_GB2312" w:hAnsi="仿宋_GB2312" w:eastAsia="仿宋_GB2312"/>
                <w:b w:val="0"/>
                <w:sz w:val="21"/>
              </w:rPr>
              <w:t>振动、温度、声音、电流、润滑、冷却、密封泄漏</w:t>
            </w:r>
          </w:p>
        </w:tc>
      </w:tr>
      <w:tr w14:paraId="115E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63C68D0D">
            <w:pPr>
              <w:spacing w:before="0" w:after="0" w:line="288" w:lineRule="auto"/>
              <w:jc w:val="center"/>
            </w:pPr>
            <w:r>
              <w:rPr>
                <w:rFonts w:ascii="仿宋_GB2312" w:hAnsi="仿宋_GB2312" w:eastAsia="仿宋_GB2312"/>
                <w:b w:val="0"/>
                <w:sz w:val="21"/>
              </w:rPr>
              <w:t>管线和阀门</w:t>
            </w:r>
          </w:p>
        </w:tc>
        <w:tc>
          <w:tcPr>
            <w:tcW w:w="6803" w:type="dxa"/>
            <w:tcMar>
              <w:top w:w="80" w:type="dxa"/>
              <w:left w:w="90" w:type="dxa"/>
              <w:bottom w:w="80" w:type="dxa"/>
              <w:right w:w="90" w:type="dxa"/>
            </w:tcMar>
            <w:vAlign w:val="center"/>
          </w:tcPr>
          <w:p w14:paraId="7E18518F">
            <w:pPr>
              <w:spacing w:before="0" w:after="0" w:line="288" w:lineRule="auto"/>
              <w:jc w:val="left"/>
            </w:pPr>
            <w:r>
              <w:rPr>
                <w:rFonts w:ascii="仿宋_GB2312" w:hAnsi="仿宋_GB2312" w:eastAsia="仿宋_GB2312"/>
                <w:b w:val="0"/>
                <w:sz w:val="21"/>
              </w:rPr>
              <w:t>腐蚀、支撑、保温、法兰滴漏、阀位和盲板状态</w:t>
            </w:r>
          </w:p>
        </w:tc>
      </w:tr>
      <w:tr w14:paraId="11FB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2289775B">
            <w:pPr>
              <w:spacing w:before="0" w:after="0" w:line="288" w:lineRule="auto"/>
              <w:jc w:val="center"/>
            </w:pPr>
            <w:r>
              <w:rPr>
                <w:rFonts w:ascii="仿宋_GB2312" w:hAnsi="仿宋_GB2312" w:eastAsia="仿宋_GB2312"/>
                <w:b w:val="0"/>
                <w:sz w:val="21"/>
              </w:rPr>
              <w:t>仪表和报警</w:t>
            </w:r>
          </w:p>
        </w:tc>
        <w:tc>
          <w:tcPr>
            <w:tcW w:w="6803" w:type="dxa"/>
            <w:tcMar>
              <w:top w:w="80" w:type="dxa"/>
              <w:left w:w="90" w:type="dxa"/>
              <w:bottom w:w="80" w:type="dxa"/>
              <w:right w:w="90" w:type="dxa"/>
            </w:tcMar>
            <w:vAlign w:val="center"/>
          </w:tcPr>
          <w:p w14:paraId="59B80F87">
            <w:pPr>
              <w:spacing w:before="0" w:after="0" w:line="288" w:lineRule="auto"/>
              <w:jc w:val="left"/>
            </w:pPr>
            <w:r>
              <w:rPr>
                <w:rFonts w:ascii="仿宋_GB2312" w:hAnsi="仿宋_GB2312" w:eastAsia="仿宋_GB2312"/>
                <w:b w:val="0"/>
                <w:sz w:val="21"/>
              </w:rPr>
              <w:t>显示、趋势、校验状态、故障提示、报警和联锁投入</w:t>
            </w:r>
          </w:p>
        </w:tc>
      </w:tr>
      <w:tr w14:paraId="473C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3C8B1CC1">
            <w:pPr>
              <w:spacing w:before="0" w:after="0" w:line="288" w:lineRule="auto"/>
              <w:jc w:val="center"/>
            </w:pPr>
            <w:r>
              <w:rPr>
                <w:rFonts w:ascii="仿宋_GB2312" w:hAnsi="仿宋_GB2312" w:eastAsia="仿宋_GB2312"/>
                <w:b w:val="0"/>
                <w:sz w:val="21"/>
              </w:rPr>
              <w:t>消防和气体检测</w:t>
            </w:r>
          </w:p>
        </w:tc>
        <w:tc>
          <w:tcPr>
            <w:tcW w:w="6803" w:type="dxa"/>
            <w:tcMar>
              <w:top w:w="80" w:type="dxa"/>
              <w:left w:w="90" w:type="dxa"/>
              <w:bottom w:w="80" w:type="dxa"/>
              <w:right w:w="90" w:type="dxa"/>
            </w:tcMar>
            <w:vAlign w:val="center"/>
          </w:tcPr>
          <w:p w14:paraId="378D67DD">
            <w:pPr>
              <w:spacing w:before="0" w:after="0" w:line="288" w:lineRule="auto"/>
              <w:jc w:val="left"/>
            </w:pPr>
            <w:r>
              <w:rPr>
                <w:rFonts w:ascii="仿宋_GB2312" w:hAnsi="仿宋_GB2312" w:eastAsia="仿宋_GB2312"/>
                <w:b w:val="0"/>
                <w:sz w:val="21"/>
              </w:rPr>
              <w:t>通道、压力、阀位、完好标识、探测器遮挡和故障</w:t>
            </w:r>
          </w:p>
        </w:tc>
      </w:tr>
    </w:tbl>
    <w:p w14:paraId="467353B1">
      <w:pPr>
        <w:spacing w:after="0"/>
      </w:pPr>
    </w:p>
    <w:p w14:paraId="55D40B95">
      <w:pPr>
        <w:pStyle w:val="4"/>
        <w:keepNext/>
        <w:spacing w:before="160" w:after="0" w:line="360" w:lineRule="auto"/>
      </w:pPr>
      <w:r>
        <w:rPr>
          <w:rFonts w:ascii="仿宋_GB2312" w:hAnsi="仿宋_GB2312" w:eastAsia="仿宋_GB2312"/>
          <w:b/>
          <w:sz w:val="28"/>
        </w:rPr>
        <w:t>四、外部事件影响</w:t>
      </w:r>
    </w:p>
    <w:p w14:paraId="1FCEBA07">
      <w:pPr>
        <w:spacing w:before="0" w:after="0" w:line="360" w:lineRule="auto"/>
        <w:ind w:firstLine="480"/>
        <w:jc w:val="both"/>
      </w:pPr>
      <w:r>
        <w:rPr>
          <w:rFonts w:ascii="仿宋_GB2312" w:hAnsi="仿宋_GB2312" w:eastAsia="仿宋_GB2312"/>
          <w:b w:val="0"/>
          <w:sz w:val="24"/>
        </w:rPr>
        <w:t>暴雨、洪水、雷电、高温、严寒、地震、周边火灾爆炸、公共电网故障和公用工程中断可能影响重大危险源安全。接到预警后，应按专项方案降低库存或负荷、加密巡检、检查防汛和备用电源、停止不必要作业，并做好人员撤离准备。</w:t>
      </w:r>
    </w:p>
    <w:p w14:paraId="2D101D88">
      <w:pPr>
        <w:pStyle w:val="3"/>
        <w:keepNext/>
        <w:pageBreakBefore/>
        <w:spacing w:before="0" w:after="200" w:line="360" w:lineRule="auto"/>
        <w:jc w:val="center"/>
      </w:pPr>
      <w:r>
        <w:rPr>
          <w:rFonts w:ascii="方正小标宋简体" w:hAnsi="方正小标宋简体" w:eastAsia="方正小标宋简体"/>
          <w:b/>
          <w:sz w:val="36"/>
        </w:rPr>
        <w:t>第十二章  消防安全与初起事故处置</w:t>
      </w:r>
    </w:p>
    <w:p w14:paraId="05CF50E3">
      <w:pPr>
        <w:pStyle w:val="4"/>
        <w:keepNext/>
        <w:spacing w:before="160" w:after="0" w:line="360" w:lineRule="auto"/>
      </w:pPr>
      <w:r>
        <w:rPr>
          <w:rFonts w:ascii="仿宋_GB2312" w:hAnsi="仿宋_GB2312" w:eastAsia="仿宋_GB2312"/>
          <w:b/>
          <w:sz w:val="28"/>
        </w:rPr>
        <w:t>一、消防基本要求</w:t>
      </w:r>
    </w:p>
    <w:p w14:paraId="448C0769">
      <w:pPr>
        <w:spacing w:before="0" w:after="0" w:line="360" w:lineRule="auto"/>
        <w:ind w:left="0" w:firstLine="0"/>
        <w:jc w:val="both"/>
      </w:pPr>
      <w:r>
        <w:rPr>
          <w:rFonts w:ascii="仿宋_GB2312" w:hAnsi="仿宋_GB2312" w:eastAsia="仿宋_GB2312"/>
          <w:sz w:val="24"/>
        </w:rPr>
        <w:t>1. 保持消防车道、疏散通道、安全出口和消防设施周边畅通，禁止遮挡、挪用或圈占。</w:t>
      </w:r>
    </w:p>
    <w:p w14:paraId="73EFACD9">
      <w:pPr>
        <w:spacing w:before="0" w:after="0" w:line="360" w:lineRule="auto"/>
        <w:ind w:left="0" w:firstLine="0"/>
        <w:jc w:val="both"/>
      </w:pPr>
      <w:r>
        <w:rPr>
          <w:rFonts w:ascii="仿宋_GB2312" w:hAnsi="仿宋_GB2312" w:eastAsia="仿宋_GB2312"/>
          <w:sz w:val="24"/>
        </w:rPr>
        <w:t>2. 了解本岗位适用灭火介质，遇水反应物质、电气设备和特殊化学品不得盲目用水。</w:t>
      </w:r>
    </w:p>
    <w:p w14:paraId="62FD649A">
      <w:pPr>
        <w:spacing w:before="0" w:after="0" w:line="360" w:lineRule="auto"/>
        <w:ind w:left="0" w:firstLine="0"/>
        <w:jc w:val="both"/>
      </w:pPr>
      <w:r>
        <w:rPr>
          <w:rFonts w:ascii="仿宋_GB2312" w:hAnsi="仿宋_GB2312" w:eastAsia="仿宋_GB2312"/>
          <w:sz w:val="24"/>
        </w:rPr>
        <w:t>3. 灭火器、消火栓、泡沫系统、喷淋和报警设施异常时立即报告，不得擅自拆用。</w:t>
      </w:r>
    </w:p>
    <w:p w14:paraId="1FE28621">
      <w:pPr>
        <w:spacing w:before="0" w:after="0" w:line="360" w:lineRule="auto"/>
        <w:ind w:left="0" w:firstLine="0"/>
        <w:jc w:val="both"/>
      </w:pPr>
      <w:r>
        <w:rPr>
          <w:rFonts w:ascii="仿宋_GB2312" w:hAnsi="仿宋_GB2312" w:eastAsia="仿宋_GB2312"/>
          <w:sz w:val="24"/>
        </w:rPr>
        <w:t>4. 生产区内发现烟雾、火花、焦糊味或异常升温，应立即查明并按火警处理。</w:t>
      </w:r>
    </w:p>
    <w:p w14:paraId="1B861136">
      <w:pPr>
        <w:pStyle w:val="4"/>
        <w:keepNext/>
        <w:spacing w:before="160" w:after="0" w:line="360" w:lineRule="auto"/>
      </w:pPr>
      <w:r>
        <w:rPr>
          <w:rFonts w:ascii="仿宋_GB2312" w:hAnsi="仿宋_GB2312" w:eastAsia="仿宋_GB2312"/>
          <w:b/>
          <w:sz w:val="28"/>
        </w:rPr>
        <w:t>二、发现火灾时</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14:paraId="0B84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shd w:val="clear" w:color="auto" w:fill="FFF2CC"/>
            <w:vAlign w:val="center"/>
          </w:tcPr>
          <w:p w14:paraId="241D8467">
            <w:pPr>
              <w:spacing w:before="0" w:after="0" w:line="288" w:lineRule="auto"/>
              <w:jc w:val="center"/>
            </w:pPr>
            <w:r>
              <w:rPr>
                <w:rFonts w:ascii="仿宋_GB2312" w:hAnsi="仿宋_GB2312" w:eastAsia="仿宋_GB2312"/>
                <w:b/>
                <w:sz w:val="24"/>
              </w:rPr>
              <w:t>报警—停工—撤离—协助</w:t>
            </w:r>
          </w:p>
        </w:tc>
      </w:tr>
      <w:tr w14:paraId="42A2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12549EB6">
            <w:pPr>
              <w:spacing w:before="0" w:after="0" w:line="288" w:lineRule="auto"/>
              <w:jc w:val="left"/>
            </w:pPr>
            <w:r>
              <w:rPr>
                <w:rFonts w:ascii="仿宋_GB2312" w:hAnsi="仿宋_GB2312" w:eastAsia="仿宋_GB2312"/>
                <w:b w:val="0"/>
                <w:sz w:val="22"/>
              </w:rPr>
              <w:t>1. 立即按下火灾报警按钮或拨打企业应急电话，说明地点、物料、火势和人员情况。</w:t>
            </w:r>
          </w:p>
        </w:tc>
      </w:tr>
      <w:tr w14:paraId="3F57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03DE91DD">
            <w:pPr>
              <w:spacing w:before="0" w:after="0" w:line="288" w:lineRule="auto"/>
              <w:jc w:val="left"/>
            </w:pPr>
            <w:r>
              <w:rPr>
                <w:rFonts w:ascii="仿宋_GB2312" w:hAnsi="仿宋_GB2312" w:eastAsia="仿宋_GB2312"/>
                <w:b w:val="0"/>
                <w:sz w:val="22"/>
              </w:rPr>
              <w:t>2. 在确保自身安全且经过培训的前提下，执行紧急停车、切断物料和能源。</w:t>
            </w:r>
          </w:p>
        </w:tc>
      </w:tr>
      <w:tr w14:paraId="35AFE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598D8B12">
            <w:pPr>
              <w:spacing w:before="0" w:after="0" w:line="288" w:lineRule="auto"/>
              <w:jc w:val="left"/>
            </w:pPr>
            <w:r>
              <w:rPr>
                <w:rFonts w:ascii="仿宋_GB2312" w:hAnsi="仿宋_GB2312" w:eastAsia="仿宋_GB2312"/>
                <w:b w:val="0"/>
                <w:sz w:val="22"/>
              </w:rPr>
              <w:t>3. 初起火灾可使用适用灭火器材处置；火势扩大、介质不明或存在爆炸风险时立即撤离。</w:t>
            </w:r>
          </w:p>
        </w:tc>
      </w:tr>
      <w:tr w14:paraId="0A16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2C4A7ECE">
            <w:pPr>
              <w:spacing w:before="0" w:after="0" w:line="288" w:lineRule="auto"/>
              <w:jc w:val="left"/>
            </w:pPr>
            <w:r>
              <w:rPr>
                <w:rFonts w:ascii="仿宋_GB2312" w:hAnsi="仿宋_GB2312" w:eastAsia="仿宋_GB2312"/>
                <w:b w:val="0"/>
                <w:sz w:val="22"/>
              </w:rPr>
              <w:t>4. 沿上风向或侧上风向疏散，不乘坐电梯，不返回取物，到集合点清点人员。</w:t>
            </w:r>
          </w:p>
        </w:tc>
      </w:tr>
      <w:tr w14:paraId="1E84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08BCD204">
            <w:pPr>
              <w:spacing w:before="0" w:after="0" w:line="288" w:lineRule="auto"/>
              <w:jc w:val="left"/>
            </w:pPr>
            <w:r>
              <w:rPr>
                <w:rFonts w:ascii="仿宋_GB2312" w:hAnsi="仿宋_GB2312" w:eastAsia="仿宋_GB2312"/>
                <w:b w:val="0"/>
                <w:sz w:val="22"/>
              </w:rPr>
              <w:t>5. 为消防救援提供物料、设备、管线、切断点和人员信息，服从统一指挥。</w:t>
            </w:r>
          </w:p>
        </w:tc>
      </w:tr>
    </w:tbl>
    <w:p w14:paraId="52DEA5B4"/>
    <w:p w14:paraId="08E5869E">
      <w:pPr>
        <w:pStyle w:val="4"/>
        <w:keepNext/>
        <w:spacing w:before="160" w:after="0" w:line="360" w:lineRule="auto"/>
      </w:pPr>
      <w:r>
        <w:rPr>
          <w:rFonts w:ascii="仿宋_GB2312" w:hAnsi="仿宋_GB2312" w:eastAsia="仿宋_GB2312"/>
          <w:b/>
          <w:sz w:val="28"/>
        </w:rPr>
        <w:t>三、灭火器使用要点</w:t>
      </w:r>
    </w:p>
    <w:p w14:paraId="31D8D14B">
      <w:pPr>
        <w:spacing w:before="0" w:after="0" w:line="360" w:lineRule="auto"/>
        <w:ind w:firstLine="480"/>
        <w:jc w:val="both"/>
      </w:pPr>
      <w:r>
        <w:rPr>
          <w:rFonts w:ascii="仿宋_GB2312" w:hAnsi="仿宋_GB2312" w:eastAsia="仿宋_GB2312"/>
          <w:b w:val="0"/>
          <w:sz w:val="24"/>
        </w:rPr>
        <w:t>提取灭火器后先确认类型和压力状态，在上风向接近火源，保持安全距离，拔下保险销，握住喷管，压下压把，对准火焰根部左右扫射。灭火时必须保留撤退通道；容器受热、火势猛烈、人员无防护或灭火介质不适用时不得冒险。</w:t>
      </w:r>
    </w:p>
    <w:p w14:paraId="6E5765F4">
      <w:pPr>
        <w:pStyle w:val="4"/>
        <w:keepNext/>
        <w:spacing w:before="160" w:after="0" w:line="360" w:lineRule="auto"/>
      </w:pPr>
      <w:r>
        <w:rPr>
          <w:rFonts w:ascii="仿宋_GB2312" w:hAnsi="仿宋_GB2312" w:eastAsia="仿宋_GB2312"/>
          <w:b/>
          <w:sz w:val="28"/>
        </w:rPr>
        <w:t>四、人员中毒、灼伤和触电</w:t>
      </w:r>
    </w:p>
    <w:p w14:paraId="2E23C60D">
      <w:pPr>
        <w:spacing w:before="0" w:after="0" w:line="360" w:lineRule="auto"/>
        <w:ind w:left="0" w:firstLine="0"/>
        <w:jc w:val="both"/>
      </w:pPr>
      <w:r>
        <w:rPr>
          <w:rFonts w:ascii="仿宋_GB2312" w:hAnsi="仿宋_GB2312" w:eastAsia="仿宋_GB2312"/>
          <w:sz w:val="24"/>
        </w:rPr>
        <w:t>1. 中毒或窒息：立即报警并从安全区域实施救援，救援人员使用适用呼吸防护，禁止徒手进入。</w:t>
      </w:r>
    </w:p>
    <w:p w14:paraId="4A3AB532">
      <w:pPr>
        <w:spacing w:before="0" w:after="0" w:line="360" w:lineRule="auto"/>
        <w:ind w:left="0" w:firstLine="0"/>
        <w:jc w:val="both"/>
      </w:pPr>
      <w:r>
        <w:rPr>
          <w:rFonts w:ascii="仿宋_GB2312" w:hAnsi="仿宋_GB2312" w:eastAsia="仿宋_GB2312"/>
          <w:sz w:val="24"/>
        </w:rPr>
        <w:t>2. 化学品喷溅：立即使用大量流动清水持续冲洗并脱去污染衣物，特殊物料按安全技术说明书处置。</w:t>
      </w:r>
    </w:p>
    <w:p w14:paraId="0B87B339">
      <w:pPr>
        <w:spacing w:before="0" w:after="0" w:line="360" w:lineRule="auto"/>
        <w:ind w:left="0" w:firstLine="0"/>
        <w:jc w:val="both"/>
      </w:pPr>
      <w:r>
        <w:rPr>
          <w:rFonts w:ascii="仿宋_GB2312" w:hAnsi="仿宋_GB2312" w:eastAsia="仿宋_GB2312"/>
          <w:sz w:val="24"/>
        </w:rPr>
        <w:t>3. 热灼伤：迅速脱离热源，用清洁流动水冷却，禁止涂抹不明药物或撕扯粘连衣物。</w:t>
      </w:r>
    </w:p>
    <w:p w14:paraId="76E57E28">
      <w:pPr>
        <w:spacing w:before="0" w:after="0" w:line="360" w:lineRule="auto"/>
        <w:ind w:left="0" w:firstLine="0"/>
        <w:jc w:val="both"/>
      </w:pPr>
      <w:r>
        <w:rPr>
          <w:rFonts w:ascii="仿宋_GB2312" w:hAnsi="仿宋_GB2312" w:eastAsia="仿宋_GB2312"/>
          <w:sz w:val="24"/>
        </w:rPr>
        <w:t>4. 触电：先切断电源或使用绝缘工具使伤者脱离电源，再进行急救和呼叫医疗救援。</w:t>
      </w:r>
    </w:p>
    <w:p w14:paraId="05222B0E">
      <w:pPr>
        <w:pStyle w:val="3"/>
        <w:keepNext/>
        <w:pageBreakBefore/>
        <w:spacing w:before="0" w:after="200" w:line="360" w:lineRule="auto"/>
        <w:jc w:val="center"/>
      </w:pPr>
      <w:r>
        <w:rPr>
          <w:rFonts w:ascii="方正小标宋简体" w:hAnsi="方正小标宋简体" w:eastAsia="方正小标宋简体"/>
          <w:b/>
          <w:sz w:val="36"/>
        </w:rPr>
        <w:t>第十三章  职业健康与个体防护</w:t>
      </w:r>
    </w:p>
    <w:p w14:paraId="06E14CFF">
      <w:pPr>
        <w:pStyle w:val="4"/>
        <w:keepNext/>
        <w:spacing w:before="160" w:after="0" w:line="360" w:lineRule="auto"/>
      </w:pPr>
      <w:r>
        <w:rPr>
          <w:rFonts w:ascii="仿宋_GB2312" w:hAnsi="仿宋_GB2312" w:eastAsia="仿宋_GB2312"/>
          <w:b/>
          <w:sz w:val="28"/>
        </w:rPr>
        <w:t>一、职业危害认知</w:t>
      </w:r>
    </w:p>
    <w:p w14:paraId="0666B900">
      <w:pPr>
        <w:spacing w:before="0" w:after="0" w:line="360" w:lineRule="auto"/>
        <w:ind w:left="0" w:firstLine="0"/>
        <w:jc w:val="both"/>
      </w:pPr>
      <w:r>
        <w:rPr>
          <w:rFonts w:ascii="仿宋_GB2312" w:hAnsi="仿宋_GB2312" w:eastAsia="仿宋_GB2312"/>
          <w:sz w:val="24"/>
        </w:rPr>
        <w:t>1. 可能接触有毒蒸气、粉尘、噪声、高温、低温、辐射、腐蚀性物质和皮肤致敏物。</w:t>
      </w:r>
    </w:p>
    <w:p w14:paraId="19B3DE35">
      <w:pPr>
        <w:spacing w:before="0" w:after="0" w:line="360" w:lineRule="auto"/>
        <w:ind w:left="0" w:firstLine="0"/>
        <w:jc w:val="both"/>
      </w:pPr>
      <w:r>
        <w:rPr>
          <w:rFonts w:ascii="仿宋_GB2312" w:hAnsi="仿宋_GB2312" w:eastAsia="仿宋_GB2312"/>
          <w:sz w:val="24"/>
        </w:rPr>
        <w:t>2. 职业危害可能通过吸入、皮肤吸收、眼睛接触和误食进入人体。</w:t>
      </w:r>
    </w:p>
    <w:p w14:paraId="16C75A59">
      <w:pPr>
        <w:spacing w:before="0" w:after="0" w:line="360" w:lineRule="auto"/>
        <w:ind w:left="0" w:firstLine="0"/>
        <w:jc w:val="both"/>
      </w:pPr>
      <w:r>
        <w:rPr>
          <w:rFonts w:ascii="仿宋_GB2312" w:hAnsi="仿宋_GB2312" w:eastAsia="仿宋_GB2312"/>
          <w:sz w:val="24"/>
        </w:rPr>
        <w:t>3. 低浓度长期接触也可能造成健康影响，不能仅凭气味判断是否安全。</w:t>
      </w:r>
    </w:p>
    <w:p w14:paraId="1DC56084">
      <w:pPr>
        <w:pStyle w:val="4"/>
        <w:keepNext/>
        <w:spacing w:before="160" w:after="0" w:line="360" w:lineRule="auto"/>
      </w:pPr>
      <w:r>
        <w:rPr>
          <w:rFonts w:ascii="仿宋_GB2312" w:hAnsi="仿宋_GB2312" w:eastAsia="仿宋_GB2312"/>
          <w:b/>
          <w:sz w:val="28"/>
        </w:rPr>
        <w:t>二、工程控制优先</w:t>
      </w:r>
    </w:p>
    <w:p w14:paraId="2FC8F4F7">
      <w:pPr>
        <w:spacing w:before="0" w:after="0" w:line="360" w:lineRule="auto"/>
        <w:ind w:firstLine="480"/>
        <w:jc w:val="both"/>
      </w:pPr>
      <w:r>
        <w:rPr>
          <w:rFonts w:ascii="仿宋_GB2312" w:hAnsi="仿宋_GB2312" w:eastAsia="仿宋_GB2312"/>
          <w:b w:val="0"/>
          <w:sz w:val="24"/>
        </w:rPr>
        <w:t>控制职业危害应优先采用密闭、自动化、局部排风、隔离、减振降噪和替代等工程措施。个人防护用品是最后一道防线，不能用佩戴口罩代替泄漏治理和通风。</w:t>
      </w:r>
    </w:p>
    <w:p w14:paraId="0A7714EF">
      <w:pPr>
        <w:pStyle w:val="4"/>
        <w:keepNext/>
        <w:spacing w:before="160" w:after="0" w:line="360" w:lineRule="auto"/>
      </w:pPr>
      <w:r>
        <w:rPr>
          <w:rFonts w:ascii="仿宋_GB2312" w:hAnsi="仿宋_GB2312" w:eastAsia="仿宋_GB2312"/>
          <w:b/>
          <w:sz w:val="28"/>
        </w:rPr>
        <w:t>三、个人防护用品使用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2492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68" w:type="dxa"/>
            <w:shd w:val="clear" w:color="auto" w:fill="D9EAF7"/>
            <w:tcMar>
              <w:top w:w="80" w:type="dxa"/>
              <w:left w:w="90" w:type="dxa"/>
              <w:bottom w:w="80" w:type="dxa"/>
              <w:right w:w="90" w:type="dxa"/>
            </w:tcMar>
            <w:vAlign w:val="center"/>
          </w:tcPr>
          <w:p w14:paraId="7CADF3E6">
            <w:pPr>
              <w:spacing w:before="0" w:after="0" w:line="288" w:lineRule="auto"/>
              <w:jc w:val="center"/>
            </w:pPr>
            <w:r>
              <w:rPr>
                <w:rFonts w:ascii="仿宋_GB2312" w:hAnsi="仿宋_GB2312" w:eastAsia="仿宋_GB2312"/>
                <w:b/>
                <w:sz w:val="21"/>
              </w:rPr>
              <w:t>防护用品</w:t>
            </w:r>
          </w:p>
        </w:tc>
        <w:tc>
          <w:tcPr>
            <w:tcW w:w="6803" w:type="dxa"/>
            <w:shd w:val="clear" w:color="auto" w:fill="D9EAF7"/>
            <w:tcMar>
              <w:top w:w="80" w:type="dxa"/>
              <w:left w:w="90" w:type="dxa"/>
              <w:bottom w:w="80" w:type="dxa"/>
              <w:right w:w="90" w:type="dxa"/>
            </w:tcMar>
            <w:vAlign w:val="center"/>
          </w:tcPr>
          <w:p w14:paraId="1896487F">
            <w:pPr>
              <w:spacing w:before="0" w:after="0" w:line="288" w:lineRule="auto"/>
              <w:jc w:val="center"/>
            </w:pPr>
            <w:r>
              <w:rPr>
                <w:rFonts w:ascii="仿宋_GB2312" w:hAnsi="仿宋_GB2312" w:eastAsia="仿宋_GB2312"/>
                <w:b/>
                <w:sz w:val="21"/>
              </w:rPr>
              <w:t>使用要点</w:t>
            </w:r>
          </w:p>
        </w:tc>
      </w:tr>
      <w:tr w14:paraId="6AFD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5A46FB09">
            <w:pPr>
              <w:spacing w:before="0" w:after="0" w:line="288" w:lineRule="auto"/>
              <w:jc w:val="center"/>
            </w:pPr>
            <w:r>
              <w:rPr>
                <w:rFonts w:ascii="仿宋_GB2312" w:hAnsi="仿宋_GB2312" w:eastAsia="仿宋_GB2312"/>
                <w:b w:val="0"/>
                <w:sz w:val="21"/>
              </w:rPr>
              <w:t>安全帽</w:t>
            </w:r>
          </w:p>
        </w:tc>
        <w:tc>
          <w:tcPr>
            <w:tcW w:w="6803" w:type="dxa"/>
            <w:tcMar>
              <w:top w:w="80" w:type="dxa"/>
              <w:left w:w="90" w:type="dxa"/>
              <w:bottom w:w="80" w:type="dxa"/>
              <w:right w:w="90" w:type="dxa"/>
            </w:tcMar>
            <w:vAlign w:val="center"/>
          </w:tcPr>
          <w:p w14:paraId="0BB250A8">
            <w:pPr>
              <w:spacing w:before="0" w:after="0" w:line="288" w:lineRule="auto"/>
              <w:jc w:val="left"/>
            </w:pPr>
            <w:r>
              <w:rPr>
                <w:rFonts w:ascii="仿宋_GB2312" w:hAnsi="仿宋_GB2312" w:eastAsia="仿宋_GB2312"/>
                <w:b w:val="0"/>
                <w:sz w:val="21"/>
              </w:rPr>
              <w:t>正确调整帽衬和下颏带，受冲击、破损或超过使用期限及时更换</w:t>
            </w:r>
          </w:p>
        </w:tc>
      </w:tr>
      <w:tr w14:paraId="1A03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70A0CC44">
            <w:pPr>
              <w:spacing w:before="0" w:after="0" w:line="288" w:lineRule="auto"/>
              <w:jc w:val="center"/>
            </w:pPr>
            <w:r>
              <w:rPr>
                <w:rFonts w:ascii="仿宋_GB2312" w:hAnsi="仿宋_GB2312" w:eastAsia="仿宋_GB2312"/>
                <w:b w:val="0"/>
                <w:sz w:val="21"/>
              </w:rPr>
              <w:t>护目镜/面屏</w:t>
            </w:r>
          </w:p>
        </w:tc>
        <w:tc>
          <w:tcPr>
            <w:tcW w:w="6803" w:type="dxa"/>
            <w:tcMar>
              <w:top w:w="80" w:type="dxa"/>
              <w:left w:w="90" w:type="dxa"/>
              <w:bottom w:w="80" w:type="dxa"/>
              <w:right w:w="90" w:type="dxa"/>
            </w:tcMar>
            <w:vAlign w:val="center"/>
          </w:tcPr>
          <w:p w14:paraId="4BF8F608">
            <w:pPr>
              <w:spacing w:before="0" w:after="0" w:line="288" w:lineRule="auto"/>
              <w:jc w:val="left"/>
            </w:pPr>
            <w:r>
              <w:rPr>
                <w:rFonts w:ascii="仿宋_GB2312" w:hAnsi="仿宋_GB2312" w:eastAsia="仿宋_GB2312"/>
                <w:b w:val="0"/>
                <w:sz w:val="21"/>
              </w:rPr>
              <w:t>防飞溅时护目镜与面屏按风险组合使用，污染后及时清洗或更换</w:t>
            </w:r>
          </w:p>
        </w:tc>
      </w:tr>
      <w:tr w14:paraId="5EEF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59850308">
            <w:pPr>
              <w:spacing w:before="0" w:after="0" w:line="288" w:lineRule="auto"/>
              <w:jc w:val="center"/>
            </w:pPr>
            <w:r>
              <w:rPr>
                <w:rFonts w:ascii="仿宋_GB2312" w:hAnsi="仿宋_GB2312" w:eastAsia="仿宋_GB2312"/>
                <w:b w:val="0"/>
                <w:sz w:val="21"/>
              </w:rPr>
              <w:t>防护手套</w:t>
            </w:r>
          </w:p>
        </w:tc>
        <w:tc>
          <w:tcPr>
            <w:tcW w:w="6803" w:type="dxa"/>
            <w:tcMar>
              <w:top w:w="80" w:type="dxa"/>
              <w:left w:w="90" w:type="dxa"/>
              <w:bottom w:w="80" w:type="dxa"/>
              <w:right w:w="90" w:type="dxa"/>
            </w:tcMar>
            <w:vAlign w:val="center"/>
          </w:tcPr>
          <w:p w14:paraId="1D7268E2">
            <w:pPr>
              <w:spacing w:before="0" w:after="0" w:line="288" w:lineRule="auto"/>
              <w:jc w:val="left"/>
            </w:pPr>
            <w:r>
              <w:rPr>
                <w:rFonts w:ascii="仿宋_GB2312" w:hAnsi="仿宋_GB2312" w:eastAsia="仿宋_GB2312"/>
                <w:b w:val="0"/>
                <w:sz w:val="21"/>
              </w:rPr>
              <w:t>按化学品相容性选择，破损、渗透或污染内层时立即更换</w:t>
            </w:r>
          </w:p>
        </w:tc>
      </w:tr>
      <w:tr w14:paraId="6DAB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39B7F4F8">
            <w:pPr>
              <w:spacing w:before="0" w:after="0" w:line="288" w:lineRule="auto"/>
              <w:jc w:val="center"/>
            </w:pPr>
            <w:r>
              <w:rPr>
                <w:rFonts w:ascii="仿宋_GB2312" w:hAnsi="仿宋_GB2312" w:eastAsia="仿宋_GB2312"/>
                <w:b w:val="0"/>
                <w:sz w:val="21"/>
              </w:rPr>
              <w:t>防护服</w:t>
            </w:r>
          </w:p>
        </w:tc>
        <w:tc>
          <w:tcPr>
            <w:tcW w:w="6803" w:type="dxa"/>
            <w:tcMar>
              <w:top w:w="80" w:type="dxa"/>
              <w:left w:w="90" w:type="dxa"/>
              <w:bottom w:w="80" w:type="dxa"/>
              <w:right w:w="90" w:type="dxa"/>
            </w:tcMar>
            <w:vAlign w:val="center"/>
          </w:tcPr>
          <w:p w14:paraId="4C24DF86">
            <w:pPr>
              <w:spacing w:before="0" w:after="0" w:line="288" w:lineRule="auto"/>
              <w:jc w:val="left"/>
            </w:pPr>
            <w:r>
              <w:rPr>
                <w:rFonts w:ascii="仿宋_GB2312" w:hAnsi="仿宋_GB2312" w:eastAsia="仿宋_GB2312"/>
                <w:b w:val="0"/>
                <w:sz w:val="21"/>
              </w:rPr>
              <w:t>按防静电、阻燃、耐化学或一次性需求选择，污染服不得穿出规定区域</w:t>
            </w:r>
          </w:p>
        </w:tc>
      </w:tr>
      <w:tr w14:paraId="0AC9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3E793046">
            <w:pPr>
              <w:spacing w:before="0" w:after="0" w:line="288" w:lineRule="auto"/>
              <w:jc w:val="center"/>
            </w:pPr>
            <w:r>
              <w:rPr>
                <w:rFonts w:ascii="仿宋_GB2312" w:hAnsi="仿宋_GB2312" w:eastAsia="仿宋_GB2312"/>
                <w:b w:val="0"/>
                <w:sz w:val="21"/>
              </w:rPr>
              <w:t>呼吸防护</w:t>
            </w:r>
          </w:p>
        </w:tc>
        <w:tc>
          <w:tcPr>
            <w:tcW w:w="6803" w:type="dxa"/>
            <w:tcMar>
              <w:top w:w="80" w:type="dxa"/>
              <w:left w:w="90" w:type="dxa"/>
              <w:bottom w:w="80" w:type="dxa"/>
              <w:right w:w="90" w:type="dxa"/>
            </w:tcMar>
            <w:vAlign w:val="center"/>
          </w:tcPr>
          <w:p w14:paraId="27014EED">
            <w:pPr>
              <w:spacing w:before="0" w:after="0" w:line="288" w:lineRule="auto"/>
              <w:jc w:val="left"/>
            </w:pPr>
            <w:r>
              <w:rPr>
                <w:rFonts w:ascii="仿宋_GB2312" w:hAnsi="仿宋_GB2312" w:eastAsia="仿宋_GB2312"/>
                <w:b w:val="0"/>
                <w:sz w:val="21"/>
              </w:rPr>
              <w:t>经过选型和适合性确认，滤毒元件按规定更换；缺氧环境不得使用过滤式防毒面具</w:t>
            </w:r>
          </w:p>
        </w:tc>
      </w:tr>
      <w:tr w14:paraId="3372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Mar>
              <w:top w:w="80" w:type="dxa"/>
              <w:left w:w="90" w:type="dxa"/>
              <w:bottom w:w="80" w:type="dxa"/>
              <w:right w:w="90" w:type="dxa"/>
            </w:tcMar>
            <w:vAlign w:val="center"/>
          </w:tcPr>
          <w:p w14:paraId="76AFCB6F">
            <w:pPr>
              <w:spacing w:before="0" w:after="0" w:line="288" w:lineRule="auto"/>
              <w:jc w:val="center"/>
            </w:pPr>
            <w:r>
              <w:rPr>
                <w:rFonts w:ascii="仿宋_GB2312" w:hAnsi="仿宋_GB2312" w:eastAsia="仿宋_GB2312"/>
                <w:b w:val="0"/>
                <w:sz w:val="21"/>
              </w:rPr>
              <w:t>听力防护</w:t>
            </w:r>
          </w:p>
        </w:tc>
        <w:tc>
          <w:tcPr>
            <w:tcW w:w="6803" w:type="dxa"/>
            <w:tcMar>
              <w:top w:w="80" w:type="dxa"/>
              <w:left w:w="90" w:type="dxa"/>
              <w:bottom w:w="80" w:type="dxa"/>
              <w:right w:w="90" w:type="dxa"/>
            </w:tcMar>
            <w:vAlign w:val="center"/>
          </w:tcPr>
          <w:p w14:paraId="23493021">
            <w:pPr>
              <w:spacing w:before="0" w:after="0" w:line="288" w:lineRule="auto"/>
              <w:jc w:val="left"/>
            </w:pPr>
            <w:r>
              <w:rPr>
                <w:rFonts w:ascii="仿宋_GB2312" w:hAnsi="仿宋_GB2312" w:eastAsia="仿宋_GB2312"/>
                <w:b w:val="0"/>
                <w:sz w:val="21"/>
              </w:rPr>
              <w:t>在噪声区域持续正确佩戴耳塞或耳罩，保持清洁并定期检查</w:t>
            </w:r>
          </w:p>
        </w:tc>
      </w:tr>
    </w:tbl>
    <w:p w14:paraId="339A06E8">
      <w:pPr>
        <w:spacing w:after="0"/>
      </w:pPr>
    </w:p>
    <w:p w14:paraId="5A631655">
      <w:pPr>
        <w:pStyle w:val="4"/>
        <w:keepNext/>
        <w:spacing w:before="160" w:after="0" w:line="360" w:lineRule="auto"/>
      </w:pPr>
      <w:r>
        <w:rPr>
          <w:rFonts w:ascii="仿宋_GB2312" w:hAnsi="仿宋_GB2312" w:eastAsia="仿宋_GB2312"/>
          <w:b/>
          <w:sz w:val="28"/>
        </w:rPr>
        <w:t>四、洗眼器和应急喷淋</w:t>
      </w:r>
    </w:p>
    <w:p w14:paraId="3D9A2256">
      <w:pPr>
        <w:spacing w:before="0" w:after="0" w:line="360" w:lineRule="auto"/>
        <w:ind w:left="0" w:firstLine="0"/>
        <w:jc w:val="both"/>
      </w:pPr>
      <w:r>
        <w:rPr>
          <w:rFonts w:ascii="仿宋_GB2312" w:hAnsi="仿宋_GB2312" w:eastAsia="仿宋_GB2312"/>
          <w:sz w:val="24"/>
        </w:rPr>
        <w:t>1. 通往洗眼器和喷淋的通道保持畅通，设备周边不得堆物。</w:t>
      </w:r>
    </w:p>
    <w:p w14:paraId="01874E29">
      <w:pPr>
        <w:spacing w:before="0" w:after="0" w:line="360" w:lineRule="auto"/>
        <w:ind w:left="0" w:firstLine="0"/>
        <w:jc w:val="both"/>
      </w:pPr>
      <w:r>
        <w:rPr>
          <w:rFonts w:ascii="仿宋_GB2312" w:hAnsi="仿宋_GB2312" w:eastAsia="仿宋_GB2312"/>
          <w:sz w:val="24"/>
        </w:rPr>
        <w:t>2. 发生眼睛或皮肤污染时立即冲洗，边冲洗边呼救，污染衣物尽快脱除。</w:t>
      </w:r>
    </w:p>
    <w:p w14:paraId="40F05045">
      <w:pPr>
        <w:spacing w:before="0" w:after="0" w:line="360" w:lineRule="auto"/>
        <w:ind w:left="0" w:firstLine="0"/>
        <w:jc w:val="both"/>
      </w:pPr>
      <w:r>
        <w:rPr>
          <w:rFonts w:ascii="仿宋_GB2312" w:hAnsi="仿宋_GB2312" w:eastAsia="仿宋_GB2312"/>
          <w:sz w:val="24"/>
        </w:rPr>
        <w:t>3. 冲洗后应接受医学评估，不得因症状暂时缓解而拒绝检查。</w:t>
      </w:r>
    </w:p>
    <w:p w14:paraId="1779D76A">
      <w:pPr>
        <w:pStyle w:val="4"/>
        <w:keepNext/>
        <w:spacing w:before="160" w:after="0" w:line="360" w:lineRule="auto"/>
      </w:pPr>
      <w:r>
        <w:rPr>
          <w:rFonts w:ascii="仿宋_GB2312" w:hAnsi="仿宋_GB2312" w:eastAsia="仿宋_GB2312"/>
          <w:b/>
          <w:sz w:val="28"/>
        </w:rPr>
        <w:t>五、职业健康检查和异常报告</w:t>
      </w:r>
    </w:p>
    <w:p w14:paraId="310E8DAF">
      <w:pPr>
        <w:spacing w:before="0" w:after="0" w:line="360" w:lineRule="auto"/>
        <w:ind w:firstLine="480"/>
        <w:jc w:val="both"/>
      </w:pPr>
      <w:r>
        <w:rPr>
          <w:rFonts w:ascii="仿宋_GB2312" w:hAnsi="仿宋_GB2312" w:eastAsia="仿宋_GB2312"/>
          <w:b w:val="0"/>
          <w:sz w:val="24"/>
        </w:rPr>
        <w:t>员工应按要求参加上岗前、在岗期间和离岗时职业健康检查。出现头晕、恶心、咳嗽、皮肤红肿、眼睛刺激、听力下降等可能与工作有关的症状，应立即离开暴露区域并报告，不得隐瞒或自行带病作业。</w:t>
      </w:r>
    </w:p>
    <w:p w14:paraId="3694134A">
      <w:pPr>
        <w:pStyle w:val="3"/>
        <w:keepNext/>
        <w:pageBreakBefore/>
        <w:spacing w:before="0" w:after="200" w:line="360" w:lineRule="auto"/>
        <w:jc w:val="center"/>
      </w:pPr>
      <w:r>
        <w:rPr>
          <w:rFonts w:ascii="方正小标宋简体" w:hAnsi="方正小标宋简体" w:eastAsia="方正小标宋简体"/>
          <w:b/>
          <w:sz w:val="36"/>
        </w:rPr>
        <w:t>第十四章  环境保护、废弃物与异常排放</w:t>
      </w:r>
    </w:p>
    <w:p w14:paraId="3849E9AF">
      <w:pPr>
        <w:pStyle w:val="4"/>
        <w:keepNext/>
        <w:spacing w:before="160" w:after="0" w:line="360" w:lineRule="auto"/>
      </w:pPr>
      <w:r>
        <w:rPr>
          <w:rFonts w:ascii="仿宋_GB2312" w:hAnsi="仿宋_GB2312" w:eastAsia="仿宋_GB2312"/>
          <w:b/>
          <w:sz w:val="28"/>
        </w:rPr>
        <w:t>一、基本原则</w:t>
      </w:r>
    </w:p>
    <w:p w14:paraId="49FDF5F8">
      <w:pPr>
        <w:spacing w:before="0" w:after="0" w:line="360" w:lineRule="auto"/>
        <w:ind w:left="0" w:firstLine="0"/>
        <w:jc w:val="both"/>
      </w:pPr>
      <w:r>
        <w:rPr>
          <w:rFonts w:ascii="仿宋_GB2312" w:hAnsi="仿宋_GB2312" w:eastAsia="仿宋_GB2312"/>
          <w:sz w:val="24"/>
        </w:rPr>
        <w:t>1. 生产废水、废气、危险废物和一般固体废物应分类收集、规范暂存和合规处置。</w:t>
      </w:r>
    </w:p>
    <w:p w14:paraId="3C07822C">
      <w:pPr>
        <w:spacing w:before="0" w:after="0" w:line="360" w:lineRule="auto"/>
        <w:ind w:left="0" w:firstLine="0"/>
        <w:jc w:val="both"/>
      </w:pPr>
      <w:r>
        <w:rPr>
          <w:rFonts w:ascii="仿宋_GB2312" w:hAnsi="仿宋_GB2312" w:eastAsia="仿宋_GB2312"/>
          <w:sz w:val="24"/>
        </w:rPr>
        <w:t>2. 雨水、污水和事故水系统应保持清晰，禁止将危险化学品、清洗液或事故废水直接排入雨水系统。</w:t>
      </w:r>
    </w:p>
    <w:p w14:paraId="61495951">
      <w:pPr>
        <w:spacing w:before="0" w:after="0" w:line="360" w:lineRule="auto"/>
        <w:ind w:left="0" w:firstLine="0"/>
        <w:jc w:val="both"/>
      </w:pPr>
      <w:r>
        <w:rPr>
          <w:rFonts w:ascii="仿宋_GB2312" w:hAnsi="仿宋_GB2312" w:eastAsia="仿宋_GB2312"/>
          <w:sz w:val="24"/>
        </w:rPr>
        <w:t>3. 异常排放、环保设施故障和危险废物泄漏应与生产异常同等重视，立即报告和控制。</w:t>
      </w:r>
    </w:p>
    <w:p w14:paraId="5DF570BF">
      <w:pPr>
        <w:pStyle w:val="4"/>
        <w:keepNext/>
        <w:spacing w:before="160" w:after="0" w:line="360" w:lineRule="auto"/>
      </w:pPr>
      <w:r>
        <w:rPr>
          <w:rFonts w:ascii="仿宋_GB2312" w:hAnsi="仿宋_GB2312" w:eastAsia="仿宋_GB2312"/>
          <w:b/>
          <w:sz w:val="28"/>
        </w:rPr>
        <w:t>二、危险废物管理</w:t>
      </w:r>
    </w:p>
    <w:p w14:paraId="44210E3A">
      <w:pPr>
        <w:spacing w:before="0" w:after="0" w:line="360" w:lineRule="auto"/>
        <w:ind w:left="0" w:firstLine="0"/>
        <w:jc w:val="both"/>
      </w:pPr>
      <w:r>
        <w:rPr>
          <w:rFonts w:ascii="仿宋_GB2312" w:hAnsi="仿宋_GB2312" w:eastAsia="仿宋_GB2312"/>
          <w:sz w:val="24"/>
        </w:rPr>
        <w:t>1. 产生点分类收集，容器与废物相容、密闭完好，标签包括名称、来源、危险特性和日期。</w:t>
      </w:r>
    </w:p>
    <w:p w14:paraId="04B80E5B">
      <w:pPr>
        <w:spacing w:before="0" w:after="0" w:line="360" w:lineRule="auto"/>
        <w:ind w:left="0" w:firstLine="0"/>
        <w:jc w:val="both"/>
      </w:pPr>
      <w:r>
        <w:rPr>
          <w:rFonts w:ascii="仿宋_GB2312" w:hAnsi="仿宋_GB2312" w:eastAsia="仿宋_GB2312"/>
          <w:sz w:val="24"/>
        </w:rPr>
        <w:t>2. 不相容废物不得混合，禁止随意倾倒、焚烧、稀释或交给无资质单位。</w:t>
      </w:r>
    </w:p>
    <w:p w14:paraId="76D940E9">
      <w:pPr>
        <w:spacing w:before="0" w:after="0" w:line="360" w:lineRule="auto"/>
        <w:ind w:left="0" w:firstLine="0"/>
        <w:jc w:val="both"/>
      </w:pPr>
      <w:r>
        <w:rPr>
          <w:rFonts w:ascii="仿宋_GB2312" w:hAnsi="仿宋_GB2312" w:eastAsia="仿宋_GB2312"/>
          <w:sz w:val="24"/>
        </w:rPr>
        <w:t>3. 暂存区域防渗、防雨、防泄漏，配备围堵和吸附物资，建立出入库台账。</w:t>
      </w:r>
    </w:p>
    <w:p w14:paraId="2FEA873C">
      <w:pPr>
        <w:spacing w:before="0" w:after="0" w:line="360" w:lineRule="auto"/>
        <w:ind w:left="0" w:firstLine="0"/>
        <w:jc w:val="both"/>
      </w:pPr>
      <w:r>
        <w:rPr>
          <w:rFonts w:ascii="仿宋_GB2312" w:hAnsi="仿宋_GB2312" w:eastAsia="仿宋_GB2312"/>
          <w:sz w:val="24"/>
        </w:rPr>
        <w:t>4. 废包装、废活性炭、废催化剂、废溶剂、含油废物和实验室废液按实际属性管理。</w:t>
      </w:r>
    </w:p>
    <w:p w14:paraId="404366F3">
      <w:pPr>
        <w:pStyle w:val="4"/>
        <w:keepNext/>
        <w:spacing w:before="160" w:after="0" w:line="360" w:lineRule="auto"/>
      </w:pPr>
      <w:r>
        <w:rPr>
          <w:rFonts w:ascii="仿宋_GB2312" w:hAnsi="仿宋_GB2312" w:eastAsia="仿宋_GB2312"/>
          <w:b/>
          <w:sz w:val="28"/>
        </w:rPr>
        <w:t>三、环保设施运行</w:t>
      </w:r>
    </w:p>
    <w:p w14:paraId="17265BAC">
      <w:pPr>
        <w:spacing w:before="0" w:after="0" w:line="360" w:lineRule="auto"/>
        <w:ind w:left="0" w:firstLine="0"/>
        <w:jc w:val="both"/>
      </w:pPr>
      <w:r>
        <w:rPr>
          <w:rFonts w:ascii="仿宋_GB2312" w:hAnsi="仿宋_GB2312" w:eastAsia="仿宋_GB2312"/>
          <w:sz w:val="24"/>
        </w:rPr>
        <w:t>1. 废气收集、吸收、吸附、焚烧或其他处理设施应与生产同步运行，禁止擅自停运或旁路。</w:t>
      </w:r>
    </w:p>
    <w:p w14:paraId="51CEC683">
      <w:pPr>
        <w:spacing w:before="0" w:after="0" w:line="360" w:lineRule="auto"/>
        <w:ind w:left="0" w:firstLine="0"/>
        <w:jc w:val="both"/>
      </w:pPr>
      <w:r>
        <w:rPr>
          <w:rFonts w:ascii="仿宋_GB2312" w:hAnsi="仿宋_GB2312" w:eastAsia="仿宋_GB2312"/>
          <w:sz w:val="24"/>
        </w:rPr>
        <w:t>2. 发现风机停机、压差异常、温度异常、药剂不足、排口异味或在线监测异常时，应及时采取减产或停车措施。</w:t>
      </w:r>
    </w:p>
    <w:p w14:paraId="05529AA2">
      <w:pPr>
        <w:spacing w:before="0" w:after="0" w:line="360" w:lineRule="auto"/>
        <w:ind w:left="0" w:firstLine="0"/>
        <w:jc w:val="both"/>
      </w:pPr>
      <w:r>
        <w:rPr>
          <w:rFonts w:ascii="仿宋_GB2312" w:hAnsi="仿宋_GB2312" w:eastAsia="仿宋_GB2312"/>
          <w:sz w:val="24"/>
        </w:rPr>
        <w:t>3. 污水处理设施故障、液位异常或水质超标时，停止相关排放来源并启动事故收集。</w:t>
      </w:r>
    </w:p>
    <w:p w14:paraId="21B65482">
      <w:pPr>
        <w:pStyle w:val="4"/>
        <w:keepNext/>
        <w:spacing w:before="160" w:after="0" w:line="360" w:lineRule="auto"/>
      </w:pPr>
      <w:r>
        <w:rPr>
          <w:rFonts w:ascii="仿宋_GB2312" w:hAnsi="仿宋_GB2312" w:eastAsia="仿宋_GB2312"/>
          <w:b/>
          <w:sz w:val="28"/>
        </w:rPr>
        <w:t>四、泄漏和事故水控制</w:t>
      </w:r>
    </w:p>
    <w:p w14:paraId="00B431AC">
      <w:pPr>
        <w:spacing w:before="0" w:after="0" w:line="360" w:lineRule="auto"/>
        <w:ind w:firstLine="480"/>
        <w:jc w:val="both"/>
      </w:pPr>
      <w:r>
        <w:rPr>
          <w:rFonts w:ascii="仿宋_GB2312" w:hAnsi="仿宋_GB2312" w:eastAsia="仿宋_GB2312"/>
          <w:b w:val="0"/>
          <w:sz w:val="24"/>
        </w:rPr>
        <w:t>发生泄漏或消防事故时，应优先关闭雨水排口、启用围堰或事故池，防止污染扩散。围堵和收集物按其危险特性管理。未经评估不得用大量水冲洗不明化学品，防止反应、扩散或产生有毒气体。</w:t>
      </w:r>
    </w:p>
    <w:p w14:paraId="311D42B9">
      <w:pPr>
        <w:pStyle w:val="3"/>
        <w:keepNext/>
        <w:pageBreakBefore/>
        <w:spacing w:before="0" w:after="200" w:line="360" w:lineRule="auto"/>
        <w:jc w:val="center"/>
      </w:pPr>
      <w:r>
        <w:rPr>
          <w:rFonts w:ascii="方正小标宋简体" w:hAnsi="方正小标宋简体" w:eastAsia="方正小标宋简体"/>
          <w:b/>
          <w:sz w:val="36"/>
        </w:rPr>
        <w:t>第十五章  承包商、外来人员、交通与装卸协同</w:t>
      </w:r>
    </w:p>
    <w:p w14:paraId="1CB607C5">
      <w:pPr>
        <w:pStyle w:val="4"/>
        <w:keepNext/>
        <w:spacing w:before="160" w:after="0" w:line="360" w:lineRule="auto"/>
      </w:pPr>
      <w:r>
        <w:rPr>
          <w:rFonts w:ascii="仿宋_GB2312" w:hAnsi="仿宋_GB2312" w:eastAsia="仿宋_GB2312"/>
          <w:b/>
          <w:sz w:val="28"/>
        </w:rPr>
        <w:t>一、承包商和外来人员</w:t>
      </w:r>
    </w:p>
    <w:p w14:paraId="54DE2957">
      <w:pPr>
        <w:spacing w:before="0" w:after="0" w:line="360" w:lineRule="auto"/>
        <w:ind w:left="0" w:firstLine="0"/>
        <w:jc w:val="both"/>
      </w:pPr>
      <w:r>
        <w:rPr>
          <w:rFonts w:ascii="仿宋_GB2312" w:hAnsi="仿宋_GB2312" w:eastAsia="仿宋_GB2312"/>
          <w:sz w:val="24"/>
        </w:rPr>
        <w:t>1. 进入现场前应完成资质审查、安全教育、风险告知和人员身份确认，实际入场人员应与备案一致。</w:t>
      </w:r>
    </w:p>
    <w:p w14:paraId="0C5A6AF4">
      <w:pPr>
        <w:spacing w:before="0" w:after="0" w:line="360" w:lineRule="auto"/>
        <w:ind w:left="0" w:firstLine="0"/>
        <w:jc w:val="both"/>
      </w:pPr>
      <w:r>
        <w:rPr>
          <w:rFonts w:ascii="仿宋_GB2312" w:hAnsi="仿宋_GB2312" w:eastAsia="仿宋_GB2312"/>
          <w:sz w:val="24"/>
        </w:rPr>
        <w:t>2. 承包商应遵守企业制度，接受属地和专业管理；不得以“外包”为由降低安全标准。</w:t>
      </w:r>
    </w:p>
    <w:p w14:paraId="6A500DFD">
      <w:pPr>
        <w:spacing w:before="0" w:after="0" w:line="360" w:lineRule="auto"/>
        <w:ind w:left="0" w:firstLine="0"/>
        <w:jc w:val="both"/>
      </w:pPr>
      <w:r>
        <w:rPr>
          <w:rFonts w:ascii="仿宋_GB2312" w:hAnsi="仿宋_GB2312" w:eastAsia="仿宋_GB2312"/>
          <w:sz w:val="24"/>
        </w:rPr>
        <w:t>3. 外来人员不得擅自进入生产装置、罐区、控制室和实验室，不得拍照、触碰设备或操作阀门。</w:t>
      </w:r>
    </w:p>
    <w:p w14:paraId="784AA96E">
      <w:pPr>
        <w:spacing w:before="0" w:after="0" w:line="360" w:lineRule="auto"/>
        <w:ind w:left="0" w:firstLine="0"/>
        <w:jc w:val="both"/>
      </w:pPr>
      <w:r>
        <w:rPr>
          <w:rFonts w:ascii="仿宋_GB2312" w:hAnsi="仿宋_GB2312" w:eastAsia="仿宋_GB2312"/>
          <w:sz w:val="24"/>
        </w:rPr>
        <w:t>4. 企业监护和属地人员发现承包商违章应立即制止，严重违章应停工清退。</w:t>
      </w:r>
    </w:p>
    <w:p w14:paraId="162315DD">
      <w:pPr>
        <w:pStyle w:val="4"/>
        <w:keepNext/>
        <w:spacing w:before="160" w:after="0" w:line="360" w:lineRule="auto"/>
      </w:pPr>
      <w:r>
        <w:rPr>
          <w:rFonts w:ascii="仿宋_GB2312" w:hAnsi="仿宋_GB2312" w:eastAsia="仿宋_GB2312"/>
          <w:b/>
          <w:sz w:val="28"/>
        </w:rPr>
        <w:t>二、交叉作业协调</w:t>
      </w:r>
    </w:p>
    <w:p w14:paraId="2BD335AB">
      <w:pPr>
        <w:spacing w:before="0" w:after="0" w:line="360" w:lineRule="auto"/>
        <w:ind w:left="0" w:firstLine="0"/>
        <w:jc w:val="both"/>
      </w:pPr>
      <w:r>
        <w:rPr>
          <w:rFonts w:ascii="仿宋_GB2312" w:hAnsi="仿宋_GB2312" w:eastAsia="仿宋_GB2312"/>
          <w:sz w:val="24"/>
        </w:rPr>
        <w:t>1. 同一区域存在动火、吊装、高处、受限空间、生产运行等交叉作业时，应明确统一协调人和优先顺序。</w:t>
      </w:r>
    </w:p>
    <w:p w14:paraId="2576F3DA">
      <w:pPr>
        <w:spacing w:before="0" w:after="0" w:line="360" w:lineRule="auto"/>
        <w:ind w:left="0" w:firstLine="0"/>
        <w:jc w:val="both"/>
      </w:pPr>
      <w:r>
        <w:rPr>
          <w:rFonts w:ascii="仿宋_GB2312" w:hAnsi="仿宋_GB2312" w:eastAsia="仿宋_GB2312"/>
          <w:sz w:val="24"/>
        </w:rPr>
        <w:t>2. 上方作业防坠物，下方作业设置隔离；动火与易燃物料、吹扫放空等作业不得相互影响。</w:t>
      </w:r>
    </w:p>
    <w:p w14:paraId="01FD3E6F">
      <w:pPr>
        <w:spacing w:before="0" w:after="0" w:line="360" w:lineRule="auto"/>
        <w:ind w:left="0" w:firstLine="0"/>
        <w:jc w:val="both"/>
      </w:pPr>
      <w:r>
        <w:rPr>
          <w:rFonts w:ascii="仿宋_GB2312" w:hAnsi="仿宋_GB2312" w:eastAsia="仿宋_GB2312"/>
          <w:sz w:val="24"/>
        </w:rPr>
        <w:t>3. 作业班次变化、人员变化和生产状态变化时重新交底确认。</w:t>
      </w:r>
    </w:p>
    <w:p w14:paraId="0BF6A71C">
      <w:pPr>
        <w:pStyle w:val="4"/>
        <w:keepNext/>
        <w:spacing w:before="160" w:after="0" w:line="360" w:lineRule="auto"/>
      </w:pPr>
      <w:r>
        <w:rPr>
          <w:rFonts w:ascii="仿宋_GB2312" w:hAnsi="仿宋_GB2312" w:eastAsia="仿宋_GB2312"/>
          <w:b/>
          <w:sz w:val="28"/>
        </w:rPr>
        <w:t>三、厂内交通</w:t>
      </w:r>
    </w:p>
    <w:p w14:paraId="2D4BA450">
      <w:pPr>
        <w:spacing w:before="0" w:after="0" w:line="360" w:lineRule="auto"/>
        <w:ind w:left="0" w:firstLine="0"/>
        <w:jc w:val="both"/>
      </w:pPr>
      <w:r>
        <w:rPr>
          <w:rFonts w:ascii="仿宋_GB2312" w:hAnsi="仿宋_GB2312" w:eastAsia="仿宋_GB2312"/>
          <w:sz w:val="24"/>
        </w:rPr>
        <w:t>1. 车辆和行人按规定路线、限速和标识通行，进入装置和仓储区域服从现场指挥。</w:t>
      </w:r>
    </w:p>
    <w:p w14:paraId="119539E8">
      <w:pPr>
        <w:spacing w:before="0" w:after="0" w:line="360" w:lineRule="auto"/>
        <w:ind w:left="0" w:firstLine="0"/>
        <w:jc w:val="both"/>
      </w:pPr>
      <w:r>
        <w:rPr>
          <w:rFonts w:ascii="仿宋_GB2312" w:hAnsi="仿宋_GB2312" w:eastAsia="仿宋_GB2312"/>
          <w:sz w:val="24"/>
        </w:rPr>
        <w:t>2. 叉车、工程车辆和特种车辆由合格人员操作，禁止超载、载人、盲区抢行。</w:t>
      </w:r>
    </w:p>
    <w:p w14:paraId="317270CB">
      <w:pPr>
        <w:spacing w:before="0" w:after="0" w:line="360" w:lineRule="auto"/>
        <w:ind w:left="0" w:firstLine="0"/>
        <w:jc w:val="both"/>
      </w:pPr>
      <w:r>
        <w:rPr>
          <w:rFonts w:ascii="仿宋_GB2312" w:hAnsi="仿宋_GB2312" w:eastAsia="仿宋_GB2312"/>
          <w:sz w:val="24"/>
        </w:rPr>
        <w:t>3. 倒车、转弯、装卸和穿越门口时减速鸣号，必要时安排指挥人员。</w:t>
      </w:r>
    </w:p>
    <w:p w14:paraId="052B2B38">
      <w:pPr>
        <w:spacing w:before="0" w:after="0" w:line="360" w:lineRule="auto"/>
        <w:ind w:left="0" w:firstLine="0"/>
        <w:jc w:val="both"/>
      </w:pPr>
      <w:r>
        <w:rPr>
          <w:rFonts w:ascii="仿宋_GB2312" w:hAnsi="仿宋_GB2312" w:eastAsia="仿宋_GB2312"/>
          <w:sz w:val="24"/>
        </w:rPr>
        <w:t>4. 危险化学品运输车辆停放、等待和装卸应在指定区域，禁止堵塞消防通道。</w:t>
      </w:r>
    </w:p>
    <w:p w14:paraId="66AC43AD">
      <w:pPr>
        <w:pStyle w:val="4"/>
        <w:keepNext/>
        <w:spacing w:before="160" w:after="0" w:line="360" w:lineRule="auto"/>
      </w:pPr>
      <w:r>
        <w:rPr>
          <w:rFonts w:ascii="仿宋_GB2312" w:hAnsi="仿宋_GB2312" w:eastAsia="仿宋_GB2312"/>
          <w:b/>
          <w:sz w:val="28"/>
        </w:rPr>
        <w:t>四、装卸协同确认</w:t>
      </w:r>
    </w:p>
    <w:p w14:paraId="3F59888A">
      <w:pPr>
        <w:spacing w:before="0" w:after="0" w:line="360" w:lineRule="auto"/>
        <w:ind w:firstLine="480"/>
        <w:jc w:val="both"/>
      </w:pPr>
      <w:r>
        <w:rPr>
          <w:rFonts w:ascii="仿宋_GB2312" w:hAnsi="仿宋_GB2312" w:eastAsia="仿宋_GB2312"/>
          <w:b w:val="0"/>
          <w:sz w:val="24"/>
        </w:rPr>
        <w:t>发货方、承运方和收货方应共同核对物料、车辆、人员、证件、罐体、软管、接头、接地、阀门和应急物资。装卸过程中任何一方发现异常均有权要求停止。装卸结束应关闭阀门、泄压排净、拆除连接、复核数量并确认车辆周边无遗留物。</w:t>
      </w:r>
    </w:p>
    <w:p w14:paraId="3DDA6525">
      <w:pPr>
        <w:pStyle w:val="3"/>
        <w:keepNext/>
        <w:pageBreakBefore/>
        <w:spacing w:before="0" w:after="200" w:line="360" w:lineRule="auto"/>
        <w:jc w:val="center"/>
      </w:pPr>
      <w:r>
        <w:rPr>
          <w:rFonts w:ascii="方正小标宋简体" w:hAnsi="方正小标宋简体" w:eastAsia="方正小标宋简体"/>
          <w:b/>
          <w:sz w:val="36"/>
        </w:rPr>
        <w:t>第十六章  隐患排查、事故报告与应急管理</w:t>
      </w:r>
    </w:p>
    <w:p w14:paraId="67AC993A">
      <w:pPr>
        <w:pStyle w:val="4"/>
        <w:keepNext/>
        <w:spacing w:before="160" w:after="0" w:line="360" w:lineRule="auto"/>
      </w:pPr>
      <w:r>
        <w:rPr>
          <w:rFonts w:ascii="仿宋_GB2312" w:hAnsi="仿宋_GB2312" w:eastAsia="仿宋_GB2312"/>
          <w:b/>
          <w:sz w:val="28"/>
        </w:rPr>
        <w:t>一、岗位隐患排查</w:t>
      </w:r>
    </w:p>
    <w:p w14:paraId="646968A8">
      <w:pPr>
        <w:spacing w:before="0" w:after="0" w:line="360" w:lineRule="auto"/>
        <w:ind w:left="0" w:firstLine="0"/>
        <w:jc w:val="both"/>
      </w:pPr>
      <w:r>
        <w:rPr>
          <w:rFonts w:ascii="仿宋_GB2312" w:hAnsi="仿宋_GB2312" w:eastAsia="仿宋_GB2312"/>
          <w:sz w:val="24"/>
        </w:rPr>
        <w:t>1. 每班检查人员状态、设备状态、工艺参数、报警联锁、泄漏、消防设施、通道和现场卫生。</w:t>
      </w:r>
    </w:p>
    <w:p w14:paraId="60054D7D">
      <w:pPr>
        <w:spacing w:before="0" w:after="0" w:line="360" w:lineRule="auto"/>
        <w:ind w:left="0" w:firstLine="0"/>
        <w:jc w:val="both"/>
      </w:pPr>
      <w:r>
        <w:rPr>
          <w:rFonts w:ascii="仿宋_GB2312" w:hAnsi="仿宋_GB2312" w:eastAsia="仿宋_GB2312"/>
          <w:sz w:val="24"/>
        </w:rPr>
        <w:t>2. 对“跑、冒、滴、漏”、临时措施、重复报警、设备带病运行和长期未关闭问题保持警惕。</w:t>
      </w:r>
    </w:p>
    <w:p w14:paraId="685F499A">
      <w:pPr>
        <w:spacing w:before="0" w:after="0" w:line="360" w:lineRule="auto"/>
        <w:ind w:left="0" w:firstLine="0"/>
        <w:jc w:val="both"/>
      </w:pPr>
      <w:r>
        <w:rPr>
          <w:rFonts w:ascii="仿宋_GB2312" w:hAnsi="仿宋_GB2312" w:eastAsia="仿宋_GB2312"/>
          <w:sz w:val="24"/>
        </w:rPr>
        <w:t>3. 发现重大风险时先停工、隔离和撤人，再报告和整改；不得边生产边等待。</w:t>
      </w:r>
    </w:p>
    <w:p w14:paraId="77C34270">
      <w:pPr>
        <w:spacing w:before="0" w:after="0" w:line="360" w:lineRule="auto"/>
        <w:ind w:left="0" w:firstLine="0"/>
        <w:jc w:val="both"/>
      </w:pPr>
      <w:r>
        <w:rPr>
          <w:rFonts w:ascii="仿宋_GB2312" w:hAnsi="仿宋_GB2312" w:eastAsia="仿宋_GB2312"/>
          <w:sz w:val="24"/>
        </w:rPr>
        <w:t>4. 隐患整改应明确责任人、措施、期限和复查结果，禁止仅口头提醒后销项。</w:t>
      </w:r>
    </w:p>
    <w:p w14:paraId="0A23ECC7">
      <w:pPr>
        <w:pStyle w:val="4"/>
        <w:keepNext/>
        <w:spacing w:before="160" w:after="0" w:line="360" w:lineRule="auto"/>
      </w:pPr>
      <w:r>
        <w:rPr>
          <w:rFonts w:ascii="仿宋_GB2312" w:hAnsi="仿宋_GB2312" w:eastAsia="仿宋_GB2312"/>
          <w:b/>
          <w:sz w:val="28"/>
        </w:rPr>
        <w:t>二、事故和未遂事件报告</w:t>
      </w:r>
    </w:p>
    <w:p w14:paraId="35F8186A">
      <w:pPr>
        <w:spacing w:before="0" w:after="0" w:line="360" w:lineRule="auto"/>
        <w:ind w:left="0" w:firstLine="0"/>
        <w:jc w:val="both"/>
      </w:pPr>
      <w:r>
        <w:rPr>
          <w:rFonts w:ascii="仿宋_GB2312" w:hAnsi="仿宋_GB2312" w:eastAsia="仿宋_GB2312"/>
          <w:sz w:val="24"/>
        </w:rPr>
        <w:t>1. 发生人员受伤、中毒、火灾、爆炸、泄漏、设备损坏、异常排放和未遂事件时立即报告。</w:t>
      </w:r>
    </w:p>
    <w:p w14:paraId="4759E6B1">
      <w:pPr>
        <w:spacing w:before="0" w:after="0" w:line="360" w:lineRule="auto"/>
        <w:ind w:left="0" w:firstLine="0"/>
        <w:jc w:val="both"/>
      </w:pPr>
      <w:r>
        <w:rPr>
          <w:rFonts w:ascii="仿宋_GB2312" w:hAnsi="仿宋_GB2312" w:eastAsia="仿宋_GB2312"/>
          <w:sz w:val="24"/>
        </w:rPr>
        <w:t>2. 报告内容包括时间、地点、物料、人员、设备状态、现场危险和已采取措施。</w:t>
      </w:r>
    </w:p>
    <w:p w14:paraId="0ED0E64B">
      <w:pPr>
        <w:spacing w:before="0" w:after="0" w:line="360" w:lineRule="auto"/>
        <w:ind w:left="0" w:firstLine="0"/>
        <w:jc w:val="both"/>
      </w:pPr>
      <w:r>
        <w:rPr>
          <w:rFonts w:ascii="仿宋_GB2312" w:hAnsi="仿宋_GB2312" w:eastAsia="仿宋_GB2312"/>
          <w:sz w:val="24"/>
        </w:rPr>
        <w:t>3. 不得瞒报、迟报、谎报或破坏现场；抢救人员和防止事故扩大所需的必要处置应如实记录。</w:t>
      </w:r>
    </w:p>
    <w:p w14:paraId="5850B9DB">
      <w:pPr>
        <w:spacing w:before="0" w:after="0" w:line="360" w:lineRule="auto"/>
        <w:ind w:left="0" w:firstLine="0"/>
        <w:jc w:val="both"/>
      </w:pPr>
      <w:r>
        <w:rPr>
          <w:rFonts w:ascii="仿宋_GB2312" w:hAnsi="仿宋_GB2312" w:eastAsia="仿宋_GB2312"/>
          <w:sz w:val="24"/>
        </w:rPr>
        <w:t>4. 未遂事件和险情同样要调查，防止“小概率幸运”演变为事故。</w:t>
      </w:r>
    </w:p>
    <w:p w14:paraId="1B60651D">
      <w:pPr>
        <w:pStyle w:val="4"/>
        <w:keepNext/>
        <w:spacing w:before="160" w:after="0" w:line="360" w:lineRule="auto"/>
      </w:pPr>
      <w:r>
        <w:rPr>
          <w:rFonts w:ascii="仿宋_GB2312" w:hAnsi="仿宋_GB2312" w:eastAsia="仿宋_GB2312"/>
          <w:b/>
          <w:sz w:val="28"/>
        </w:rPr>
        <w:t>三、应急响应基本原则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14:paraId="636F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shd w:val="clear" w:color="auto" w:fill="FFF2CC"/>
            <w:vAlign w:val="center"/>
          </w:tcPr>
          <w:p w14:paraId="5F3DC597">
            <w:pPr>
              <w:spacing w:before="0" w:after="0" w:line="288" w:lineRule="auto"/>
              <w:jc w:val="center"/>
            </w:pPr>
            <w:r>
              <w:rPr>
                <w:rFonts w:ascii="仿宋_GB2312" w:hAnsi="仿宋_GB2312" w:eastAsia="仿宋_GB2312"/>
                <w:b/>
                <w:sz w:val="24"/>
              </w:rPr>
              <w:t>记住“报警、隔离、停车、撤离、清点”</w:t>
            </w:r>
          </w:p>
        </w:tc>
      </w:tr>
      <w:tr w14:paraId="1CBE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6FCB607E">
            <w:pPr>
              <w:spacing w:before="0" w:after="0" w:line="288" w:lineRule="auto"/>
              <w:jc w:val="left"/>
            </w:pPr>
            <w:r>
              <w:rPr>
                <w:rFonts w:ascii="仿宋_GB2312" w:hAnsi="仿宋_GB2312" w:eastAsia="仿宋_GB2312"/>
                <w:b w:val="0"/>
                <w:sz w:val="22"/>
              </w:rPr>
              <w:t>报警：立即向控制室、班组长和应急值守报告，必要时启动现场报警。</w:t>
            </w:r>
          </w:p>
        </w:tc>
      </w:tr>
      <w:tr w14:paraId="4F5D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43EC5C73">
            <w:pPr>
              <w:spacing w:before="0" w:after="0" w:line="288" w:lineRule="auto"/>
              <w:jc w:val="left"/>
            </w:pPr>
            <w:r>
              <w:rPr>
                <w:rFonts w:ascii="仿宋_GB2312" w:hAnsi="仿宋_GB2312" w:eastAsia="仿宋_GB2312"/>
                <w:b w:val="0"/>
                <w:sz w:val="22"/>
              </w:rPr>
              <w:t>隔离：在安全位置切断物料和能源，设置警戒，防止无关人员进入。</w:t>
            </w:r>
          </w:p>
        </w:tc>
      </w:tr>
      <w:tr w14:paraId="7D13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01A9CD1B">
            <w:pPr>
              <w:spacing w:before="0" w:after="0" w:line="288" w:lineRule="auto"/>
              <w:jc w:val="left"/>
            </w:pPr>
            <w:r>
              <w:rPr>
                <w:rFonts w:ascii="仿宋_GB2312" w:hAnsi="仿宋_GB2312" w:eastAsia="仿宋_GB2312"/>
                <w:b w:val="0"/>
                <w:sz w:val="22"/>
              </w:rPr>
              <w:t>停车：按紧急停车规程控制装置，禁止擅自进行未经评估的操作。</w:t>
            </w:r>
          </w:p>
        </w:tc>
      </w:tr>
      <w:tr w14:paraId="28BC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4852DC78">
            <w:pPr>
              <w:spacing w:before="0" w:after="0" w:line="288" w:lineRule="auto"/>
              <w:jc w:val="left"/>
            </w:pPr>
            <w:r>
              <w:rPr>
                <w:rFonts w:ascii="仿宋_GB2312" w:hAnsi="仿宋_GB2312" w:eastAsia="仿宋_GB2312"/>
                <w:b w:val="0"/>
                <w:sz w:val="22"/>
              </w:rPr>
              <w:t>撤离：沿规定路线向上风向或侧上风向撤离，听从广播和指挥。</w:t>
            </w:r>
          </w:p>
        </w:tc>
      </w:tr>
      <w:tr w14:paraId="7014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14:paraId="09DEB130">
            <w:pPr>
              <w:spacing w:before="0" w:after="0" w:line="288" w:lineRule="auto"/>
              <w:jc w:val="left"/>
            </w:pPr>
            <w:r>
              <w:rPr>
                <w:rFonts w:ascii="仿宋_GB2312" w:hAnsi="仿宋_GB2312" w:eastAsia="仿宋_GB2312"/>
                <w:b w:val="0"/>
                <w:sz w:val="22"/>
              </w:rPr>
              <w:t>清点：到集合点签到，报告失联、受伤或可能滞留人员，不得擅自返回。</w:t>
            </w:r>
          </w:p>
        </w:tc>
      </w:tr>
    </w:tbl>
    <w:p w14:paraId="741B43FB"/>
    <w:p w14:paraId="073EF12B">
      <w:pPr>
        <w:pStyle w:val="4"/>
        <w:keepNext/>
        <w:spacing w:before="160" w:after="0" w:line="360" w:lineRule="auto"/>
      </w:pPr>
      <w:r>
        <w:rPr>
          <w:rFonts w:ascii="仿宋_GB2312" w:hAnsi="仿宋_GB2312" w:eastAsia="仿宋_GB2312"/>
          <w:b/>
          <w:sz w:val="28"/>
        </w:rPr>
        <w:t>四、盲目施救的危害</w:t>
      </w:r>
    </w:p>
    <w:p w14:paraId="528A70E0">
      <w:pPr>
        <w:spacing w:before="0" w:after="0" w:line="360" w:lineRule="auto"/>
        <w:ind w:firstLine="480"/>
        <w:jc w:val="both"/>
      </w:pPr>
      <w:r>
        <w:rPr>
          <w:rFonts w:ascii="仿宋_GB2312" w:hAnsi="仿宋_GB2312" w:eastAsia="仿宋_GB2312"/>
          <w:b w:val="0"/>
          <w:sz w:val="24"/>
        </w:rPr>
        <w:t>中毒窒息、受限空间、可燃有毒气体泄漏和带电事故中，施救人员若没有检测、呼吸防护、隔离和救援装备，极易成为新的伤亡人员。现场人员应先报警、通风和隔离，由受过训练的应急人员实施救援。</w:t>
      </w:r>
    </w:p>
    <w:p w14:paraId="60A76BB0">
      <w:pPr>
        <w:pStyle w:val="4"/>
        <w:keepNext/>
        <w:spacing w:before="160" w:after="0" w:line="360" w:lineRule="auto"/>
      </w:pPr>
      <w:r>
        <w:rPr>
          <w:rFonts w:ascii="仿宋_GB2312" w:hAnsi="仿宋_GB2312" w:eastAsia="仿宋_GB2312"/>
          <w:b/>
          <w:sz w:val="28"/>
        </w:rPr>
        <w:t>五、恢复生产</w:t>
      </w:r>
    </w:p>
    <w:p w14:paraId="75E23B7A">
      <w:pPr>
        <w:spacing w:before="0" w:after="0" w:line="360" w:lineRule="auto"/>
        <w:ind w:firstLine="480"/>
        <w:jc w:val="both"/>
      </w:pPr>
      <w:r>
        <w:rPr>
          <w:rFonts w:ascii="仿宋_GB2312" w:hAnsi="仿宋_GB2312" w:eastAsia="仿宋_GB2312"/>
          <w:b w:val="0"/>
          <w:sz w:val="24"/>
        </w:rPr>
        <w:t>事故、险情或重大异常后，应完成原因分析、设备检查、环境检测、隐患整改、人员培训和开车前安全审查，经授权批准后方可恢复。禁止未经确认擅自复位报警、拆除警戒或重新投料。</w:t>
      </w:r>
    </w:p>
    <w:p w14:paraId="760FFACB">
      <w:pPr>
        <w:pStyle w:val="3"/>
        <w:keepNext/>
        <w:pageBreakBefore/>
        <w:spacing w:before="0" w:after="200" w:line="360" w:lineRule="auto"/>
        <w:jc w:val="center"/>
      </w:pPr>
      <w:r>
        <w:rPr>
          <w:rFonts w:ascii="方正小标宋简体" w:hAnsi="方正小标宋简体" w:eastAsia="方正小标宋简体"/>
          <w:b/>
          <w:sz w:val="36"/>
        </w:rPr>
        <w:t>第十七章  分岗位应知应会要求</w:t>
      </w:r>
    </w:p>
    <w:p w14:paraId="2BE0F43B">
      <w:pPr>
        <w:pStyle w:val="4"/>
        <w:keepNext/>
        <w:spacing w:before="160" w:after="0" w:line="360" w:lineRule="auto"/>
      </w:pPr>
      <w:r>
        <w:rPr>
          <w:rFonts w:ascii="仿宋_GB2312" w:hAnsi="仿宋_GB2312" w:eastAsia="仿宋_GB2312"/>
          <w:b/>
          <w:sz w:val="28"/>
        </w:rPr>
        <w:t>一、主要负责人和各级管理人员</w:t>
      </w:r>
    </w:p>
    <w:p w14:paraId="28D17601">
      <w:pPr>
        <w:spacing w:before="0" w:after="0" w:line="360" w:lineRule="auto"/>
        <w:ind w:left="0" w:firstLine="0"/>
        <w:jc w:val="both"/>
      </w:pPr>
      <w:r>
        <w:rPr>
          <w:rFonts w:ascii="仿宋_GB2312" w:hAnsi="仿宋_GB2312" w:eastAsia="仿宋_GB2312"/>
          <w:sz w:val="24"/>
        </w:rPr>
        <w:t>1. 应知：法定职责、重大风险、重大危险源、全员责任制、事故报告和应急指挥要求。</w:t>
      </w:r>
    </w:p>
    <w:p w14:paraId="39E36EC9">
      <w:pPr>
        <w:spacing w:before="0" w:after="0" w:line="360" w:lineRule="auto"/>
        <w:ind w:left="0" w:firstLine="0"/>
        <w:jc w:val="both"/>
      </w:pPr>
      <w:r>
        <w:rPr>
          <w:rFonts w:ascii="仿宋_GB2312" w:hAnsi="仿宋_GB2312" w:eastAsia="仿宋_GB2312"/>
          <w:sz w:val="24"/>
        </w:rPr>
        <w:t>2. 应会：组织风险研判、检查重大隐患、批准开停车和重大变更、配置资源、指挥先期处置。</w:t>
      </w:r>
    </w:p>
    <w:p w14:paraId="1FC9771B">
      <w:pPr>
        <w:spacing w:before="0" w:after="0" w:line="360" w:lineRule="auto"/>
        <w:ind w:left="0" w:firstLine="0"/>
        <w:jc w:val="both"/>
      </w:pPr>
      <w:r>
        <w:rPr>
          <w:rFonts w:ascii="仿宋_GB2312" w:hAnsi="仿宋_GB2312" w:eastAsia="仿宋_GB2312"/>
          <w:sz w:val="24"/>
        </w:rPr>
        <w:t>3. 严禁：只布置不检查、只签字不履职、以赶产量为由降低安全条件。</w:t>
      </w:r>
    </w:p>
    <w:p w14:paraId="2C8853FD">
      <w:pPr>
        <w:pStyle w:val="4"/>
        <w:keepNext/>
        <w:spacing w:before="160" w:after="0" w:line="360" w:lineRule="auto"/>
      </w:pPr>
      <w:r>
        <w:rPr>
          <w:rFonts w:ascii="仿宋_GB2312" w:hAnsi="仿宋_GB2312" w:eastAsia="仿宋_GB2312"/>
          <w:b/>
          <w:sz w:val="28"/>
        </w:rPr>
        <w:t>二、生产操作岗位</w:t>
      </w:r>
    </w:p>
    <w:p w14:paraId="4B46C168">
      <w:pPr>
        <w:spacing w:before="0" w:after="0" w:line="360" w:lineRule="auto"/>
        <w:ind w:left="0" w:firstLine="0"/>
        <w:jc w:val="both"/>
      </w:pPr>
      <w:r>
        <w:rPr>
          <w:rFonts w:ascii="仿宋_GB2312" w:hAnsi="仿宋_GB2312" w:eastAsia="仿宋_GB2312"/>
          <w:sz w:val="24"/>
        </w:rPr>
        <w:t>1. 应知：物料危险性、工艺流程、控制范围、报警联锁、异常征兆和紧急停车。</w:t>
      </w:r>
    </w:p>
    <w:p w14:paraId="04A5AAE2">
      <w:pPr>
        <w:spacing w:before="0" w:after="0" w:line="360" w:lineRule="auto"/>
        <w:ind w:left="0" w:firstLine="0"/>
        <w:jc w:val="both"/>
      </w:pPr>
      <w:r>
        <w:rPr>
          <w:rFonts w:ascii="仿宋_GB2312" w:hAnsi="仿宋_GB2312" w:eastAsia="仿宋_GB2312"/>
          <w:sz w:val="24"/>
        </w:rPr>
        <w:t>2. 应会：操作前确认、正确投料和切换、趋势判断、巡检、交接班、泄漏初期控制和撤离。</w:t>
      </w:r>
    </w:p>
    <w:p w14:paraId="40EA731A">
      <w:pPr>
        <w:spacing w:before="0" w:after="0" w:line="360" w:lineRule="auto"/>
        <w:ind w:left="0" w:firstLine="0"/>
        <w:jc w:val="both"/>
      </w:pPr>
      <w:r>
        <w:rPr>
          <w:rFonts w:ascii="仿宋_GB2312" w:hAnsi="仿宋_GB2312" w:eastAsia="仿宋_GB2312"/>
          <w:sz w:val="24"/>
        </w:rPr>
        <w:t>3. 严禁：超参数、错投料、擅自提速、屏蔽联锁、带故障强行开车。</w:t>
      </w:r>
    </w:p>
    <w:p w14:paraId="0EC6089C">
      <w:pPr>
        <w:pStyle w:val="4"/>
        <w:keepNext/>
        <w:spacing w:before="160" w:after="0" w:line="360" w:lineRule="auto"/>
      </w:pPr>
      <w:r>
        <w:rPr>
          <w:rFonts w:ascii="仿宋_GB2312" w:hAnsi="仿宋_GB2312" w:eastAsia="仿宋_GB2312"/>
          <w:b/>
          <w:sz w:val="28"/>
        </w:rPr>
        <w:t>三、设备检维修岗位</w:t>
      </w:r>
    </w:p>
    <w:p w14:paraId="733B87C3">
      <w:pPr>
        <w:spacing w:before="0" w:after="0" w:line="360" w:lineRule="auto"/>
        <w:ind w:left="0" w:firstLine="0"/>
        <w:jc w:val="both"/>
      </w:pPr>
      <w:r>
        <w:rPr>
          <w:rFonts w:ascii="仿宋_GB2312" w:hAnsi="仿宋_GB2312" w:eastAsia="仿宋_GB2312"/>
          <w:sz w:val="24"/>
        </w:rPr>
        <w:t>1. 应知：残余介质、能量来源、设备结构、隔离点和特殊作业要求。</w:t>
      </w:r>
    </w:p>
    <w:p w14:paraId="26B276F8">
      <w:pPr>
        <w:spacing w:before="0" w:after="0" w:line="360" w:lineRule="auto"/>
        <w:ind w:left="0" w:firstLine="0"/>
        <w:jc w:val="both"/>
      </w:pPr>
      <w:r>
        <w:rPr>
          <w:rFonts w:ascii="仿宋_GB2312" w:hAnsi="仿宋_GB2312" w:eastAsia="仿宋_GB2312"/>
          <w:sz w:val="24"/>
        </w:rPr>
        <w:t>2. 应会：挂牌上锁、泄压排净、拆装防喷射、工具检查、试车清场和检修质量确认。</w:t>
      </w:r>
    </w:p>
    <w:p w14:paraId="0DCBA38D">
      <w:pPr>
        <w:spacing w:before="0" w:after="0" w:line="360" w:lineRule="auto"/>
        <w:ind w:left="0" w:firstLine="0"/>
        <w:jc w:val="both"/>
      </w:pPr>
      <w:r>
        <w:rPr>
          <w:rFonts w:ascii="仿宋_GB2312" w:hAnsi="仿宋_GB2312" w:eastAsia="仿宋_GB2312"/>
          <w:sz w:val="24"/>
        </w:rPr>
        <w:t>3. 严禁：带压带电拆卸、未隔离检修、擅自改变盲板和阀门状态。</w:t>
      </w:r>
    </w:p>
    <w:p w14:paraId="79D37A09">
      <w:pPr>
        <w:pStyle w:val="4"/>
        <w:keepNext/>
        <w:spacing w:before="160" w:after="0" w:line="360" w:lineRule="auto"/>
      </w:pPr>
      <w:r>
        <w:rPr>
          <w:rFonts w:ascii="仿宋_GB2312" w:hAnsi="仿宋_GB2312" w:eastAsia="仿宋_GB2312"/>
          <w:b/>
          <w:sz w:val="28"/>
        </w:rPr>
        <w:t>四、电气仪表岗位</w:t>
      </w:r>
    </w:p>
    <w:p w14:paraId="46B4FC9E">
      <w:pPr>
        <w:spacing w:before="0" w:after="0" w:line="360" w:lineRule="auto"/>
        <w:ind w:left="0" w:firstLine="0"/>
        <w:jc w:val="both"/>
      </w:pPr>
      <w:r>
        <w:rPr>
          <w:rFonts w:ascii="仿宋_GB2312" w:hAnsi="仿宋_GB2312" w:eastAsia="仿宋_GB2312"/>
          <w:sz w:val="24"/>
        </w:rPr>
        <w:t>1. 应知：供配电系统、防爆区域、联锁逻辑、失电风险和仪表故障对工艺的影响。</w:t>
      </w:r>
    </w:p>
    <w:p w14:paraId="370EDEF8">
      <w:pPr>
        <w:spacing w:before="0" w:after="0" w:line="360" w:lineRule="auto"/>
        <w:ind w:left="0" w:firstLine="0"/>
        <w:jc w:val="both"/>
      </w:pPr>
      <w:r>
        <w:rPr>
          <w:rFonts w:ascii="仿宋_GB2312" w:hAnsi="仿宋_GB2312" w:eastAsia="仿宋_GB2312"/>
          <w:sz w:val="24"/>
        </w:rPr>
        <w:t>2. 应会：停送电确认、验电接地、故障诊断、联锁测试和变更记录。</w:t>
      </w:r>
    </w:p>
    <w:p w14:paraId="51381229">
      <w:pPr>
        <w:spacing w:before="0" w:after="0" w:line="360" w:lineRule="auto"/>
        <w:ind w:left="0" w:firstLine="0"/>
        <w:jc w:val="both"/>
      </w:pPr>
      <w:r>
        <w:rPr>
          <w:rFonts w:ascii="仿宋_GB2312" w:hAnsi="仿宋_GB2312" w:eastAsia="仿宋_GB2312"/>
          <w:sz w:val="24"/>
        </w:rPr>
        <w:t>3. 严禁：约时送电、带电违章作业、未经审批修改量程、报警值或联锁逻辑。</w:t>
      </w:r>
    </w:p>
    <w:p w14:paraId="3B9CBBB1">
      <w:pPr>
        <w:pStyle w:val="4"/>
        <w:keepNext/>
        <w:spacing w:before="160" w:after="0" w:line="360" w:lineRule="auto"/>
      </w:pPr>
      <w:r>
        <w:rPr>
          <w:rFonts w:ascii="仿宋_GB2312" w:hAnsi="仿宋_GB2312" w:eastAsia="仿宋_GB2312"/>
          <w:b/>
          <w:sz w:val="28"/>
        </w:rPr>
        <w:t>五、仓储罐区和装卸岗位</w:t>
      </w:r>
    </w:p>
    <w:p w14:paraId="612E93FD">
      <w:pPr>
        <w:spacing w:before="0" w:after="0" w:line="360" w:lineRule="auto"/>
        <w:ind w:left="0" w:firstLine="0"/>
        <w:jc w:val="both"/>
      </w:pPr>
      <w:r>
        <w:rPr>
          <w:rFonts w:ascii="仿宋_GB2312" w:hAnsi="仿宋_GB2312" w:eastAsia="仿宋_GB2312"/>
          <w:sz w:val="24"/>
        </w:rPr>
        <w:t>1. 应知：物料禁忌、储存条件、液位控制、装卸流程和泄漏处置。</w:t>
      </w:r>
    </w:p>
    <w:p w14:paraId="4B4A7BC1">
      <w:pPr>
        <w:spacing w:before="0" w:after="0" w:line="360" w:lineRule="auto"/>
        <w:ind w:left="0" w:firstLine="0"/>
        <w:jc w:val="both"/>
      </w:pPr>
      <w:r>
        <w:rPr>
          <w:rFonts w:ascii="仿宋_GB2312" w:hAnsi="仿宋_GB2312" w:eastAsia="仿宋_GB2312"/>
          <w:sz w:val="24"/>
        </w:rPr>
        <w:t>2. 应会：验收识别、分类分区、接地连接、阀门复核、车辆协调和应急切断。</w:t>
      </w:r>
    </w:p>
    <w:p w14:paraId="04A7FE81">
      <w:pPr>
        <w:spacing w:before="0" w:after="0" w:line="360" w:lineRule="auto"/>
        <w:ind w:left="0" w:firstLine="0"/>
        <w:jc w:val="both"/>
      </w:pPr>
      <w:r>
        <w:rPr>
          <w:rFonts w:ascii="仿宋_GB2312" w:hAnsi="仿宋_GB2312" w:eastAsia="仿宋_GB2312"/>
          <w:sz w:val="24"/>
        </w:rPr>
        <w:t>3. 严禁：错装错卸、超量储存、装卸离岗、带泄漏继续作业。</w:t>
      </w:r>
    </w:p>
    <w:p w14:paraId="26B131F5">
      <w:pPr>
        <w:pStyle w:val="4"/>
        <w:keepNext/>
        <w:spacing w:before="160" w:after="0" w:line="360" w:lineRule="auto"/>
      </w:pPr>
      <w:r>
        <w:rPr>
          <w:rFonts w:ascii="仿宋_GB2312" w:hAnsi="仿宋_GB2312" w:eastAsia="仿宋_GB2312"/>
          <w:b/>
          <w:sz w:val="28"/>
        </w:rPr>
        <w:t>六、化验质检岗位</w:t>
      </w:r>
    </w:p>
    <w:p w14:paraId="0346C16A">
      <w:pPr>
        <w:spacing w:before="0" w:after="0" w:line="360" w:lineRule="auto"/>
        <w:ind w:left="0" w:firstLine="0"/>
        <w:jc w:val="both"/>
      </w:pPr>
      <w:r>
        <w:rPr>
          <w:rFonts w:ascii="仿宋_GB2312" w:hAnsi="仿宋_GB2312" w:eastAsia="仿宋_GB2312"/>
          <w:sz w:val="24"/>
        </w:rPr>
        <w:t>1. 应知：样品危险性、试剂禁忌、通风柜和气瓶使用、废液分类。</w:t>
      </w:r>
    </w:p>
    <w:p w14:paraId="29E7BA14">
      <w:pPr>
        <w:spacing w:before="0" w:after="0" w:line="360" w:lineRule="auto"/>
        <w:ind w:left="0" w:firstLine="0"/>
        <w:jc w:val="both"/>
      </w:pPr>
      <w:r>
        <w:rPr>
          <w:rFonts w:ascii="仿宋_GB2312" w:hAnsi="仿宋_GB2312" w:eastAsia="仿宋_GB2312"/>
          <w:sz w:val="24"/>
        </w:rPr>
        <w:t>2. 应会：安全取样、少量操作、规范加热、泄漏喷溅处置和样品标识追溯。</w:t>
      </w:r>
    </w:p>
    <w:p w14:paraId="6D0F65CB">
      <w:pPr>
        <w:spacing w:before="0" w:after="0" w:line="360" w:lineRule="auto"/>
        <w:ind w:left="0" w:firstLine="0"/>
        <w:jc w:val="both"/>
      </w:pPr>
      <w:r>
        <w:rPr>
          <w:rFonts w:ascii="仿宋_GB2312" w:hAnsi="仿宋_GB2312" w:eastAsia="仿宋_GB2312"/>
          <w:sz w:val="24"/>
        </w:rPr>
        <w:t>3. 严禁：口吸移液、密闭加热、混倒废液、使用无标签试剂。</w:t>
      </w:r>
    </w:p>
    <w:p w14:paraId="74DF9E25">
      <w:pPr>
        <w:pStyle w:val="4"/>
        <w:keepNext/>
        <w:spacing w:before="160" w:after="0" w:line="360" w:lineRule="auto"/>
      </w:pPr>
      <w:r>
        <w:rPr>
          <w:rFonts w:ascii="仿宋_GB2312" w:hAnsi="仿宋_GB2312" w:eastAsia="仿宋_GB2312"/>
          <w:b/>
          <w:sz w:val="28"/>
        </w:rPr>
        <w:t>七、监护人和承包商人员</w:t>
      </w:r>
    </w:p>
    <w:p w14:paraId="75F207C0">
      <w:pPr>
        <w:spacing w:before="0" w:after="0" w:line="360" w:lineRule="auto"/>
        <w:ind w:left="0" w:firstLine="0"/>
        <w:jc w:val="both"/>
      </w:pPr>
      <w:r>
        <w:rPr>
          <w:rFonts w:ascii="仿宋_GB2312" w:hAnsi="仿宋_GB2312" w:eastAsia="仿宋_GB2312"/>
          <w:sz w:val="24"/>
        </w:rPr>
        <w:t>1. 监护人应知作业风险和停止条件，应会检查措施、观察环境、保持联络和启动应急。</w:t>
      </w:r>
    </w:p>
    <w:p w14:paraId="305EF3FA">
      <w:pPr>
        <w:spacing w:before="0" w:after="0" w:line="360" w:lineRule="auto"/>
        <w:ind w:left="0" w:firstLine="0"/>
        <w:jc w:val="both"/>
      </w:pPr>
      <w:r>
        <w:rPr>
          <w:rFonts w:ascii="仿宋_GB2312" w:hAnsi="仿宋_GB2312" w:eastAsia="仿宋_GB2312"/>
          <w:sz w:val="24"/>
        </w:rPr>
        <w:t>2. 承包商人员应知企业禁令、作业区域风险和应急路线，应会按票证施工和报告变化。</w:t>
      </w:r>
    </w:p>
    <w:p w14:paraId="09C0FCBE">
      <w:pPr>
        <w:spacing w:before="0" w:after="0" w:line="360" w:lineRule="auto"/>
        <w:ind w:left="0" w:firstLine="0"/>
        <w:jc w:val="both"/>
      </w:pPr>
      <w:r>
        <w:rPr>
          <w:rFonts w:ascii="仿宋_GB2312" w:hAnsi="仿宋_GB2312" w:eastAsia="仿宋_GB2312"/>
          <w:sz w:val="24"/>
        </w:rPr>
        <w:t>3. 监护人不得离岗或兼做其他工作，承包商不得擅自扩大范围或更换人员。</w:t>
      </w:r>
    </w:p>
    <w:p w14:paraId="667C3231">
      <w:pPr>
        <w:pStyle w:val="3"/>
        <w:keepNext/>
        <w:pageBreakBefore/>
        <w:spacing w:before="0" w:after="200" w:line="360" w:lineRule="auto"/>
        <w:jc w:val="center"/>
      </w:pPr>
      <w:r>
        <w:rPr>
          <w:rFonts w:ascii="方正小标宋简体" w:hAnsi="方正小标宋简体" w:eastAsia="方正小标宋简体"/>
          <w:b/>
          <w:sz w:val="36"/>
        </w:rPr>
        <w:t>附录一  全员安全生产行为红线清单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64897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94" w:type="dxa"/>
            <w:shd w:val="clear" w:color="auto" w:fill="D9EAF7"/>
            <w:tcMar>
              <w:top w:w="80" w:type="dxa"/>
              <w:left w:w="90" w:type="dxa"/>
              <w:bottom w:w="80" w:type="dxa"/>
              <w:right w:w="90" w:type="dxa"/>
            </w:tcMar>
            <w:vAlign w:val="center"/>
          </w:tcPr>
          <w:p w14:paraId="452F8401">
            <w:pPr>
              <w:spacing w:before="0" w:after="0" w:line="288" w:lineRule="auto"/>
              <w:jc w:val="center"/>
            </w:pPr>
            <w:r>
              <w:rPr>
                <w:rFonts w:ascii="仿宋_GB2312" w:hAnsi="仿宋_GB2312" w:eastAsia="仿宋_GB2312"/>
                <w:b/>
                <w:sz w:val="20"/>
              </w:rPr>
              <w:t>序号</w:t>
            </w:r>
          </w:p>
        </w:tc>
        <w:tc>
          <w:tcPr>
            <w:tcW w:w="5386" w:type="dxa"/>
            <w:shd w:val="clear" w:color="auto" w:fill="D9EAF7"/>
            <w:tcMar>
              <w:top w:w="80" w:type="dxa"/>
              <w:left w:w="90" w:type="dxa"/>
              <w:bottom w:w="80" w:type="dxa"/>
              <w:right w:w="90" w:type="dxa"/>
            </w:tcMar>
            <w:vAlign w:val="center"/>
          </w:tcPr>
          <w:p w14:paraId="7F3DF721">
            <w:pPr>
              <w:spacing w:before="0" w:after="0" w:line="288" w:lineRule="auto"/>
              <w:jc w:val="center"/>
            </w:pPr>
            <w:r>
              <w:rPr>
                <w:rFonts w:ascii="仿宋_GB2312" w:hAnsi="仿宋_GB2312" w:eastAsia="仿宋_GB2312"/>
                <w:b/>
                <w:sz w:val="20"/>
              </w:rPr>
              <w:t>行为红线</w:t>
            </w:r>
          </w:p>
        </w:tc>
        <w:tc>
          <w:tcPr>
            <w:tcW w:w="2891" w:type="dxa"/>
            <w:shd w:val="clear" w:color="auto" w:fill="D9EAF7"/>
            <w:tcMar>
              <w:top w:w="80" w:type="dxa"/>
              <w:left w:w="90" w:type="dxa"/>
              <w:bottom w:w="80" w:type="dxa"/>
              <w:right w:w="90" w:type="dxa"/>
            </w:tcMar>
            <w:vAlign w:val="center"/>
          </w:tcPr>
          <w:p w14:paraId="4F43D36B">
            <w:pPr>
              <w:spacing w:before="0" w:after="0" w:line="288" w:lineRule="auto"/>
              <w:jc w:val="center"/>
            </w:pPr>
            <w:r>
              <w:rPr>
                <w:rFonts w:ascii="仿宋_GB2312" w:hAnsi="仿宋_GB2312" w:eastAsia="仿宋_GB2312"/>
                <w:b/>
                <w:sz w:val="20"/>
              </w:rPr>
              <w:t>发现后的第一行动</w:t>
            </w:r>
          </w:p>
        </w:tc>
      </w:tr>
      <w:tr w14:paraId="532C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3059BC3E">
            <w:pPr>
              <w:spacing w:before="0" w:after="0" w:line="288" w:lineRule="auto"/>
              <w:jc w:val="center"/>
            </w:pPr>
            <w:r>
              <w:rPr>
                <w:rFonts w:ascii="仿宋_GB2312" w:hAnsi="仿宋_GB2312" w:eastAsia="仿宋_GB2312"/>
                <w:b w:val="0"/>
                <w:sz w:val="20"/>
              </w:rPr>
              <w:t>1</w:t>
            </w:r>
          </w:p>
        </w:tc>
        <w:tc>
          <w:tcPr>
            <w:tcW w:w="5386" w:type="dxa"/>
            <w:tcMar>
              <w:top w:w="80" w:type="dxa"/>
              <w:left w:w="90" w:type="dxa"/>
              <w:bottom w:w="80" w:type="dxa"/>
              <w:right w:w="90" w:type="dxa"/>
            </w:tcMar>
            <w:vAlign w:val="center"/>
          </w:tcPr>
          <w:p w14:paraId="619BB71B">
            <w:pPr>
              <w:spacing w:before="0" w:after="0" w:line="288" w:lineRule="auto"/>
              <w:jc w:val="left"/>
            </w:pPr>
            <w:r>
              <w:rPr>
                <w:rFonts w:ascii="仿宋_GB2312" w:hAnsi="仿宋_GB2312" w:eastAsia="仿宋_GB2312"/>
                <w:b w:val="0"/>
                <w:sz w:val="20"/>
              </w:rPr>
              <w:t>未经培训考核合格或未取得授权独立上岗</w:t>
            </w:r>
          </w:p>
        </w:tc>
        <w:tc>
          <w:tcPr>
            <w:tcW w:w="2891" w:type="dxa"/>
            <w:tcMar>
              <w:top w:w="80" w:type="dxa"/>
              <w:left w:w="90" w:type="dxa"/>
              <w:bottom w:w="80" w:type="dxa"/>
              <w:right w:w="90" w:type="dxa"/>
            </w:tcMar>
            <w:vAlign w:val="center"/>
          </w:tcPr>
          <w:p w14:paraId="6703024D">
            <w:pPr>
              <w:spacing w:before="0" w:after="0" w:line="288" w:lineRule="auto"/>
              <w:jc w:val="center"/>
            </w:pPr>
            <w:r>
              <w:rPr>
                <w:rFonts w:ascii="仿宋_GB2312" w:hAnsi="仿宋_GB2312" w:eastAsia="仿宋_GB2312"/>
                <w:b w:val="0"/>
                <w:sz w:val="20"/>
              </w:rPr>
              <w:t>立即停止并报告</w:t>
            </w:r>
          </w:p>
        </w:tc>
      </w:tr>
      <w:tr w14:paraId="2918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46ED221C">
            <w:pPr>
              <w:spacing w:before="0" w:after="0" w:line="288" w:lineRule="auto"/>
              <w:jc w:val="center"/>
            </w:pPr>
            <w:r>
              <w:rPr>
                <w:rFonts w:ascii="仿宋_GB2312" w:hAnsi="仿宋_GB2312" w:eastAsia="仿宋_GB2312"/>
                <w:b w:val="0"/>
                <w:sz w:val="20"/>
              </w:rPr>
              <w:t>2</w:t>
            </w:r>
          </w:p>
        </w:tc>
        <w:tc>
          <w:tcPr>
            <w:tcW w:w="5386" w:type="dxa"/>
            <w:tcMar>
              <w:top w:w="80" w:type="dxa"/>
              <w:left w:w="90" w:type="dxa"/>
              <w:bottom w:w="80" w:type="dxa"/>
              <w:right w:w="90" w:type="dxa"/>
            </w:tcMar>
            <w:vAlign w:val="center"/>
          </w:tcPr>
          <w:p w14:paraId="49642411">
            <w:pPr>
              <w:spacing w:before="0" w:after="0" w:line="288" w:lineRule="auto"/>
              <w:jc w:val="left"/>
            </w:pPr>
            <w:r>
              <w:rPr>
                <w:rFonts w:ascii="仿宋_GB2312" w:hAnsi="仿宋_GB2312" w:eastAsia="仿宋_GB2312"/>
                <w:b w:val="0"/>
                <w:sz w:val="20"/>
              </w:rPr>
              <w:t>酒后上岗、疲劳上岗或岗位期间睡岗离岗</w:t>
            </w:r>
          </w:p>
        </w:tc>
        <w:tc>
          <w:tcPr>
            <w:tcW w:w="2891" w:type="dxa"/>
            <w:tcMar>
              <w:top w:w="80" w:type="dxa"/>
              <w:left w:w="90" w:type="dxa"/>
              <w:bottom w:w="80" w:type="dxa"/>
              <w:right w:w="90" w:type="dxa"/>
            </w:tcMar>
            <w:vAlign w:val="center"/>
          </w:tcPr>
          <w:p w14:paraId="04845BCA">
            <w:pPr>
              <w:spacing w:before="0" w:after="0" w:line="288" w:lineRule="auto"/>
              <w:jc w:val="center"/>
            </w:pPr>
            <w:r>
              <w:rPr>
                <w:rFonts w:ascii="仿宋_GB2312" w:hAnsi="仿宋_GB2312" w:eastAsia="仿宋_GB2312"/>
                <w:b w:val="0"/>
                <w:sz w:val="20"/>
              </w:rPr>
              <w:t>停止作业，按制度处理</w:t>
            </w:r>
          </w:p>
        </w:tc>
      </w:tr>
      <w:tr w14:paraId="4848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4D4482D4">
            <w:pPr>
              <w:spacing w:before="0" w:after="0" w:line="288" w:lineRule="auto"/>
              <w:jc w:val="center"/>
            </w:pPr>
            <w:r>
              <w:rPr>
                <w:rFonts w:ascii="仿宋_GB2312" w:hAnsi="仿宋_GB2312" w:eastAsia="仿宋_GB2312"/>
                <w:b w:val="0"/>
                <w:sz w:val="20"/>
              </w:rPr>
              <w:t>3</w:t>
            </w:r>
          </w:p>
        </w:tc>
        <w:tc>
          <w:tcPr>
            <w:tcW w:w="5386" w:type="dxa"/>
            <w:tcMar>
              <w:top w:w="80" w:type="dxa"/>
              <w:left w:w="90" w:type="dxa"/>
              <w:bottom w:w="80" w:type="dxa"/>
              <w:right w:w="90" w:type="dxa"/>
            </w:tcMar>
            <w:vAlign w:val="center"/>
          </w:tcPr>
          <w:p w14:paraId="4FF9E55C">
            <w:pPr>
              <w:spacing w:before="0" w:after="0" w:line="288" w:lineRule="auto"/>
              <w:jc w:val="left"/>
            </w:pPr>
            <w:r>
              <w:rPr>
                <w:rFonts w:ascii="仿宋_GB2312" w:hAnsi="仿宋_GB2312" w:eastAsia="仿宋_GB2312"/>
                <w:b w:val="0"/>
                <w:sz w:val="20"/>
              </w:rPr>
              <w:t>擅自改变工艺参数、投料顺序、物料品种或操作步骤</w:t>
            </w:r>
          </w:p>
        </w:tc>
        <w:tc>
          <w:tcPr>
            <w:tcW w:w="2891" w:type="dxa"/>
            <w:tcMar>
              <w:top w:w="80" w:type="dxa"/>
              <w:left w:w="90" w:type="dxa"/>
              <w:bottom w:w="80" w:type="dxa"/>
              <w:right w:w="90" w:type="dxa"/>
            </w:tcMar>
            <w:vAlign w:val="center"/>
          </w:tcPr>
          <w:p w14:paraId="4BA29FE0">
            <w:pPr>
              <w:spacing w:before="0" w:after="0" w:line="288" w:lineRule="auto"/>
              <w:jc w:val="center"/>
            </w:pPr>
            <w:r>
              <w:rPr>
                <w:rFonts w:ascii="仿宋_GB2312" w:hAnsi="仿宋_GB2312" w:eastAsia="仿宋_GB2312"/>
                <w:b w:val="0"/>
                <w:sz w:val="20"/>
              </w:rPr>
              <w:t>停止操作，恢复受控状态并报告</w:t>
            </w:r>
          </w:p>
        </w:tc>
      </w:tr>
      <w:tr w14:paraId="16D3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4191C9D6">
            <w:pPr>
              <w:spacing w:before="0" w:after="0" w:line="288" w:lineRule="auto"/>
              <w:jc w:val="center"/>
            </w:pPr>
            <w:r>
              <w:rPr>
                <w:rFonts w:ascii="仿宋_GB2312" w:hAnsi="仿宋_GB2312" w:eastAsia="仿宋_GB2312"/>
                <w:b w:val="0"/>
                <w:sz w:val="20"/>
              </w:rPr>
              <w:t>4</w:t>
            </w:r>
          </w:p>
        </w:tc>
        <w:tc>
          <w:tcPr>
            <w:tcW w:w="5386" w:type="dxa"/>
            <w:tcMar>
              <w:top w:w="80" w:type="dxa"/>
              <w:left w:w="90" w:type="dxa"/>
              <w:bottom w:w="80" w:type="dxa"/>
              <w:right w:w="90" w:type="dxa"/>
            </w:tcMar>
            <w:vAlign w:val="center"/>
          </w:tcPr>
          <w:p w14:paraId="255592DB">
            <w:pPr>
              <w:spacing w:before="0" w:after="0" w:line="288" w:lineRule="auto"/>
              <w:jc w:val="left"/>
            </w:pPr>
            <w:r>
              <w:rPr>
                <w:rFonts w:ascii="仿宋_GB2312" w:hAnsi="仿宋_GB2312" w:eastAsia="仿宋_GB2312"/>
                <w:b w:val="0"/>
                <w:sz w:val="20"/>
              </w:rPr>
              <w:t>屏蔽、短接、旁路报警联锁和安全仪表功能</w:t>
            </w:r>
          </w:p>
        </w:tc>
        <w:tc>
          <w:tcPr>
            <w:tcW w:w="2891" w:type="dxa"/>
            <w:tcMar>
              <w:top w:w="80" w:type="dxa"/>
              <w:left w:w="90" w:type="dxa"/>
              <w:bottom w:w="80" w:type="dxa"/>
              <w:right w:w="90" w:type="dxa"/>
            </w:tcMar>
            <w:vAlign w:val="center"/>
          </w:tcPr>
          <w:p w14:paraId="2A3C8738">
            <w:pPr>
              <w:spacing w:before="0" w:after="0" w:line="288" w:lineRule="auto"/>
              <w:jc w:val="left"/>
            </w:pPr>
            <w:r>
              <w:rPr>
                <w:rFonts w:ascii="仿宋_GB2312" w:hAnsi="仿宋_GB2312" w:eastAsia="仿宋_GB2312"/>
                <w:b w:val="0"/>
                <w:sz w:val="20"/>
              </w:rPr>
              <w:t>立即停止相关装置或采取批准的安全措施</w:t>
            </w:r>
          </w:p>
        </w:tc>
      </w:tr>
      <w:tr w14:paraId="30F4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1287C84F">
            <w:pPr>
              <w:spacing w:before="0" w:after="0" w:line="288" w:lineRule="auto"/>
              <w:jc w:val="center"/>
            </w:pPr>
            <w:r>
              <w:rPr>
                <w:rFonts w:ascii="仿宋_GB2312" w:hAnsi="仿宋_GB2312" w:eastAsia="仿宋_GB2312"/>
                <w:b w:val="0"/>
                <w:sz w:val="20"/>
              </w:rPr>
              <w:t>5</w:t>
            </w:r>
          </w:p>
        </w:tc>
        <w:tc>
          <w:tcPr>
            <w:tcW w:w="5386" w:type="dxa"/>
            <w:tcMar>
              <w:top w:w="80" w:type="dxa"/>
              <w:left w:w="90" w:type="dxa"/>
              <w:bottom w:w="80" w:type="dxa"/>
              <w:right w:w="90" w:type="dxa"/>
            </w:tcMar>
            <w:vAlign w:val="center"/>
          </w:tcPr>
          <w:p w14:paraId="7C3F6524">
            <w:pPr>
              <w:spacing w:before="0" w:after="0" w:line="288" w:lineRule="auto"/>
              <w:jc w:val="left"/>
            </w:pPr>
            <w:r>
              <w:rPr>
                <w:rFonts w:ascii="仿宋_GB2312" w:hAnsi="仿宋_GB2312" w:eastAsia="仿宋_GB2312"/>
                <w:b w:val="0"/>
                <w:sz w:val="20"/>
              </w:rPr>
              <w:t>未确认设备位号、介质和去向即操作阀门或启动设备</w:t>
            </w:r>
          </w:p>
        </w:tc>
        <w:tc>
          <w:tcPr>
            <w:tcW w:w="2891" w:type="dxa"/>
            <w:tcMar>
              <w:top w:w="80" w:type="dxa"/>
              <w:left w:w="90" w:type="dxa"/>
              <w:bottom w:w="80" w:type="dxa"/>
              <w:right w:w="90" w:type="dxa"/>
            </w:tcMar>
            <w:vAlign w:val="center"/>
          </w:tcPr>
          <w:p w14:paraId="01D82DA1">
            <w:pPr>
              <w:spacing w:before="0" w:after="0" w:line="288" w:lineRule="auto"/>
              <w:jc w:val="center"/>
            </w:pPr>
            <w:r>
              <w:rPr>
                <w:rFonts w:ascii="仿宋_GB2312" w:hAnsi="仿宋_GB2312" w:eastAsia="仿宋_GB2312"/>
                <w:b w:val="0"/>
                <w:sz w:val="20"/>
              </w:rPr>
              <w:t>停止并重新核对</w:t>
            </w:r>
          </w:p>
        </w:tc>
      </w:tr>
      <w:tr w14:paraId="3614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129EDA96">
            <w:pPr>
              <w:spacing w:before="0" w:after="0" w:line="288" w:lineRule="auto"/>
              <w:jc w:val="center"/>
            </w:pPr>
            <w:r>
              <w:rPr>
                <w:rFonts w:ascii="仿宋_GB2312" w:hAnsi="仿宋_GB2312" w:eastAsia="仿宋_GB2312"/>
                <w:b w:val="0"/>
                <w:sz w:val="20"/>
              </w:rPr>
              <w:t>6</w:t>
            </w:r>
          </w:p>
        </w:tc>
        <w:tc>
          <w:tcPr>
            <w:tcW w:w="5386" w:type="dxa"/>
            <w:tcMar>
              <w:top w:w="80" w:type="dxa"/>
              <w:left w:w="90" w:type="dxa"/>
              <w:bottom w:w="80" w:type="dxa"/>
              <w:right w:w="90" w:type="dxa"/>
            </w:tcMar>
            <w:vAlign w:val="center"/>
          </w:tcPr>
          <w:p w14:paraId="2D419DAD">
            <w:pPr>
              <w:spacing w:before="0" w:after="0" w:line="288" w:lineRule="auto"/>
              <w:jc w:val="left"/>
            </w:pPr>
            <w:r>
              <w:rPr>
                <w:rFonts w:ascii="仿宋_GB2312" w:hAnsi="仿宋_GB2312" w:eastAsia="仿宋_GB2312"/>
                <w:b w:val="0"/>
                <w:sz w:val="20"/>
              </w:rPr>
              <w:t>无票证、票证失效或措施未落实开展特殊作业</w:t>
            </w:r>
          </w:p>
        </w:tc>
        <w:tc>
          <w:tcPr>
            <w:tcW w:w="2891" w:type="dxa"/>
            <w:tcMar>
              <w:top w:w="80" w:type="dxa"/>
              <w:left w:w="90" w:type="dxa"/>
              <w:bottom w:w="80" w:type="dxa"/>
              <w:right w:w="90" w:type="dxa"/>
            </w:tcMar>
            <w:vAlign w:val="center"/>
          </w:tcPr>
          <w:p w14:paraId="21BE4FFC">
            <w:pPr>
              <w:spacing w:before="0" w:after="0" w:line="288" w:lineRule="auto"/>
              <w:jc w:val="center"/>
            </w:pPr>
            <w:r>
              <w:rPr>
                <w:rFonts w:ascii="仿宋_GB2312" w:hAnsi="仿宋_GB2312" w:eastAsia="仿宋_GB2312"/>
                <w:b w:val="0"/>
                <w:sz w:val="20"/>
              </w:rPr>
              <w:t>立即停工</w:t>
            </w:r>
          </w:p>
        </w:tc>
      </w:tr>
      <w:tr w14:paraId="6DFC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70B7A221">
            <w:pPr>
              <w:spacing w:before="0" w:after="0" w:line="288" w:lineRule="auto"/>
              <w:jc w:val="center"/>
            </w:pPr>
            <w:r>
              <w:rPr>
                <w:rFonts w:ascii="仿宋_GB2312" w:hAnsi="仿宋_GB2312" w:eastAsia="仿宋_GB2312"/>
                <w:b w:val="0"/>
                <w:sz w:val="20"/>
              </w:rPr>
              <w:t>7</w:t>
            </w:r>
          </w:p>
        </w:tc>
        <w:tc>
          <w:tcPr>
            <w:tcW w:w="5386" w:type="dxa"/>
            <w:tcMar>
              <w:top w:w="80" w:type="dxa"/>
              <w:left w:w="90" w:type="dxa"/>
              <w:bottom w:w="80" w:type="dxa"/>
              <w:right w:w="90" w:type="dxa"/>
            </w:tcMar>
            <w:vAlign w:val="center"/>
          </w:tcPr>
          <w:p w14:paraId="6890CE3C">
            <w:pPr>
              <w:spacing w:before="0" w:after="0" w:line="288" w:lineRule="auto"/>
              <w:jc w:val="left"/>
            </w:pPr>
            <w:r>
              <w:rPr>
                <w:rFonts w:ascii="仿宋_GB2312" w:hAnsi="仿宋_GB2312" w:eastAsia="仿宋_GB2312"/>
                <w:b w:val="0"/>
                <w:sz w:val="20"/>
              </w:rPr>
              <w:t>未隔离、未泄压、未置换即拆卸设备管线</w:t>
            </w:r>
          </w:p>
        </w:tc>
        <w:tc>
          <w:tcPr>
            <w:tcW w:w="2891" w:type="dxa"/>
            <w:tcMar>
              <w:top w:w="80" w:type="dxa"/>
              <w:left w:w="90" w:type="dxa"/>
              <w:bottom w:w="80" w:type="dxa"/>
              <w:right w:w="90" w:type="dxa"/>
            </w:tcMar>
            <w:vAlign w:val="center"/>
          </w:tcPr>
          <w:p w14:paraId="08A242EE">
            <w:pPr>
              <w:spacing w:before="0" w:after="0" w:line="288" w:lineRule="auto"/>
              <w:jc w:val="center"/>
            </w:pPr>
            <w:r>
              <w:rPr>
                <w:rFonts w:ascii="仿宋_GB2312" w:hAnsi="仿宋_GB2312" w:eastAsia="仿宋_GB2312"/>
                <w:b w:val="0"/>
                <w:sz w:val="20"/>
              </w:rPr>
              <w:t>撤离危险方向并停止作业</w:t>
            </w:r>
          </w:p>
        </w:tc>
      </w:tr>
      <w:tr w14:paraId="018F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4D693152">
            <w:pPr>
              <w:spacing w:before="0" w:after="0" w:line="288" w:lineRule="auto"/>
              <w:jc w:val="center"/>
            </w:pPr>
            <w:r>
              <w:rPr>
                <w:rFonts w:ascii="仿宋_GB2312" w:hAnsi="仿宋_GB2312" w:eastAsia="仿宋_GB2312"/>
                <w:b w:val="0"/>
                <w:sz w:val="20"/>
              </w:rPr>
              <w:t>8</w:t>
            </w:r>
          </w:p>
        </w:tc>
        <w:tc>
          <w:tcPr>
            <w:tcW w:w="5386" w:type="dxa"/>
            <w:tcMar>
              <w:top w:w="80" w:type="dxa"/>
              <w:left w:w="90" w:type="dxa"/>
              <w:bottom w:w="80" w:type="dxa"/>
              <w:right w:w="90" w:type="dxa"/>
            </w:tcMar>
            <w:vAlign w:val="center"/>
          </w:tcPr>
          <w:p w14:paraId="6FB01695">
            <w:pPr>
              <w:spacing w:before="0" w:after="0" w:line="288" w:lineRule="auto"/>
              <w:jc w:val="left"/>
            </w:pPr>
            <w:r>
              <w:rPr>
                <w:rFonts w:ascii="仿宋_GB2312" w:hAnsi="仿宋_GB2312" w:eastAsia="仿宋_GB2312"/>
                <w:b w:val="0"/>
                <w:sz w:val="20"/>
              </w:rPr>
              <w:t>未检测、未通风、无人监护进入受限空间</w:t>
            </w:r>
          </w:p>
        </w:tc>
        <w:tc>
          <w:tcPr>
            <w:tcW w:w="2891" w:type="dxa"/>
            <w:tcMar>
              <w:top w:w="80" w:type="dxa"/>
              <w:left w:w="90" w:type="dxa"/>
              <w:bottom w:w="80" w:type="dxa"/>
              <w:right w:w="90" w:type="dxa"/>
            </w:tcMar>
            <w:vAlign w:val="center"/>
          </w:tcPr>
          <w:p w14:paraId="6C86607B">
            <w:pPr>
              <w:spacing w:before="0" w:after="0" w:line="288" w:lineRule="auto"/>
              <w:jc w:val="center"/>
            </w:pPr>
            <w:r>
              <w:rPr>
                <w:rFonts w:ascii="仿宋_GB2312" w:hAnsi="仿宋_GB2312" w:eastAsia="仿宋_GB2312"/>
                <w:b w:val="0"/>
                <w:sz w:val="20"/>
              </w:rPr>
              <w:t>禁止进入并立即报告</w:t>
            </w:r>
          </w:p>
        </w:tc>
      </w:tr>
      <w:tr w14:paraId="36BE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7F9668C1">
            <w:pPr>
              <w:spacing w:before="0" w:after="0" w:line="288" w:lineRule="auto"/>
              <w:jc w:val="center"/>
            </w:pPr>
            <w:r>
              <w:rPr>
                <w:rFonts w:ascii="仿宋_GB2312" w:hAnsi="仿宋_GB2312" w:eastAsia="仿宋_GB2312"/>
                <w:b w:val="0"/>
                <w:sz w:val="20"/>
              </w:rPr>
              <w:t>9</w:t>
            </w:r>
          </w:p>
        </w:tc>
        <w:tc>
          <w:tcPr>
            <w:tcW w:w="5386" w:type="dxa"/>
            <w:tcMar>
              <w:top w:w="80" w:type="dxa"/>
              <w:left w:w="90" w:type="dxa"/>
              <w:bottom w:w="80" w:type="dxa"/>
              <w:right w:w="90" w:type="dxa"/>
            </w:tcMar>
            <w:vAlign w:val="center"/>
          </w:tcPr>
          <w:p w14:paraId="2FA3C80C">
            <w:pPr>
              <w:spacing w:before="0" w:after="0" w:line="288" w:lineRule="auto"/>
              <w:jc w:val="left"/>
            </w:pPr>
            <w:r>
              <w:rPr>
                <w:rFonts w:ascii="仿宋_GB2312" w:hAnsi="仿宋_GB2312" w:eastAsia="仿宋_GB2312"/>
                <w:b w:val="0"/>
                <w:sz w:val="20"/>
              </w:rPr>
              <w:t>在禁火区吸烟、携带火种或使用非防爆设备</w:t>
            </w:r>
          </w:p>
        </w:tc>
        <w:tc>
          <w:tcPr>
            <w:tcW w:w="2891" w:type="dxa"/>
            <w:tcMar>
              <w:top w:w="80" w:type="dxa"/>
              <w:left w:w="90" w:type="dxa"/>
              <w:bottom w:w="80" w:type="dxa"/>
              <w:right w:w="90" w:type="dxa"/>
            </w:tcMar>
            <w:vAlign w:val="center"/>
          </w:tcPr>
          <w:p w14:paraId="45CE2019">
            <w:pPr>
              <w:spacing w:before="0" w:after="0" w:line="288" w:lineRule="auto"/>
              <w:jc w:val="center"/>
            </w:pPr>
            <w:r>
              <w:rPr>
                <w:rFonts w:ascii="仿宋_GB2312" w:hAnsi="仿宋_GB2312" w:eastAsia="仿宋_GB2312"/>
                <w:b w:val="0"/>
                <w:sz w:val="20"/>
              </w:rPr>
              <w:t>立即制止并清除点火源</w:t>
            </w:r>
          </w:p>
        </w:tc>
      </w:tr>
      <w:tr w14:paraId="087C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2392E60C">
            <w:pPr>
              <w:spacing w:before="0" w:after="0" w:line="288" w:lineRule="auto"/>
              <w:jc w:val="center"/>
            </w:pPr>
            <w:r>
              <w:rPr>
                <w:rFonts w:ascii="仿宋_GB2312" w:hAnsi="仿宋_GB2312" w:eastAsia="仿宋_GB2312"/>
                <w:b w:val="0"/>
                <w:sz w:val="20"/>
              </w:rPr>
              <w:t>10</w:t>
            </w:r>
          </w:p>
        </w:tc>
        <w:tc>
          <w:tcPr>
            <w:tcW w:w="5386" w:type="dxa"/>
            <w:tcMar>
              <w:top w:w="80" w:type="dxa"/>
              <w:left w:w="90" w:type="dxa"/>
              <w:bottom w:w="80" w:type="dxa"/>
              <w:right w:w="90" w:type="dxa"/>
            </w:tcMar>
            <w:vAlign w:val="center"/>
          </w:tcPr>
          <w:p w14:paraId="5A9ECBA0">
            <w:pPr>
              <w:spacing w:before="0" w:after="0" w:line="288" w:lineRule="auto"/>
              <w:jc w:val="left"/>
            </w:pPr>
            <w:r>
              <w:rPr>
                <w:rFonts w:ascii="仿宋_GB2312" w:hAnsi="仿宋_GB2312" w:eastAsia="仿宋_GB2312"/>
                <w:b w:val="0"/>
                <w:sz w:val="20"/>
              </w:rPr>
              <w:t>高处不系安全带、吊物下站人、设备运行中拆护罩</w:t>
            </w:r>
          </w:p>
        </w:tc>
        <w:tc>
          <w:tcPr>
            <w:tcW w:w="2891" w:type="dxa"/>
            <w:tcMar>
              <w:top w:w="80" w:type="dxa"/>
              <w:left w:w="90" w:type="dxa"/>
              <w:bottom w:w="80" w:type="dxa"/>
              <w:right w:w="90" w:type="dxa"/>
            </w:tcMar>
            <w:vAlign w:val="center"/>
          </w:tcPr>
          <w:p w14:paraId="2E3A07C2">
            <w:pPr>
              <w:spacing w:before="0" w:after="0" w:line="288" w:lineRule="auto"/>
              <w:jc w:val="center"/>
            </w:pPr>
            <w:r>
              <w:rPr>
                <w:rFonts w:ascii="仿宋_GB2312" w:hAnsi="仿宋_GB2312" w:eastAsia="仿宋_GB2312"/>
                <w:b w:val="0"/>
                <w:sz w:val="20"/>
              </w:rPr>
              <w:t>立即停工整改</w:t>
            </w:r>
          </w:p>
        </w:tc>
      </w:tr>
      <w:tr w14:paraId="0938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73E9F845">
            <w:pPr>
              <w:spacing w:before="0" w:after="0" w:line="288" w:lineRule="auto"/>
              <w:jc w:val="center"/>
            </w:pPr>
            <w:r>
              <w:rPr>
                <w:rFonts w:ascii="仿宋_GB2312" w:hAnsi="仿宋_GB2312" w:eastAsia="仿宋_GB2312"/>
                <w:b w:val="0"/>
                <w:sz w:val="20"/>
              </w:rPr>
              <w:t>11</w:t>
            </w:r>
          </w:p>
        </w:tc>
        <w:tc>
          <w:tcPr>
            <w:tcW w:w="5386" w:type="dxa"/>
            <w:tcMar>
              <w:top w:w="80" w:type="dxa"/>
              <w:left w:w="90" w:type="dxa"/>
              <w:bottom w:w="80" w:type="dxa"/>
              <w:right w:w="90" w:type="dxa"/>
            </w:tcMar>
            <w:vAlign w:val="center"/>
          </w:tcPr>
          <w:p w14:paraId="47558B70">
            <w:pPr>
              <w:spacing w:before="0" w:after="0" w:line="288" w:lineRule="auto"/>
              <w:jc w:val="center"/>
            </w:pPr>
            <w:r>
              <w:rPr>
                <w:rFonts w:ascii="仿宋_GB2312" w:hAnsi="仿宋_GB2312" w:eastAsia="仿宋_GB2312"/>
                <w:b w:val="0"/>
                <w:sz w:val="20"/>
              </w:rPr>
              <w:t>无防护进入泄漏区或盲目施救</w:t>
            </w:r>
          </w:p>
        </w:tc>
        <w:tc>
          <w:tcPr>
            <w:tcW w:w="2891" w:type="dxa"/>
            <w:tcMar>
              <w:top w:w="80" w:type="dxa"/>
              <w:left w:w="90" w:type="dxa"/>
              <w:bottom w:w="80" w:type="dxa"/>
              <w:right w:w="90" w:type="dxa"/>
            </w:tcMar>
            <w:vAlign w:val="center"/>
          </w:tcPr>
          <w:p w14:paraId="6F270A79">
            <w:pPr>
              <w:spacing w:before="0" w:after="0" w:line="288" w:lineRule="auto"/>
              <w:jc w:val="center"/>
            </w:pPr>
            <w:r>
              <w:rPr>
                <w:rFonts w:ascii="仿宋_GB2312" w:hAnsi="仿宋_GB2312" w:eastAsia="仿宋_GB2312"/>
                <w:b w:val="0"/>
                <w:sz w:val="20"/>
              </w:rPr>
              <w:t>报警、隔离并等待专业救援</w:t>
            </w:r>
          </w:p>
        </w:tc>
      </w:tr>
      <w:tr w14:paraId="5688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Mar>
              <w:top w:w="80" w:type="dxa"/>
              <w:left w:w="90" w:type="dxa"/>
              <w:bottom w:w="80" w:type="dxa"/>
              <w:right w:w="90" w:type="dxa"/>
            </w:tcMar>
            <w:vAlign w:val="center"/>
          </w:tcPr>
          <w:p w14:paraId="186E04CF">
            <w:pPr>
              <w:spacing w:before="0" w:after="0" w:line="288" w:lineRule="auto"/>
              <w:jc w:val="center"/>
            </w:pPr>
            <w:r>
              <w:rPr>
                <w:rFonts w:ascii="仿宋_GB2312" w:hAnsi="仿宋_GB2312" w:eastAsia="仿宋_GB2312"/>
                <w:b w:val="0"/>
                <w:sz w:val="20"/>
              </w:rPr>
              <w:t>12</w:t>
            </w:r>
          </w:p>
        </w:tc>
        <w:tc>
          <w:tcPr>
            <w:tcW w:w="5386" w:type="dxa"/>
            <w:tcMar>
              <w:top w:w="80" w:type="dxa"/>
              <w:left w:w="90" w:type="dxa"/>
              <w:bottom w:w="80" w:type="dxa"/>
              <w:right w:w="90" w:type="dxa"/>
            </w:tcMar>
            <w:vAlign w:val="center"/>
          </w:tcPr>
          <w:p w14:paraId="3559F355">
            <w:pPr>
              <w:spacing w:before="0" w:after="0" w:line="288" w:lineRule="auto"/>
              <w:jc w:val="left"/>
            </w:pPr>
            <w:r>
              <w:rPr>
                <w:rFonts w:ascii="仿宋_GB2312" w:hAnsi="仿宋_GB2312" w:eastAsia="仿宋_GB2312"/>
                <w:b w:val="0"/>
                <w:sz w:val="20"/>
              </w:rPr>
              <w:t>瞒报迟报事故、伪造记录、代签票证</w:t>
            </w:r>
          </w:p>
        </w:tc>
        <w:tc>
          <w:tcPr>
            <w:tcW w:w="2891" w:type="dxa"/>
            <w:tcMar>
              <w:top w:w="80" w:type="dxa"/>
              <w:left w:w="90" w:type="dxa"/>
              <w:bottom w:w="80" w:type="dxa"/>
              <w:right w:w="90" w:type="dxa"/>
            </w:tcMar>
            <w:vAlign w:val="center"/>
          </w:tcPr>
          <w:p w14:paraId="5DC88567">
            <w:pPr>
              <w:spacing w:before="0" w:after="0" w:line="288" w:lineRule="auto"/>
              <w:jc w:val="center"/>
            </w:pPr>
            <w:r>
              <w:rPr>
                <w:rFonts w:ascii="仿宋_GB2312" w:hAnsi="仿宋_GB2312" w:eastAsia="仿宋_GB2312"/>
                <w:b w:val="0"/>
                <w:sz w:val="20"/>
              </w:rPr>
              <w:t>保护证据并向上级报告</w:t>
            </w:r>
          </w:p>
        </w:tc>
      </w:tr>
    </w:tbl>
    <w:p w14:paraId="5E430DD8">
      <w:pPr>
        <w:spacing w:after="0"/>
      </w:pPr>
    </w:p>
    <w:p w14:paraId="5AAFA471">
      <w:pPr>
        <w:pStyle w:val="3"/>
        <w:keepNext/>
        <w:pageBreakBefore/>
        <w:spacing w:before="0" w:after="200" w:line="360" w:lineRule="auto"/>
        <w:jc w:val="center"/>
      </w:pPr>
      <w:r>
        <w:rPr>
          <w:rFonts w:ascii="方正小标宋简体" w:hAnsi="方正小标宋简体" w:eastAsia="方正小标宋简体"/>
          <w:b/>
          <w:sz w:val="36"/>
        </w:rPr>
        <w:t>附录二  主要负责人和管理人员应知应会清单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2262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14" w:type="dxa"/>
            <w:shd w:val="clear" w:color="auto" w:fill="D9EAF7"/>
            <w:tcMar>
              <w:top w:w="80" w:type="dxa"/>
              <w:left w:w="90" w:type="dxa"/>
              <w:bottom w:w="80" w:type="dxa"/>
              <w:right w:w="90" w:type="dxa"/>
            </w:tcMar>
            <w:vAlign w:val="center"/>
          </w:tcPr>
          <w:p w14:paraId="2D275EAA">
            <w:pPr>
              <w:spacing w:before="0" w:after="0" w:line="288" w:lineRule="auto"/>
              <w:jc w:val="center"/>
            </w:pPr>
            <w:r>
              <w:rPr>
                <w:rFonts w:ascii="仿宋_GB2312" w:hAnsi="仿宋_GB2312" w:eastAsia="仿宋_GB2312"/>
                <w:b/>
                <w:sz w:val="20"/>
              </w:rPr>
              <w:t>模块</w:t>
            </w:r>
          </w:p>
        </w:tc>
        <w:tc>
          <w:tcPr>
            <w:tcW w:w="3572" w:type="dxa"/>
            <w:shd w:val="clear" w:color="auto" w:fill="D9EAF7"/>
            <w:tcMar>
              <w:top w:w="80" w:type="dxa"/>
              <w:left w:w="90" w:type="dxa"/>
              <w:bottom w:w="80" w:type="dxa"/>
              <w:right w:w="90" w:type="dxa"/>
            </w:tcMar>
            <w:vAlign w:val="center"/>
          </w:tcPr>
          <w:p w14:paraId="285F68D3">
            <w:pPr>
              <w:spacing w:before="0" w:after="0" w:line="288" w:lineRule="auto"/>
              <w:jc w:val="center"/>
            </w:pPr>
            <w:r>
              <w:rPr>
                <w:rFonts w:ascii="仿宋_GB2312" w:hAnsi="仿宋_GB2312" w:eastAsia="仿宋_GB2312"/>
                <w:b/>
                <w:sz w:val="20"/>
              </w:rPr>
              <w:t>应知</w:t>
            </w:r>
          </w:p>
        </w:tc>
        <w:tc>
          <w:tcPr>
            <w:tcW w:w="3685" w:type="dxa"/>
            <w:shd w:val="clear" w:color="auto" w:fill="D9EAF7"/>
            <w:tcMar>
              <w:top w:w="80" w:type="dxa"/>
              <w:left w:w="90" w:type="dxa"/>
              <w:bottom w:w="80" w:type="dxa"/>
              <w:right w:w="90" w:type="dxa"/>
            </w:tcMar>
            <w:vAlign w:val="center"/>
          </w:tcPr>
          <w:p w14:paraId="60894AB7">
            <w:pPr>
              <w:spacing w:before="0" w:after="0" w:line="288" w:lineRule="auto"/>
              <w:jc w:val="center"/>
            </w:pPr>
            <w:r>
              <w:rPr>
                <w:rFonts w:ascii="仿宋_GB2312" w:hAnsi="仿宋_GB2312" w:eastAsia="仿宋_GB2312"/>
                <w:b/>
                <w:sz w:val="20"/>
              </w:rPr>
              <w:t>应会</w:t>
            </w:r>
          </w:p>
        </w:tc>
      </w:tr>
      <w:tr w14:paraId="7373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56F5D1C9">
            <w:pPr>
              <w:spacing w:before="0" w:after="0" w:line="288" w:lineRule="auto"/>
              <w:jc w:val="center"/>
            </w:pPr>
            <w:r>
              <w:rPr>
                <w:rFonts w:ascii="仿宋_GB2312" w:hAnsi="仿宋_GB2312" w:eastAsia="仿宋_GB2312"/>
                <w:b w:val="0"/>
                <w:sz w:val="20"/>
              </w:rPr>
              <w:t>安全责任</w:t>
            </w:r>
          </w:p>
        </w:tc>
        <w:tc>
          <w:tcPr>
            <w:tcW w:w="3572" w:type="dxa"/>
            <w:tcMar>
              <w:top w:w="80" w:type="dxa"/>
              <w:left w:w="90" w:type="dxa"/>
              <w:bottom w:w="80" w:type="dxa"/>
              <w:right w:w="90" w:type="dxa"/>
            </w:tcMar>
            <w:vAlign w:val="center"/>
          </w:tcPr>
          <w:p w14:paraId="2FA32012">
            <w:pPr>
              <w:spacing w:before="0" w:after="0" w:line="288" w:lineRule="auto"/>
              <w:jc w:val="left"/>
            </w:pPr>
            <w:r>
              <w:rPr>
                <w:rFonts w:ascii="仿宋_GB2312" w:hAnsi="仿宋_GB2312" w:eastAsia="仿宋_GB2312"/>
                <w:b w:val="0"/>
                <w:sz w:val="20"/>
              </w:rPr>
              <w:t>本岗位法定和企业职责；分管区域重大风险</w:t>
            </w:r>
          </w:p>
        </w:tc>
        <w:tc>
          <w:tcPr>
            <w:tcW w:w="3685" w:type="dxa"/>
            <w:tcMar>
              <w:top w:w="80" w:type="dxa"/>
              <w:left w:w="90" w:type="dxa"/>
              <w:bottom w:w="80" w:type="dxa"/>
              <w:right w:w="90" w:type="dxa"/>
            </w:tcMar>
            <w:vAlign w:val="center"/>
          </w:tcPr>
          <w:p w14:paraId="3F7687CE">
            <w:pPr>
              <w:spacing w:before="0" w:after="0" w:line="288" w:lineRule="auto"/>
              <w:jc w:val="center"/>
            </w:pPr>
            <w:r>
              <w:rPr>
                <w:rFonts w:ascii="仿宋_GB2312" w:hAnsi="仿宋_GB2312" w:eastAsia="仿宋_GB2312"/>
                <w:b w:val="0"/>
                <w:sz w:val="20"/>
              </w:rPr>
              <w:t>组织检查、协调资源、督促闭环</w:t>
            </w:r>
          </w:p>
        </w:tc>
      </w:tr>
      <w:tr w14:paraId="58E91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4BEB0818">
            <w:pPr>
              <w:spacing w:before="0" w:after="0" w:line="288" w:lineRule="auto"/>
              <w:jc w:val="center"/>
            </w:pPr>
            <w:r>
              <w:rPr>
                <w:rFonts w:ascii="仿宋_GB2312" w:hAnsi="仿宋_GB2312" w:eastAsia="仿宋_GB2312"/>
                <w:b w:val="0"/>
                <w:sz w:val="20"/>
              </w:rPr>
              <w:t>风险管控</w:t>
            </w:r>
          </w:p>
        </w:tc>
        <w:tc>
          <w:tcPr>
            <w:tcW w:w="3572" w:type="dxa"/>
            <w:tcMar>
              <w:top w:w="80" w:type="dxa"/>
              <w:left w:w="90" w:type="dxa"/>
              <w:bottom w:w="80" w:type="dxa"/>
              <w:right w:w="90" w:type="dxa"/>
            </w:tcMar>
            <w:vAlign w:val="center"/>
          </w:tcPr>
          <w:p w14:paraId="73EEF9A5">
            <w:pPr>
              <w:spacing w:before="0" w:after="0" w:line="288" w:lineRule="auto"/>
              <w:jc w:val="left"/>
            </w:pPr>
            <w:r>
              <w:rPr>
                <w:rFonts w:ascii="仿宋_GB2312" w:hAnsi="仿宋_GB2312" w:eastAsia="仿宋_GB2312"/>
                <w:b w:val="0"/>
                <w:sz w:val="20"/>
              </w:rPr>
              <w:t>重大危险源、关键装置、重点工艺和事故后果</w:t>
            </w:r>
          </w:p>
        </w:tc>
        <w:tc>
          <w:tcPr>
            <w:tcW w:w="3685" w:type="dxa"/>
            <w:tcMar>
              <w:top w:w="80" w:type="dxa"/>
              <w:left w:w="90" w:type="dxa"/>
              <w:bottom w:w="80" w:type="dxa"/>
              <w:right w:w="90" w:type="dxa"/>
            </w:tcMar>
            <w:vAlign w:val="center"/>
          </w:tcPr>
          <w:p w14:paraId="540A5107">
            <w:pPr>
              <w:spacing w:before="0" w:after="0" w:line="288" w:lineRule="auto"/>
              <w:jc w:val="left"/>
            </w:pPr>
            <w:r>
              <w:rPr>
                <w:rFonts w:ascii="仿宋_GB2312" w:hAnsi="仿宋_GB2312" w:eastAsia="仿宋_GB2312"/>
                <w:b w:val="0"/>
                <w:sz w:val="20"/>
              </w:rPr>
              <w:t>主持风险研判，决定降负荷、停产和人员撤离</w:t>
            </w:r>
          </w:p>
        </w:tc>
      </w:tr>
      <w:tr w14:paraId="62A0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71C24525">
            <w:pPr>
              <w:spacing w:before="0" w:after="0" w:line="288" w:lineRule="auto"/>
              <w:jc w:val="center"/>
            </w:pPr>
            <w:r>
              <w:rPr>
                <w:rFonts w:ascii="仿宋_GB2312" w:hAnsi="仿宋_GB2312" w:eastAsia="仿宋_GB2312"/>
                <w:b w:val="0"/>
                <w:sz w:val="20"/>
              </w:rPr>
              <w:t>隐患治理</w:t>
            </w:r>
          </w:p>
        </w:tc>
        <w:tc>
          <w:tcPr>
            <w:tcW w:w="3572" w:type="dxa"/>
            <w:tcMar>
              <w:top w:w="80" w:type="dxa"/>
              <w:left w:w="90" w:type="dxa"/>
              <w:bottom w:w="80" w:type="dxa"/>
              <w:right w:w="90" w:type="dxa"/>
            </w:tcMar>
            <w:vAlign w:val="center"/>
          </w:tcPr>
          <w:p w14:paraId="6385625C">
            <w:pPr>
              <w:spacing w:before="0" w:after="0" w:line="288" w:lineRule="auto"/>
              <w:jc w:val="center"/>
            </w:pPr>
            <w:r>
              <w:rPr>
                <w:rFonts w:ascii="仿宋_GB2312" w:hAnsi="仿宋_GB2312" w:eastAsia="仿宋_GB2312"/>
                <w:b w:val="0"/>
                <w:sz w:val="20"/>
              </w:rPr>
              <w:t>重大事故隐患判定和报告流程</w:t>
            </w:r>
          </w:p>
        </w:tc>
        <w:tc>
          <w:tcPr>
            <w:tcW w:w="3685" w:type="dxa"/>
            <w:tcMar>
              <w:top w:w="80" w:type="dxa"/>
              <w:left w:w="90" w:type="dxa"/>
              <w:bottom w:w="80" w:type="dxa"/>
              <w:right w:w="90" w:type="dxa"/>
            </w:tcMar>
            <w:vAlign w:val="center"/>
          </w:tcPr>
          <w:p w14:paraId="557C5080">
            <w:pPr>
              <w:spacing w:before="0" w:after="0" w:line="288" w:lineRule="auto"/>
              <w:jc w:val="left"/>
            </w:pPr>
            <w:r>
              <w:rPr>
                <w:rFonts w:ascii="仿宋_GB2312" w:hAnsi="仿宋_GB2312" w:eastAsia="仿宋_GB2312"/>
                <w:b w:val="0"/>
                <w:sz w:val="20"/>
              </w:rPr>
              <w:t>批准治理方案，落实资金、责任和期限</w:t>
            </w:r>
          </w:p>
        </w:tc>
      </w:tr>
      <w:tr w14:paraId="06EF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518EE520">
            <w:pPr>
              <w:spacing w:before="0" w:after="0" w:line="288" w:lineRule="auto"/>
              <w:jc w:val="center"/>
            </w:pPr>
            <w:r>
              <w:rPr>
                <w:rFonts w:ascii="仿宋_GB2312" w:hAnsi="仿宋_GB2312" w:eastAsia="仿宋_GB2312"/>
                <w:b w:val="0"/>
                <w:sz w:val="20"/>
              </w:rPr>
              <w:t>变更管理</w:t>
            </w:r>
          </w:p>
        </w:tc>
        <w:tc>
          <w:tcPr>
            <w:tcW w:w="3572" w:type="dxa"/>
            <w:tcMar>
              <w:top w:w="80" w:type="dxa"/>
              <w:left w:w="90" w:type="dxa"/>
              <w:bottom w:w="80" w:type="dxa"/>
              <w:right w:w="90" w:type="dxa"/>
            </w:tcMar>
            <w:vAlign w:val="center"/>
          </w:tcPr>
          <w:p w14:paraId="27559C39">
            <w:pPr>
              <w:spacing w:before="0" w:after="0" w:line="288" w:lineRule="auto"/>
              <w:jc w:val="left"/>
            </w:pPr>
            <w:r>
              <w:rPr>
                <w:rFonts w:ascii="仿宋_GB2312" w:hAnsi="仿宋_GB2312" w:eastAsia="仿宋_GB2312"/>
                <w:b w:val="0"/>
                <w:sz w:val="20"/>
              </w:rPr>
              <w:t>工艺、设备、人员和组织变更风险</w:t>
            </w:r>
          </w:p>
        </w:tc>
        <w:tc>
          <w:tcPr>
            <w:tcW w:w="3685" w:type="dxa"/>
            <w:tcMar>
              <w:top w:w="80" w:type="dxa"/>
              <w:left w:w="90" w:type="dxa"/>
              <w:bottom w:w="80" w:type="dxa"/>
              <w:right w:w="90" w:type="dxa"/>
            </w:tcMar>
            <w:vAlign w:val="center"/>
          </w:tcPr>
          <w:p w14:paraId="470C8521">
            <w:pPr>
              <w:spacing w:before="0" w:after="0" w:line="288" w:lineRule="auto"/>
              <w:jc w:val="center"/>
            </w:pPr>
            <w:r>
              <w:rPr>
                <w:rFonts w:ascii="仿宋_GB2312" w:hAnsi="仿宋_GB2312" w:eastAsia="仿宋_GB2312"/>
                <w:b w:val="0"/>
                <w:sz w:val="20"/>
              </w:rPr>
              <w:t>组织评估、审批、验收和培训</w:t>
            </w:r>
          </w:p>
        </w:tc>
      </w:tr>
      <w:tr w14:paraId="5A4E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7ABB27DC">
            <w:pPr>
              <w:spacing w:before="0" w:after="0" w:line="288" w:lineRule="auto"/>
              <w:jc w:val="center"/>
            </w:pPr>
            <w:r>
              <w:rPr>
                <w:rFonts w:ascii="仿宋_GB2312" w:hAnsi="仿宋_GB2312" w:eastAsia="仿宋_GB2312"/>
                <w:b w:val="0"/>
                <w:sz w:val="20"/>
              </w:rPr>
              <w:t>承包商</w:t>
            </w:r>
          </w:p>
        </w:tc>
        <w:tc>
          <w:tcPr>
            <w:tcW w:w="3572" w:type="dxa"/>
            <w:tcMar>
              <w:top w:w="80" w:type="dxa"/>
              <w:left w:w="90" w:type="dxa"/>
              <w:bottom w:w="80" w:type="dxa"/>
              <w:right w:w="90" w:type="dxa"/>
            </w:tcMar>
            <w:vAlign w:val="center"/>
          </w:tcPr>
          <w:p w14:paraId="4D2BE55A">
            <w:pPr>
              <w:spacing w:before="0" w:after="0" w:line="288" w:lineRule="auto"/>
              <w:jc w:val="left"/>
            </w:pPr>
            <w:r>
              <w:rPr>
                <w:rFonts w:ascii="仿宋_GB2312" w:hAnsi="仿宋_GB2312" w:eastAsia="仿宋_GB2312"/>
                <w:b w:val="0"/>
                <w:sz w:val="20"/>
              </w:rPr>
              <w:t>资质、人员、作业范围和属地责任</w:t>
            </w:r>
          </w:p>
        </w:tc>
        <w:tc>
          <w:tcPr>
            <w:tcW w:w="3685" w:type="dxa"/>
            <w:tcMar>
              <w:top w:w="80" w:type="dxa"/>
              <w:left w:w="90" w:type="dxa"/>
              <w:bottom w:w="80" w:type="dxa"/>
              <w:right w:w="90" w:type="dxa"/>
            </w:tcMar>
            <w:vAlign w:val="center"/>
          </w:tcPr>
          <w:p w14:paraId="266A7208">
            <w:pPr>
              <w:spacing w:before="0" w:after="0" w:line="288" w:lineRule="auto"/>
              <w:jc w:val="center"/>
            </w:pPr>
            <w:r>
              <w:rPr>
                <w:rFonts w:ascii="仿宋_GB2312" w:hAnsi="仿宋_GB2312" w:eastAsia="仿宋_GB2312"/>
                <w:b w:val="0"/>
                <w:sz w:val="20"/>
              </w:rPr>
              <w:t>组织准入审查和现场监督</w:t>
            </w:r>
          </w:p>
        </w:tc>
      </w:tr>
      <w:tr w14:paraId="76A8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3E10DE63">
            <w:pPr>
              <w:spacing w:before="0" w:after="0" w:line="288" w:lineRule="auto"/>
              <w:jc w:val="center"/>
            </w:pPr>
            <w:r>
              <w:rPr>
                <w:rFonts w:ascii="仿宋_GB2312" w:hAnsi="仿宋_GB2312" w:eastAsia="仿宋_GB2312"/>
                <w:b w:val="0"/>
                <w:sz w:val="20"/>
              </w:rPr>
              <w:t>应急管理</w:t>
            </w:r>
          </w:p>
        </w:tc>
        <w:tc>
          <w:tcPr>
            <w:tcW w:w="3572" w:type="dxa"/>
            <w:tcMar>
              <w:top w:w="80" w:type="dxa"/>
              <w:left w:w="90" w:type="dxa"/>
              <w:bottom w:w="80" w:type="dxa"/>
              <w:right w:w="90" w:type="dxa"/>
            </w:tcMar>
            <w:vAlign w:val="center"/>
          </w:tcPr>
          <w:p w14:paraId="7B6DAB51">
            <w:pPr>
              <w:spacing w:before="0" w:after="0" w:line="288" w:lineRule="auto"/>
              <w:jc w:val="left"/>
            </w:pPr>
            <w:r>
              <w:rPr>
                <w:rFonts w:ascii="仿宋_GB2312" w:hAnsi="仿宋_GB2312" w:eastAsia="仿宋_GB2312"/>
                <w:b w:val="0"/>
                <w:sz w:val="20"/>
              </w:rPr>
              <w:t>预案、队伍、物资、外部联络和信息报告</w:t>
            </w:r>
          </w:p>
        </w:tc>
        <w:tc>
          <w:tcPr>
            <w:tcW w:w="3685" w:type="dxa"/>
            <w:tcMar>
              <w:top w:w="80" w:type="dxa"/>
              <w:left w:w="90" w:type="dxa"/>
              <w:bottom w:w="80" w:type="dxa"/>
              <w:right w:w="90" w:type="dxa"/>
            </w:tcMar>
            <w:vAlign w:val="center"/>
          </w:tcPr>
          <w:p w14:paraId="0329B19C">
            <w:pPr>
              <w:spacing w:before="0" w:after="0" w:line="288" w:lineRule="auto"/>
              <w:jc w:val="left"/>
            </w:pPr>
            <w:r>
              <w:rPr>
                <w:rFonts w:ascii="仿宋_GB2312" w:hAnsi="仿宋_GB2312" w:eastAsia="仿宋_GB2312"/>
                <w:b w:val="0"/>
                <w:sz w:val="20"/>
              </w:rPr>
              <w:t>启动响应、统一指挥、组织复盘改进</w:t>
            </w:r>
          </w:p>
        </w:tc>
      </w:tr>
    </w:tbl>
    <w:p w14:paraId="28885F4A">
      <w:pPr>
        <w:spacing w:after="0"/>
      </w:pPr>
    </w:p>
    <w:p w14:paraId="55D3B926">
      <w:pPr>
        <w:pStyle w:val="3"/>
        <w:keepNext/>
        <w:pageBreakBefore/>
        <w:spacing w:before="0" w:after="200" w:line="360" w:lineRule="auto"/>
        <w:jc w:val="center"/>
      </w:pPr>
      <w:r>
        <w:rPr>
          <w:rFonts w:ascii="方正小标宋简体" w:hAnsi="方正小标宋简体" w:eastAsia="方正小标宋简体"/>
          <w:b/>
          <w:sz w:val="36"/>
        </w:rPr>
        <w:t>附录三  生产操作岗位应知应会清单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3211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shd w:val="clear" w:color="auto" w:fill="D9EAF7"/>
            <w:tcMar>
              <w:top w:w="80" w:type="dxa"/>
              <w:left w:w="90" w:type="dxa"/>
              <w:bottom w:w="80" w:type="dxa"/>
              <w:right w:w="90" w:type="dxa"/>
            </w:tcMar>
            <w:vAlign w:val="center"/>
          </w:tcPr>
          <w:p w14:paraId="587C9214">
            <w:pPr>
              <w:spacing w:before="0" w:after="0" w:line="288" w:lineRule="auto"/>
              <w:jc w:val="center"/>
            </w:pPr>
            <w:r>
              <w:rPr>
                <w:rFonts w:ascii="仿宋_GB2312" w:hAnsi="仿宋_GB2312" w:eastAsia="仿宋_GB2312"/>
                <w:b/>
                <w:sz w:val="20"/>
              </w:rPr>
              <w:t>项目</w:t>
            </w:r>
          </w:p>
        </w:tc>
        <w:tc>
          <w:tcPr>
            <w:tcW w:w="3685" w:type="dxa"/>
            <w:shd w:val="clear" w:color="auto" w:fill="D9EAF7"/>
            <w:tcMar>
              <w:top w:w="80" w:type="dxa"/>
              <w:left w:w="90" w:type="dxa"/>
              <w:bottom w:w="80" w:type="dxa"/>
              <w:right w:w="90" w:type="dxa"/>
            </w:tcMar>
            <w:vAlign w:val="center"/>
          </w:tcPr>
          <w:p w14:paraId="355244B2">
            <w:pPr>
              <w:spacing w:before="0" w:after="0" w:line="288" w:lineRule="auto"/>
              <w:jc w:val="center"/>
            </w:pPr>
            <w:r>
              <w:rPr>
                <w:rFonts w:ascii="仿宋_GB2312" w:hAnsi="仿宋_GB2312" w:eastAsia="仿宋_GB2312"/>
                <w:b/>
                <w:sz w:val="20"/>
              </w:rPr>
              <w:t>应知</w:t>
            </w:r>
          </w:p>
        </w:tc>
        <w:tc>
          <w:tcPr>
            <w:tcW w:w="3685" w:type="dxa"/>
            <w:shd w:val="clear" w:color="auto" w:fill="D9EAF7"/>
            <w:tcMar>
              <w:top w:w="80" w:type="dxa"/>
              <w:left w:w="90" w:type="dxa"/>
              <w:bottom w:w="80" w:type="dxa"/>
              <w:right w:w="90" w:type="dxa"/>
            </w:tcMar>
            <w:vAlign w:val="center"/>
          </w:tcPr>
          <w:p w14:paraId="57DCF798">
            <w:pPr>
              <w:spacing w:before="0" w:after="0" w:line="288" w:lineRule="auto"/>
              <w:jc w:val="center"/>
            </w:pPr>
            <w:r>
              <w:rPr>
                <w:rFonts w:ascii="仿宋_GB2312" w:hAnsi="仿宋_GB2312" w:eastAsia="仿宋_GB2312"/>
                <w:b/>
                <w:sz w:val="20"/>
              </w:rPr>
              <w:t>应会</w:t>
            </w:r>
          </w:p>
        </w:tc>
      </w:tr>
      <w:tr w14:paraId="4339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7568CABC">
            <w:pPr>
              <w:spacing w:before="0" w:after="0" w:line="288" w:lineRule="auto"/>
              <w:jc w:val="center"/>
            </w:pPr>
            <w:r>
              <w:rPr>
                <w:rFonts w:ascii="仿宋_GB2312" w:hAnsi="仿宋_GB2312" w:eastAsia="仿宋_GB2312"/>
                <w:b w:val="0"/>
                <w:sz w:val="20"/>
              </w:rPr>
              <w:t>物料</w:t>
            </w:r>
          </w:p>
        </w:tc>
        <w:tc>
          <w:tcPr>
            <w:tcW w:w="3685" w:type="dxa"/>
            <w:tcMar>
              <w:top w:w="80" w:type="dxa"/>
              <w:left w:w="90" w:type="dxa"/>
              <w:bottom w:w="80" w:type="dxa"/>
              <w:right w:w="90" w:type="dxa"/>
            </w:tcMar>
            <w:vAlign w:val="center"/>
          </w:tcPr>
          <w:p w14:paraId="0CBB3C22">
            <w:pPr>
              <w:spacing w:before="0" w:after="0" w:line="288" w:lineRule="auto"/>
              <w:jc w:val="center"/>
            </w:pPr>
            <w:r>
              <w:rPr>
                <w:rFonts w:ascii="仿宋_GB2312" w:hAnsi="仿宋_GB2312" w:eastAsia="仿宋_GB2312"/>
                <w:b w:val="0"/>
                <w:sz w:val="20"/>
              </w:rPr>
              <w:t>物料危险性、禁忌和防护</w:t>
            </w:r>
          </w:p>
        </w:tc>
        <w:tc>
          <w:tcPr>
            <w:tcW w:w="3685" w:type="dxa"/>
            <w:tcMar>
              <w:top w:w="80" w:type="dxa"/>
              <w:left w:w="90" w:type="dxa"/>
              <w:bottom w:w="80" w:type="dxa"/>
              <w:right w:w="90" w:type="dxa"/>
            </w:tcMar>
            <w:vAlign w:val="center"/>
          </w:tcPr>
          <w:p w14:paraId="74E02BEE">
            <w:pPr>
              <w:spacing w:before="0" w:after="0" w:line="288" w:lineRule="auto"/>
              <w:jc w:val="left"/>
            </w:pPr>
            <w:r>
              <w:rPr>
                <w:rFonts w:ascii="仿宋_GB2312" w:hAnsi="仿宋_GB2312" w:eastAsia="仿宋_GB2312"/>
                <w:b w:val="0"/>
                <w:sz w:val="20"/>
              </w:rPr>
              <w:t>识别标签和异常物料，查阅安全技术说明书</w:t>
            </w:r>
          </w:p>
        </w:tc>
      </w:tr>
      <w:tr w14:paraId="1301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D9AF601">
            <w:pPr>
              <w:spacing w:before="0" w:after="0" w:line="288" w:lineRule="auto"/>
              <w:jc w:val="center"/>
            </w:pPr>
            <w:r>
              <w:rPr>
                <w:rFonts w:ascii="仿宋_GB2312" w:hAnsi="仿宋_GB2312" w:eastAsia="仿宋_GB2312"/>
                <w:b w:val="0"/>
                <w:sz w:val="20"/>
              </w:rPr>
              <w:t>流程</w:t>
            </w:r>
          </w:p>
        </w:tc>
        <w:tc>
          <w:tcPr>
            <w:tcW w:w="3685" w:type="dxa"/>
            <w:tcMar>
              <w:top w:w="80" w:type="dxa"/>
              <w:left w:w="90" w:type="dxa"/>
              <w:bottom w:w="80" w:type="dxa"/>
              <w:right w:w="90" w:type="dxa"/>
            </w:tcMar>
            <w:vAlign w:val="center"/>
          </w:tcPr>
          <w:p w14:paraId="0BC1207F">
            <w:pPr>
              <w:spacing w:before="0" w:after="0" w:line="288" w:lineRule="auto"/>
              <w:jc w:val="left"/>
            </w:pPr>
            <w:r>
              <w:rPr>
                <w:rFonts w:ascii="仿宋_GB2312" w:hAnsi="仿宋_GB2312" w:eastAsia="仿宋_GB2312"/>
                <w:b w:val="0"/>
                <w:sz w:val="20"/>
              </w:rPr>
              <w:t>设备位号、管线去向、阀门和流程</w:t>
            </w:r>
          </w:p>
        </w:tc>
        <w:tc>
          <w:tcPr>
            <w:tcW w:w="3685" w:type="dxa"/>
            <w:tcMar>
              <w:top w:w="80" w:type="dxa"/>
              <w:left w:w="90" w:type="dxa"/>
              <w:bottom w:w="80" w:type="dxa"/>
              <w:right w:w="90" w:type="dxa"/>
            </w:tcMar>
            <w:vAlign w:val="center"/>
          </w:tcPr>
          <w:p w14:paraId="7F657496">
            <w:pPr>
              <w:spacing w:before="0" w:after="0" w:line="288" w:lineRule="auto"/>
              <w:jc w:val="left"/>
            </w:pPr>
            <w:r>
              <w:rPr>
                <w:rFonts w:ascii="仿宋_GB2312" w:hAnsi="仿宋_GB2312" w:eastAsia="仿宋_GB2312"/>
                <w:b w:val="0"/>
                <w:sz w:val="20"/>
              </w:rPr>
              <w:t>按流程核对并完成切换、投料和转料</w:t>
            </w:r>
          </w:p>
        </w:tc>
      </w:tr>
      <w:tr w14:paraId="7ACF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62BAC529">
            <w:pPr>
              <w:spacing w:before="0" w:after="0" w:line="288" w:lineRule="auto"/>
              <w:jc w:val="center"/>
            </w:pPr>
            <w:r>
              <w:rPr>
                <w:rFonts w:ascii="仿宋_GB2312" w:hAnsi="仿宋_GB2312" w:eastAsia="仿宋_GB2312"/>
                <w:b w:val="0"/>
                <w:sz w:val="20"/>
              </w:rPr>
              <w:t>参数</w:t>
            </w:r>
          </w:p>
        </w:tc>
        <w:tc>
          <w:tcPr>
            <w:tcW w:w="3685" w:type="dxa"/>
            <w:tcMar>
              <w:top w:w="80" w:type="dxa"/>
              <w:left w:w="90" w:type="dxa"/>
              <w:bottom w:w="80" w:type="dxa"/>
              <w:right w:w="90" w:type="dxa"/>
            </w:tcMar>
            <w:vAlign w:val="center"/>
          </w:tcPr>
          <w:p w14:paraId="1E1E79D8">
            <w:pPr>
              <w:spacing w:before="0" w:after="0" w:line="288" w:lineRule="auto"/>
              <w:jc w:val="left"/>
            </w:pPr>
            <w:r>
              <w:rPr>
                <w:rFonts w:ascii="仿宋_GB2312" w:hAnsi="仿宋_GB2312" w:eastAsia="仿宋_GB2312"/>
                <w:b w:val="0"/>
                <w:sz w:val="20"/>
              </w:rPr>
              <w:t>正常范围、报警值、联锁和停车值</w:t>
            </w:r>
          </w:p>
        </w:tc>
        <w:tc>
          <w:tcPr>
            <w:tcW w:w="3685" w:type="dxa"/>
            <w:tcMar>
              <w:top w:w="80" w:type="dxa"/>
              <w:left w:w="90" w:type="dxa"/>
              <w:bottom w:w="80" w:type="dxa"/>
              <w:right w:w="90" w:type="dxa"/>
            </w:tcMar>
            <w:vAlign w:val="center"/>
          </w:tcPr>
          <w:p w14:paraId="3C32D2A5">
            <w:pPr>
              <w:spacing w:before="0" w:after="0" w:line="288" w:lineRule="auto"/>
              <w:jc w:val="center"/>
            </w:pPr>
            <w:r>
              <w:rPr>
                <w:rFonts w:ascii="仿宋_GB2312" w:hAnsi="仿宋_GB2312" w:eastAsia="仿宋_GB2312"/>
                <w:b w:val="0"/>
                <w:sz w:val="20"/>
              </w:rPr>
              <w:t>识别趋势异常并按规程处理</w:t>
            </w:r>
          </w:p>
        </w:tc>
      </w:tr>
      <w:tr w14:paraId="12B2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6C1C6A98">
            <w:pPr>
              <w:spacing w:before="0" w:after="0" w:line="288" w:lineRule="auto"/>
              <w:jc w:val="center"/>
            </w:pPr>
            <w:r>
              <w:rPr>
                <w:rFonts w:ascii="仿宋_GB2312" w:hAnsi="仿宋_GB2312" w:eastAsia="仿宋_GB2312"/>
                <w:b w:val="0"/>
                <w:sz w:val="20"/>
              </w:rPr>
              <w:t>巡检</w:t>
            </w:r>
          </w:p>
        </w:tc>
        <w:tc>
          <w:tcPr>
            <w:tcW w:w="3685" w:type="dxa"/>
            <w:tcMar>
              <w:top w:w="80" w:type="dxa"/>
              <w:left w:w="90" w:type="dxa"/>
              <w:bottom w:w="80" w:type="dxa"/>
              <w:right w:w="90" w:type="dxa"/>
            </w:tcMar>
            <w:vAlign w:val="center"/>
          </w:tcPr>
          <w:p w14:paraId="6A1B4D59">
            <w:pPr>
              <w:spacing w:before="0" w:after="0" w:line="288" w:lineRule="auto"/>
              <w:jc w:val="left"/>
            </w:pPr>
            <w:r>
              <w:rPr>
                <w:rFonts w:ascii="仿宋_GB2312" w:hAnsi="仿宋_GB2312" w:eastAsia="仿宋_GB2312"/>
                <w:b w:val="0"/>
                <w:sz w:val="20"/>
              </w:rPr>
              <w:t>泄漏、振动、温度、压力和仪表状态</w:t>
            </w:r>
          </w:p>
        </w:tc>
        <w:tc>
          <w:tcPr>
            <w:tcW w:w="3685" w:type="dxa"/>
            <w:tcMar>
              <w:top w:w="80" w:type="dxa"/>
              <w:left w:w="90" w:type="dxa"/>
              <w:bottom w:w="80" w:type="dxa"/>
              <w:right w:w="90" w:type="dxa"/>
            </w:tcMar>
            <w:vAlign w:val="center"/>
          </w:tcPr>
          <w:p w14:paraId="3AC3CCFA">
            <w:pPr>
              <w:spacing w:before="0" w:after="0" w:line="288" w:lineRule="auto"/>
              <w:jc w:val="left"/>
            </w:pPr>
            <w:r>
              <w:rPr>
                <w:rFonts w:ascii="仿宋_GB2312" w:hAnsi="仿宋_GB2312" w:eastAsia="仿宋_GB2312"/>
                <w:b w:val="0"/>
                <w:sz w:val="20"/>
              </w:rPr>
              <w:t>现场确认、记录、报告和临时隔离</w:t>
            </w:r>
          </w:p>
        </w:tc>
      </w:tr>
      <w:tr w14:paraId="11EC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7C443E4F">
            <w:pPr>
              <w:spacing w:before="0" w:after="0" w:line="288" w:lineRule="auto"/>
              <w:jc w:val="center"/>
            </w:pPr>
            <w:r>
              <w:rPr>
                <w:rFonts w:ascii="仿宋_GB2312" w:hAnsi="仿宋_GB2312" w:eastAsia="仿宋_GB2312"/>
                <w:b w:val="0"/>
                <w:sz w:val="20"/>
              </w:rPr>
              <w:t>异常</w:t>
            </w:r>
          </w:p>
        </w:tc>
        <w:tc>
          <w:tcPr>
            <w:tcW w:w="3685" w:type="dxa"/>
            <w:tcMar>
              <w:top w:w="80" w:type="dxa"/>
              <w:left w:w="90" w:type="dxa"/>
              <w:bottom w:w="80" w:type="dxa"/>
              <w:right w:w="90" w:type="dxa"/>
            </w:tcMar>
            <w:vAlign w:val="center"/>
          </w:tcPr>
          <w:p w14:paraId="6C9E10F5">
            <w:pPr>
              <w:spacing w:before="0" w:after="0" w:line="288" w:lineRule="auto"/>
              <w:jc w:val="left"/>
            </w:pPr>
            <w:r>
              <w:rPr>
                <w:rFonts w:ascii="仿宋_GB2312" w:hAnsi="仿宋_GB2312" w:eastAsia="仿宋_GB2312"/>
                <w:b w:val="0"/>
                <w:sz w:val="20"/>
              </w:rPr>
              <w:t>冷却、搅拌、停电、泄漏、超温超压</w:t>
            </w:r>
          </w:p>
        </w:tc>
        <w:tc>
          <w:tcPr>
            <w:tcW w:w="3685" w:type="dxa"/>
            <w:tcMar>
              <w:top w:w="80" w:type="dxa"/>
              <w:left w:w="90" w:type="dxa"/>
              <w:bottom w:w="80" w:type="dxa"/>
              <w:right w:w="90" w:type="dxa"/>
            </w:tcMar>
            <w:vAlign w:val="center"/>
          </w:tcPr>
          <w:p w14:paraId="51BFB711">
            <w:pPr>
              <w:spacing w:before="0" w:after="0" w:line="288" w:lineRule="auto"/>
              <w:jc w:val="left"/>
            </w:pPr>
            <w:r>
              <w:rPr>
                <w:rFonts w:ascii="仿宋_GB2312" w:hAnsi="仿宋_GB2312" w:eastAsia="仿宋_GB2312"/>
                <w:b w:val="0"/>
                <w:sz w:val="20"/>
              </w:rPr>
              <w:t>停止加料、切断热源、报警和撤离</w:t>
            </w:r>
          </w:p>
        </w:tc>
      </w:tr>
      <w:tr w14:paraId="4E01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69A4D8B3">
            <w:pPr>
              <w:spacing w:before="0" w:after="0" w:line="288" w:lineRule="auto"/>
              <w:jc w:val="center"/>
            </w:pPr>
            <w:r>
              <w:rPr>
                <w:rFonts w:ascii="仿宋_GB2312" w:hAnsi="仿宋_GB2312" w:eastAsia="仿宋_GB2312"/>
                <w:b w:val="0"/>
                <w:sz w:val="20"/>
              </w:rPr>
              <w:t>交接班</w:t>
            </w:r>
          </w:p>
        </w:tc>
        <w:tc>
          <w:tcPr>
            <w:tcW w:w="3685" w:type="dxa"/>
            <w:tcMar>
              <w:top w:w="80" w:type="dxa"/>
              <w:left w:w="90" w:type="dxa"/>
              <w:bottom w:w="80" w:type="dxa"/>
              <w:right w:w="90" w:type="dxa"/>
            </w:tcMar>
            <w:vAlign w:val="center"/>
          </w:tcPr>
          <w:p w14:paraId="5D146AFB">
            <w:pPr>
              <w:spacing w:before="0" w:after="0" w:line="288" w:lineRule="auto"/>
              <w:jc w:val="left"/>
            </w:pPr>
            <w:r>
              <w:rPr>
                <w:rFonts w:ascii="仿宋_GB2312" w:hAnsi="仿宋_GB2312" w:eastAsia="仿宋_GB2312"/>
                <w:b w:val="0"/>
                <w:sz w:val="20"/>
              </w:rPr>
              <w:t>在用设备、特殊作业、隔离点和未完成事项</w:t>
            </w:r>
          </w:p>
        </w:tc>
        <w:tc>
          <w:tcPr>
            <w:tcW w:w="3685" w:type="dxa"/>
            <w:tcMar>
              <w:top w:w="80" w:type="dxa"/>
              <w:left w:w="90" w:type="dxa"/>
              <w:bottom w:w="80" w:type="dxa"/>
              <w:right w:w="90" w:type="dxa"/>
            </w:tcMar>
            <w:vAlign w:val="center"/>
          </w:tcPr>
          <w:p w14:paraId="348B22EC">
            <w:pPr>
              <w:spacing w:before="0" w:after="0" w:line="288" w:lineRule="auto"/>
              <w:jc w:val="center"/>
            </w:pPr>
            <w:r>
              <w:rPr>
                <w:rFonts w:ascii="仿宋_GB2312" w:hAnsi="仿宋_GB2312" w:eastAsia="仿宋_GB2312"/>
                <w:b w:val="0"/>
                <w:sz w:val="20"/>
              </w:rPr>
              <w:t>面对面交清并签字确认</w:t>
            </w:r>
          </w:p>
        </w:tc>
      </w:tr>
    </w:tbl>
    <w:p w14:paraId="3809D4F7">
      <w:pPr>
        <w:spacing w:after="0"/>
      </w:pPr>
    </w:p>
    <w:p w14:paraId="4E03065A">
      <w:pPr>
        <w:pStyle w:val="3"/>
        <w:keepNext/>
        <w:pageBreakBefore/>
        <w:spacing w:before="0" w:after="200" w:line="360" w:lineRule="auto"/>
        <w:jc w:val="center"/>
      </w:pPr>
      <w:r>
        <w:rPr>
          <w:rFonts w:ascii="方正小标宋简体" w:hAnsi="方正小标宋简体" w:eastAsia="方正小标宋简体"/>
          <w:b/>
          <w:sz w:val="36"/>
        </w:rPr>
        <w:t>附录四  仓储、罐区和装卸岗位应知应会清单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1A17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shd w:val="clear" w:color="auto" w:fill="D9EAF7"/>
            <w:tcMar>
              <w:top w:w="80" w:type="dxa"/>
              <w:left w:w="90" w:type="dxa"/>
              <w:bottom w:w="80" w:type="dxa"/>
              <w:right w:w="90" w:type="dxa"/>
            </w:tcMar>
            <w:vAlign w:val="center"/>
          </w:tcPr>
          <w:p w14:paraId="3EBE0759">
            <w:pPr>
              <w:spacing w:before="0" w:after="0" w:line="288" w:lineRule="auto"/>
              <w:jc w:val="center"/>
            </w:pPr>
            <w:r>
              <w:rPr>
                <w:rFonts w:ascii="仿宋_GB2312" w:hAnsi="仿宋_GB2312" w:eastAsia="仿宋_GB2312"/>
                <w:b/>
                <w:sz w:val="20"/>
              </w:rPr>
              <w:t>项目</w:t>
            </w:r>
          </w:p>
        </w:tc>
        <w:tc>
          <w:tcPr>
            <w:tcW w:w="3685" w:type="dxa"/>
            <w:shd w:val="clear" w:color="auto" w:fill="D9EAF7"/>
            <w:tcMar>
              <w:top w:w="80" w:type="dxa"/>
              <w:left w:w="90" w:type="dxa"/>
              <w:bottom w:w="80" w:type="dxa"/>
              <w:right w:w="90" w:type="dxa"/>
            </w:tcMar>
            <w:vAlign w:val="center"/>
          </w:tcPr>
          <w:p w14:paraId="4273F71D">
            <w:pPr>
              <w:spacing w:before="0" w:after="0" w:line="288" w:lineRule="auto"/>
              <w:jc w:val="center"/>
            </w:pPr>
            <w:r>
              <w:rPr>
                <w:rFonts w:ascii="仿宋_GB2312" w:hAnsi="仿宋_GB2312" w:eastAsia="仿宋_GB2312"/>
                <w:b/>
                <w:sz w:val="20"/>
              </w:rPr>
              <w:t>应知</w:t>
            </w:r>
          </w:p>
        </w:tc>
        <w:tc>
          <w:tcPr>
            <w:tcW w:w="3685" w:type="dxa"/>
            <w:shd w:val="clear" w:color="auto" w:fill="D9EAF7"/>
            <w:tcMar>
              <w:top w:w="80" w:type="dxa"/>
              <w:left w:w="90" w:type="dxa"/>
              <w:bottom w:w="80" w:type="dxa"/>
              <w:right w:w="90" w:type="dxa"/>
            </w:tcMar>
            <w:vAlign w:val="center"/>
          </w:tcPr>
          <w:p w14:paraId="74EFAAD2">
            <w:pPr>
              <w:spacing w:before="0" w:after="0" w:line="288" w:lineRule="auto"/>
              <w:jc w:val="center"/>
            </w:pPr>
            <w:r>
              <w:rPr>
                <w:rFonts w:ascii="仿宋_GB2312" w:hAnsi="仿宋_GB2312" w:eastAsia="仿宋_GB2312"/>
                <w:b/>
                <w:sz w:val="20"/>
              </w:rPr>
              <w:t>应会</w:t>
            </w:r>
          </w:p>
        </w:tc>
      </w:tr>
      <w:tr w14:paraId="751E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0C56E9E">
            <w:pPr>
              <w:spacing w:before="0" w:after="0" w:line="288" w:lineRule="auto"/>
              <w:jc w:val="center"/>
            </w:pPr>
            <w:r>
              <w:rPr>
                <w:rFonts w:ascii="仿宋_GB2312" w:hAnsi="仿宋_GB2312" w:eastAsia="仿宋_GB2312"/>
                <w:b w:val="0"/>
                <w:sz w:val="20"/>
              </w:rPr>
              <w:t>收货验收</w:t>
            </w:r>
          </w:p>
        </w:tc>
        <w:tc>
          <w:tcPr>
            <w:tcW w:w="3685" w:type="dxa"/>
            <w:tcMar>
              <w:top w:w="80" w:type="dxa"/>
              <w:left w:w="90" w:type="dxa"/>
              <w:bottom w:w="80" w:type="dxa"/>
              <w:right w:w="90" w:type="dxa"/>
            </w:tcMar>
            <w:vAlign w:val="center"/>
          </w:tcPr>
          <w:p w14:paraId="29BE0981">
            <w:pPr>
              <w:spacing w:before="0" w:after="0" w:line="288" w:lineRule="auto"/>
              <w:jc w:val="left"/>
            </w:pPr>
            <w:r>
              <w:rPr>
                <w:rFonts w:ascii="仿宋_GB2312" w:hAnsi="仿宋_GB2312" w:eastAsia="仿宋_GB2312"/>
                <w:b w:val="0"/>
                <w:sz w:val="20"/>
              </w:rPr>
              <w:t>品名、数量、包装、车辆和单据要求</w:t>
            </w:r>
          </w:p>
        </w:tc>
        <w:tc>
          <w:tcPr>
            <w:tcW w:w="3685" w:type="dxa"/>
            <w:tcMar>
              <w:top w:w="80" w:type="dxa"/>
              <w:left w:w="90" w:type="dxa"/>
              <w:bottom w:w="80" w:type="dxa"/>
              <w:right w:w="90" w:type="dxa"/>
            </w:tcMar>
            <w:vAlign w:val="center"/>
          </w:tcPr>
          <w:p w14:paraId="080790CA">
            <w:pPr>
              <w:spacing w:before="0" w:after="0" w:line="288" w:lineRule="auto"/>
              <w:jc w:val="left"/>
            </w:pPr>
            <w:r>
              <w:rPr>
                <w:rFonts w:ascii="仿宋_GB2312" w:hAnsi="仿宋_GB2312" w:eastAsia="仿宋_GB2312"/>
                <w:b w:val="0"/>
                <w:sz w:val="20"/>
              </w:rPr>
              <w:t>发现破损、泄漏、错料时隔离并报告</w:t>
            </w:r>
          </w:p>
        </w:tc>
      </w:tr>
      <w:tr w14:paraId="15C6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7E936F52">
            <w:pPr>
              <w:spacing w:before="0" w:after="0" w:line="288" w:lineRule="auto"/>
              <w:jc w:val="center"/>
            </w:pPr>
            <w:r>
              <w:rPr>
                <w:rFonts w:ascii="仿宋_GB2312" w:hAnsi="仿宋_GB2312" w:eastAsia="仿宋_GB2312"/>
                <w:b w:val="0"/>
                <w:sz w:val="20"/>
              </w:rPr>
              <w:t>分类储存</w:t>
            </w:r>
          </w:p>
        </w:tc>
        <w:tc>
          <w:tcPr>
            <w:tcW w:w="3685" w:type="dxa"/>
            <w:tcMar>
              <w:top w:w="80" w:type="dxa"/>
              <w:left w:w="90" w:type="dxa"/>
              <w:bottom w:w="80" w:type="dxa"/>
              <w:right w:w="90" w:type="dxa"/>
            </w:tcMar>
            <w:vAlign w:val="center"/>
          </w:tcPr>
          <w:p w14:paraId="00AAEC77">
            <w:pPr>
              <w:spacing w:before="0" w:after="0" w:line="288" w:lineRule="auto"/>
              <w:jc w:val="left"/>
            </w:pPr>
            <w:r>
              <w:rPr>
                <w:rFonts w:ascii="仿宋_GB2312" w:hAnsi="仿宋_GB2312" w:eastAsia="仿宋_GB2312"/>
                <w:b w:val="0"/>
                <w:sz w:val="20"/>
              </w:rPr>
              <w:t>禁忌物料、分区、限量和温控要求</w:t>
            </w:r>
          </w:p>
        </w:tc>
        <w:tc>
          <w:tcPr>
            <w:tcW w:w="3685" w:type="dxa"/>
            <w:tcMar>
              <w:top w:w="80" w:type="dxa"/>
              <w:left w:w="90" w:type="dxa"/>
              <w:bottom w:w="80" w:type="dxa"/>
              <w:right w:w="90" w:type="dxa"/>
            </w:tcMar>
            <w:vAlign w:val="center"/>
          </w:tcPr>
          <w:p w14:paraId="43FBC3B8">
            <w:pPr>
              <w:spacing w:before="0" w:after="0" w:line="288" w:lineRule="auto"/>
              <w:jc w:val="center"/>
            </w:pPr>
            <w:r>
              <w:rPr>
                <w:rFonts w:ascii="仿宋_GB2312" w:hAnsi="仿宋_GB2312" w:eastAsia="仿宋_GB2312"/>
                <w:b w:val="0"/>
                <w:sz w:val="20"/>
              </w:rPr>
              <w:t>正确摆放、标识、盘点和检查</w:t>
            </w:r>
          </w:p>
        </w:tc>
      </w:tr>
      <w:tr w14:paraId="1A4D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21C60AE3">
            <w:pPr>
              <w:spacing w:before="0" w:after="0" w:line="288" w:lineRule="auto"/>
              <w:jc w:val="center"/>
            </w:pPr>
            <w:r>
              <w:rPr>
                <w:rFonts w:ascii="仿宋_GB2312" w:hAnsi="仿宋_GB2312" w:eastAsia="仿宋_GB2312"/>
                <w:b w:val="0"/>
                <w:sz w:val="20"/>
              </w:rPr>
              <w:t>罐区操作</w:t>
            </w:r>
          </w:p>
        </w:tc>
        <w:tc>
          <w:tcPr>
            <w:tcW w:w="3685" w:type="dxa"/>
            <w:tcMar>
              <w:top w:w="80" w:type="dxa"/>
              <w:left w:w="90" w:type="dxa"/>
              <w:bottom w:w="80" w:type="dxa"/>
              <w:right w:w="90" w:type="dxa"/>
            </w:tcMar>
            <w:vAlign w:val="center"/>
          </w:tcPr>
          <w:p w14:paraId="347E5191">
            <w:pPr>
              <w:spacing w:before="0" w:after="0" w:line="288" w:lineRule="auto"/>
              <w:jc w:val="center"/>
            </w:pPr>
            <w:r>
              <w:rPr>
                <w:rFonts w:ascii="仿宋_GB2312" w:hAnsi="仿宋_GB2312" w:eastAsia="仿宋_GB2312"/>
                <w:b w:val="0"/>
                <w:sz w:val="20"/>
              </w:rPr>
              <w:t>液位、压力、阀位和防火堤功能</w:t>
            </w:r>
          </w:p>
        </w:tc>
        <w:tc>
          <w:tcPr>
            <w:tcW w:w="3685" w:type="dxa"/>
            <w:tcMar>
              <w:top w:w="80" w:type="dxa"/>
              <w:left w:w="90" w:type="dxa"/>
              <w:bottom w:w="80" w:type="dxa"/>
              <w:right w:w="90" w:type="dxa"/>
            </w:tcMar>
            <w:vAlign w:val="center"/>
          </w:tcPr>
          <w:p w14:paraId="3C7863A3">
            <w:pPr>
              <w:spacing w:before="0" w:after="0" w:line="288" w:lineRule="auto"/>
              <w:jc w:val="left"/>
            </w:pPr>
            <w:r>
              <w:rPr>
                <w:rFonts w:ascii="仿宋_GB2312" w:hAnsi="仿宋_GB2312" w:eastAsia="仿宋_GB2312"/>
                <w:b w:val="0"/>
                <w:sz w:val="20"/>
              </w:rPr>
              <w:t>输送前双人核对，防止冒顶和错罐</w:t>
            </w:r>
          </w:p>
        </w:tc>
      </w:tr>
      <w:tr w14:paraId="1170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66A8EFF">
            <w:pPr>
              <w:spacing w:before="0" w:after="0" w:line="288" w:lineRule="auto"/>
              <w:jc w:val="center"/>
            </w:pPr>
            <w:r>
              <w:rPr>
                <w:rFonts w:ascii="仿宋_GB2312" w:hAnsi="仿宋_GB2312" w:eastAsia="仿宋_GB2312"/>
                <w:b w:val="0"/>
                <w:sz w:val="20"/>
              </w:rPr>
              <w:t>装卸作业</w:t>
            </w:r>
          </w:p>
        </w:tc>
        <w:tc>
          <w:tcPr>
            <w:tcW w:w="3685" w:type="dxa"/>
            <w:tcMar>
              <w:top w:w="80" w:type="dxa"/>
              <w:left w:w="90" w:type="dxa"/>
              <w:bottom w:w="80" w:type="dxa"/>
              <w:right w:w="90" w:type="dxa"/>
            </w:tcMar>
            <w:vAlign w:val="center"/>
          </w:tcPr>
          <w:p w14:paraId="48E409FB">
            <w:pPr>
              <w:spacing w:before="0" w:after="0" w:line="288" w:lineRule="auto"/>
              <w:jc w:val="left"/>
            </w:pPr>
            <w:r>
              <w:rPr>
                <w:rFonts w:ascii="仿宋_GB2312" w:hAnsi="仿宋_GB2312" w:eastAsia="仿宋_GB2312"/>
                <w:b w:val="0"/>
                <w:sz w:val="20"/>
              </w:rPr>
              <w:t>车辆、软管、接地、阀门和应急切断</w:t>
            </w:r>
          </w:p>
        </w:tc>
        <w:tc>
          <w:tcPr>
            <w:tcW w:w="3685" w:type="dxa"/>
            <w:tcMar>
              <w:top w:w="80" w:type="dxa"/>
              <w:left w:w="90" w:type="dxa"/>
              <w:bottom w:w="80" w:type="dxa"/>
              <w:right w:w="90" w:type="dxa"/>
            </w:tcMar>
            <w:vAlign w:val="center"/>
          </w:tcPr>
          <w:p w14:paraId="5E33FE0B">
            <w:pPr>
              <w:spacing w:before="0" w:after="0" w:line="288" w:lineRule="auto"/>
              <w:jc w:val="center"/>
            </w:pPr>
            <w:r>
              <w:rPr>
                <w:rFonts w:ascii="仿宋_GB2312" w:hAnsi="仿宋_GB2312" w:eastAsia="仿宋_GB2312"/>
                <w:b w:val="0"/>
                <w:sz w:val="20"/>
              </w:rPr>
              <w:t>连接检查、过程监护、结束复核</w:t>
            </w:r>
          </w:p>
        </w:tc>
      </w:tr>
      <w:tr w14:paraId="13BD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2E6621F7">
            <w:pPr>
              <w:spacing w:before="0" w:after="0" w:line="288" w:lineRule="auto"/>
              <w:jc w:val="center"/>
            </w:pPr>
            <w:r>
              <w:rPr>
                <w:rFonts w:ascii="仿宋_GB2312" w:hAnsi="仿宋_GB2312" w:eastAsia="仿宋_GB2312"/>
                <w:b w:val="0"/>
                <w:sz w:val="20"/>
              </w:rPr>
              <w:t>气瓶管理</w:t>
            </w:r>
          </w:p>
        </w:tc>
        <w:tc>
          <w:tcPr>
            <w:tcW w:w="3685" w:type="dxa"/>
            <w:tcMar>
              <w:top w:w="80" w:type="dxa"/>
              <w:left w:w="90" w:type="dxa"/>
              <w:bottom w:w="80" w:type="dxa"/>
              <w:right w:w="90" w:type="dxa"/>
            </w:tcMar>
            <w:vAlign w:val="center"/>
          </w:tcPr>
          <w:p w14:paraId="3DB2357A">
            <w:pPr>
              <w:spacing w:before="0" w:after="0" w:line="288" w:lineRule="auto"/>
              <w:jc w:val="left"/>
            </w:pPr>
            <w:r>
              <w:rPr>
                <w:rFonts w:ascii="仿宋_GB2312" w:hAnsi="仿宋_GB2312" w:eastAsia="仿宋_GB2312"/>
                <w:b w:val="0"/>
                <w:sz w:val="20"/>
              </w:rPr>
              <w:t>气体性质、瓶色标签、附件和禁忌</w:t>
            </w:r>
          </w:p>
        </w:tc>
        <w:tc>
          <w:tcPr>
            <w:tcW w:w="3685" w:type="dxa"/>
            <w:tcMar>
              <w:top w:w="80" w:type="dxa"/>
              <w:left w:w="90" w:type="dxa"/>
              <w:bottom w:w="80" w:type="dxa"/>
              <w:right w:w="90" w:type="dxa"/>
            </w:tcMar>
            <w:vAlign w:val="center"/>
          </w:tcPr>
          <w:p w14:paraId="62DAE8FE">
            <w:pPr>
              <w:spacing w:before="0" w:after="0" w:line="288" w:lineRule="auto"/>
              <w:jc w:val="left"/>
            </w:pPr>
            <w:r>
              <w:rPr>
                <w:rFonts w:ascii="仿宋_GB2312" w:hAnsi="仿宋_GB2312" w:eastAsia="仿宋_GB2312"/>
                <w:b w:val="0"/>
                <w:sz w:val="20"/>
              </w:rPr>
              <w:t>防倾倒、分类存放、正确连接和检漏</w:t>
            </w:r>
          </w:p>
        </w:tc>
      </w:tr>
      <w:tr w14:paraId="33A8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4393D11E">
            <w:pPr>
              <w:spacing w:before="0" w:after="0" w:line="288" w:lineRule="auto"/>
              <w:jc w:val="center"/>
            </w:pPr>
            <w:r>
              <w:rPr>
                <w:rFonts w:ascii="仿宋_GB2312" w:hAnsi="仿宋_GB2312" w:eastAsia="仿宋_GB2312"/>
                <w:b w:val="0"/>
                <w:sz w:val="20"/>
              </w:rPr>
              <w:t>泄漏应急</w:t>
            </w:r>
          </w:p>
        </w:tc>
        <w:tc>
          <w:tcPr>
            <w:tcW w:w="3685" w:type="dxa"/>
            <w:tcMar>
              <w:top w:w="80" w:type="dxa"/>
              <w:left w:w="90" w:type="dxa"/>
              <w:bottom w:w="80" w:type="dxa"/>
              <w:right w:w="90" w:type="dxa"/>
            </w:tcMar>
            <w:vAlign w:val="center"/>
          </w:tcPr>
          <w:p w14:paraId="1B209C60">
            <w:pPr>
              <w:spacing w:before="0" w:after="0" w:line="288" w:lineRule="auto"/>
              <w:jc w:val="left"/>
            </w:pPr>
            <w:r>
              <w:rPr>
                <w:rFonts w:ascii="仿宋_GB2312" w:hAnsi="仿宋_GB2312" w:eastAsia="仿宋_GB2312"/>
                <w:b w:val="0"/>
                <w:sz w:val="20"/>
              </w:rPr>
              <w:t>风向、警戒、物料危害和收集禁忌</w:t>
            </w:r>
          </w:p>
        </w:tc>
        <w:tc>
          <w:tcPr>
            <w:tcW w:w="3685" w:type="dxa"/>
            <w:tcMar>
              <w:top w:w="80" w:type="dxa"/>
              <w:left w:w="90" w:type="dxa"/>
              <w:bottom w:w="80" w:type="dxa"/>
              <w:right w:w="90" w:type="dxa"/>
            </w:tcMar>
            <w:vAlign w:val="center"/>
          </w:tcPr>
          <w:p w14:paraId="3919B912">
            <w:pPr>
              <w:spacing w:before="0" w:after="0" w:line="288" w:lineRule="auto"/>
              <w:jc w:val="left"/>
            </w:pPr>
            <w:r>
              <w:rPr>
                <w:rFonts w:ascii="仿宋_GB2312" w:hAnsi="仿宋_GB2312" w:eastAsia="仿宋_GB2312"/>
                <w:b w:val="0"/>
                <w:sz w:val="20"/>
              </w:rPr>
              <w:t>报警、切断、围堵并引导人员撤离</w:t>
            </w:r>
          </w:p>
        </w:tc>
      </w:tr>
    </w:tbl>
    <w:p w14:paraId="3472C114">
      <w:pPr>
        <w:spacing w:after="0"/>
      </w:pPr>
    </w:p>
    <w:p w14:paraId="5AC64D57">
      <w:pPr>
        <w:pStyle w:val="3"/>
        <w:keepNext/>
        <w:pageBreakBefore/>
        <w:spacing w:before="0" w:after="200" w:line="360" w:lineRule="auto"/>
        <w:jc w:val="center"/>
      </w:pPr>
      <w:r>
        <w:rPr>
          <w:rFonts w:ascii="方正小标宋简体" w:hAnsi="方正小标宋简体" w:eastAsia="方正小标宋简体"/>
          <w:b/>
          <w:sz w:val="36"/>
        </w:rPr>
        <w:t>附录五  设备检维修岗位应知应会清单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4CBF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shd w:val="clear" w:color="auto" w:fill="D9EAF7"/>
            <w:tcMar>
              <w:top w:w="80" w:type="dxa"/>
              <w:left w:w="90" w:type="dxa"/>
              <w:bottom w:w="80" w:type="dxa"/>
              <w:right w:w="90" w:type="dxa"/>
            </w:tcMar>
            <w:vAlign w:val="center"/>
          </w:tcPr>
          <w:p w14:paraId="3CD09BC4">
            <w:pPr>
              <w:spacing w:before="0" w:after="0" w:line="288" w:lineRule="auto"/>
              <w:jc w:val="center"/>
            </w:pPr>
            <w:r>
              <w:rPr>
                <w:rFonts w:ascii="仿宋_GB2312" w:hAnsi="仿宋_GB2312" w:eastAsia="仿宋_GB2312"/>
                <w:b/>
                <w:sz w:val="20"/>
              </w:rPr>
              <w:t>项目</w:t>
            </w:r>
          </w:p>
        </w:tc>
        <w:tc>
          <w:tcPr>
            <w:tcW w:w="3685" w:type="dxa"/>
            <w:shd w:val="clear" w:color="auto" w:fill="D9EAF7"/>
            <w:tcMar>
              <w:top w:w="80" w:type="dxa"/>
              <w:left w:w="90" w:type="dxa"/>
              <w:bottom w:w="80" w:type="dxa"/>
              <w:right w:w="90" w:type="dxa"/>
            </w:tcMar>
            <w:vAlign w:val="center"/>
          </w:tcPr>
          <w:p w14:paraId="0D62A8C5">
            <w:pPr>
              <w:spacing w:before="0" w:after="0" w:line="288" w:lineRule="auto"/>
              <w:jc w:val="center"/>
            </w:pPr>
            <w:r>
              <w:rPr>
                <w:rFonts w:ascii="仿宋_GB2312" w:hAnsi="仿宋_GB2312" w:eastAsia="仿宋_GB2312"/>
                <w:b/>
                <w:sz w:val="20"/>
              </w:rPr>
              <w:t>应知</w:t>
            </w:r>
          </w:p>
        </w:tc>
        <w:tc>
          <w:tcPr>
            <w:tcW w:w="3685" w:type="dxa"/>
            <w:shd w:val="clear" w:color="auto" w:fill="D9EAF7"/>
            <w:tcMar>
              <w:top w:w="80" w:type="dxa"/>
              <w:left w:w="90" w:type="dxa"/>
              <w:bottom w:w="80" w:type="dxa"/>
              <w:right w:w="90" w:type="dxa"/>
            </w:tcMar>
            <w:vAlign w:val="center"/>
          </w:tcPr>
          <w:p w14:paraId="11F38F77">
            <w:pPr>
              <w:spacing w:before="0" w:after="0" w:line="288" w:lineRule="auto"/>
              <w:jc w:val="center"/>
            </w:pPr>
            <w:r>
              <w:rPr>
                <w:rFonts w:ascii="仿宋_GB2312" w:hAnsi="仿宋_GB2312" w:eastAsia="仿宋_GB2312"/>
                <w:b/>
                <w:sz w:val="20"/>
              </w:rPr>
              <w:t>应会</w:t>
            </w:r>
          </w:p>
        </w:tc>
      </w:tr>
      <w:tr w14:paraId="7CFD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4DCE1122">
            <w:pPr>
              <w:spacing w:before="0" w:after="0" w:line="288" w:lineRule="auto"/>
              <w:jc w:val="center"/>
            </w:pPr>
            <w:r>
              <w:rPr>
                <w:rFonts w:ascii="仿宋_GB2312" w:hAnsi="仿宋_GB2312" w:eastAsia="仿宋_GB2312"/>
                <w:b w:val="0"/>
                <w:sz w:val="20"/>
              </w:rPr>
              <w:t>作业交出</w:t>
            </w:r>
          </w:p>
        </w:tc>
        <w:tc>
          <w:tcPr>
            <w:tcW w:w="3685" w:type="dxa"/>
            <w:tcMar>
              <w:top w:w="80" w:type="dxa"/>
              <w:left w:w="90" w:type="dxa"/>
              <w:bottom w:w="80" w:type="dxa"/>
              <w:right w:w="90" w:type="dxa"/>
            </w:tcMar>
            <w:vAlign w:val="center"/>
          </w:tcPr>
          <w:p w14:paraId="5A3DF4D2">
            <w:pPr>
              <w:spacing w:before="0" w:after="0" w:line="288" w:lineRule="auto"/>
              <w:jc w:val="left"/>
            </w:pPr>
            <w:r>
              <w:rPr>
                <w:rFonts w:ascii="仿宋_GB2312" w:hAnsi="仿宋_GB2312" w:eastAsia="仿宋_GB2312"/>
                <w:b w:val="0"/>
                <w:sz w:val="20"/>
              </w:rPr>
              <w:t>介质、温压、残余风险和隔离状态</w:t>
            </w:r>
          </w:p>
        </w:tc>
        <w:tc>
          <w:tcPr>
            <w:tcW w:w="3685" w:type="dxa"/>
            <w:tcMar>
              <w:top w:w="80" w:type="dxa"/>
              <w:left w:w="90" w:type="dxa"/>
              <w:bottom w:w="80" w:type="dxa"/>
              <w:right w:w="90" w:type="dxa"/>
            </w:tcMar>
            <w:vAlign w:val="center"/>
          </w:tcPr>
          <w:p w14:paraId="24BB40AF">
            <w:pPr>
              <w:spacing w:before="0" w:after="0" w:line="288" w:lineRule="auto"/>
              <w:jc w:val="center"/>
            </w:pPr>
            <w:r>
              <w:rPr>
                <w:rFonts w:ascii="仿宋_GB2312" w:hAnsi="仿宋_GB2312" w:eastAsia="仿宋_GB2312"/>
                <w:b w:val="0"/>
                <w:sz w:val="20"/>
              </w:rPr>
              <w:t>核对交出证和现场状态</w:t>
            </w:r>
          </w:p>
        </w:tc>
      </w:tr>
      <w:tr w14:paraId="5637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5CBEAC72">
            <w:pPr>
              <w:spacing w:before="0" w:after="0" w:line="288" w:lineRule="auto"/>
              <w:jc w:val="center"/>
            </w:pPr>
            <w:r>
              <w:rPr>
                <w:rFonts w:ascii="仿宋_GB2312" w:hAnsi="仿宋_GB2312" w:eastAsia="仿宋_GB2312"/>
                <w:b w:val="0"/>
                <w:sz w:val="20"/>
              </w:rPr>
              <w:t>能量隔离</w:t>
            </w:r>
          </w:p>
        </w:tc>
        <w:tc>
          <w:tcPr>
            <w:tcW w:w="3685" w:type="dxa"/>
            <w:tcMar>
              <w:top w:w="80" w:type="dxa"/>
              <w:left w:w="90" w:type="dxa"/>
              <w:bottom w:w="80" w:type="dxa"/>
              <w:right w:w="90" w:type="dxa"/>
            </w:tcMar>
            <w:vAlign w:val="center"/>
          </w:tcPr>
          <w:p w14:paraId="72F44788">
            <w:pPr>
              <w:spacing w:before="0" w:after="0" w:line="288" w:lineRule="auto"/>
              <w:jc w:val="center"/>
            </w:pPr>
            <w:r>
              <w:rPr>
                <w:rFonts w:ascii="仿宋_GB2312" w:hAnsi="仿宋_GB2312" w:eastAsia="仿宋_GB2312"/>
                <w:b w:val="0"/>
                <w:sz w:val="20"/>
              </w:rPr>
              <w:t>电、压、热、机械和化学能来源</w:t>
            </w:r>
          </w:p>
        </w:tc>
        <w:tc>
          <w:tcPr>
            <w:tcW w:w="3685" w:type="dxa"/>
            <w:tcMar>
              <w:top w:w="80" w:type="dxa"/>
              <w:left w:w="90" w:type="dxa"/>
              <w:bottom w:w="80" w:type="dxa"/>
              <w:right w:w="90" w:type="dxa"/>
            </w:tcMar>
            <w:vAlign w:val="center"/>
          </w:tcPr>
          <w:p w14:paraId="3CAAF8D3">
            <w:pPr>
              <w:spacing w:before="0" w:after="0" w:line="288" w:lineRule="auto"/>
              <w:jc w:val="left"/>
            </w:pPr>
            <w:r>
              <w:rPr>
                <w:rFonts w:ascii="仿宋_GB2312" w:hAnsi="仿宋_GB2312" w:eastAsia="仿宋_GB2312"/>
                <w:b w:val="0"/>
                <w:sz w:val="20"/>
              </w:rPr>
              <w:t>挂牌上锁、泄压、支撑、盲板和验证</w:t>
            </w:r>
          </w:p>
        </w:tc>
      </w:tr>
      <w:tr w14:paraId="7B3C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251701E6">
            <w:pPr>
              <w:spacing w:before="0" w:after="0" w:line="288" w:lineRule="auto"/>
              <w:jc w:val="center"/>
            </w:pPr>
            <w:r>
              <w:rPr>
                <w:rFonts w:ascii="仿宋_GB2312" w:hAnsi="仿宋_GB2312" w:eastAsia="仿宋_GB2312"/>
                <w:b w:val="0"/>
                <w:sz w:val="20"/>
              </w:rPr>
              <w:t>拆卸作业</w:t>
            </w:r>
          </w:p>
        </w:tc>
        <w:tc>
          <w:tcPr>
            <w:tcW w:w="3685" w:type="dxa"/>
            <w:tcMar>
              <w:top w:w="80" w:type="dxa"/>
              <w:left w:w="90" w:type="dxa"/>
              <w:bottom w:w="80" w:type="dxa"/>
              <w:right w:w="90" w:type="dxa"/>
            </w:tcMar>
            <w:vAlign w:val="center"/>
          </w:tcPr>
          <w:p w14:paraId="3ECA721C">
            <w:pPr>
              <w:spacing w:before="0" w:after="0" w:line="288" w:lineRule="auto"/>
              <w:jc w:val="center"/>
            </w:pPr>
            <w:r>
              <w:rPr>
                <w:rFonts w:ascii="仿宋_GB2312" w:hAnsi="仿宋_GB2312" w:eastAsia="仿宋_GB2312"/>
                <w:b w:val="0"/>
                <w:sz w:val="20"/>
              </w:rPr>
              <w:t>喷射、坠落、夹挤和残液风险</w:t>
            </w:r>
          </w:p>
        </w:tc>
        <w:tc>
          <w:tcPr>
            <w:tcW w:w="3685" w:type="dxa"/>
            <w:tcMar>
              <w:top w:w="80" w:type="dxa"/>
              <w:left w:w="90" w:type="dxa"/>
              <w:bottom w:w="80" w:type="dxa"/>
              <w:right w:w="90" w:type="dxa"/>
            </w:tcMar>
            <w:vAlign w:val="center"/>
          </w:tcPr>
          <w:p w14:paraId="4A64F1B7">
            <w:pPr>
              <w:spacing w:before="0" w:after="0" w:line="288" w:lineRule="auto"/>
              <w:jc w:val="center"/>
            </w:pPr>
            <w:r>
              <w:rPr>
                <w:rFonts w:ascii="仿宋_GB2312" w:hAnsi="仿宋_GB2312" w:eastAsia="仿宋_GB2312"/>
                <w:b w:val="0"/>
                <w:sz w:val="20"/>
              </w:rPr>
              <w:t>站位正确、缓慢松动、工具适用</w:t>
            </w:r>
          </w:p>
        </w:tc>
      </w:tr>
      <w:tr w14:paraId="1B11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208741C4">
            <w:pPr>
              <w:spacing w:before="0" w:after="0" w:line="288" w:lineRule="auto"/>
              <w:jc w:val="center"/>
            </w:pPr>
            <w:r>
              <w:rPr>
                <w:rFonts w:ascii="仿宋_GB2312" w:hAnsi="仿宋_GB2312" w:eastAsia="仿宋_GB2312"/>
                <w:b w:val="0"/>
                <w:sz w:val="20"/>
              </w:rPr>
              <w:t>特殊作业</w:t>
            </w:r>
          </w:p>
        </w:tc>
        <w:tc>
          <w:tcPr>
            <w:tcW w:w="3685" w:type="dxa"/>
            <w:tcMar>
              <w:top w:w="80" w:type="dxa"/>
              <w:left w:w="90" w:type="dxa"/>
              <w:bottom w:w="80" w:type="dxa"/>
              <w:right w:w="90" w:type="dxa"/>
            </w:tcMar>
            <w:vAlign w:val="center"/>
          </w:tcPr>
          <w:p w14:paraId="33E8EA7D">
            <w:pPr>
              <w:spacing w:before="0" w:after="0" w:line="288" w:lineRule="auto"/>
              <w:jc w:val="center"/>
            </w:pPr>
            <w:r>
              <w:rPr>
                <w:rFonts w:ascii="仿宋_GB2312" w:hAnsi="仿宋_GB2312" w:eastAsia="仿宋_GB2312"/>
                <w:b w:val="0"/>
                <w:sz w:val="20"/>
              </w:rPr>
              <w:t>动火、受限、高处、吊装等要求</w:t>
            </w:r>
          </w:p>
        </w:tc>
        <w:tc>
          <w:tcPr>
            <w:tcW w:w="3685" w:type="dxa"/>
            <w:tcMar>
              <w:top w:w="80" w:type="dxa"/>
              <w:left w:w="90" w:type="dxa"/>
              <w:bottom w:w="80" w:type="dxa"/>
              <w:right w:w="90" w:type="dxa"/>
            </w:tcMar>
            <w:vAlign w:val="center"/>
          </w:tcPr>
          <w:p w14:paraId="5736F90A">
            <w:pPr>
              <w:spacing w:before="0" w:after="0" w:line="288" w:lineRule="auto"/>
              <w:jc w:val="center"/>
            </w:pPr>
            <w:r>
              <w:rPr>
                <w:rFonts w:ascii="仿宋_GB2312" w:hAnsi="仿宋_GB2312" w:eastAsia="仿宋_GB2312"/>
                <w:b w:val="0"/>
                <w:sz w:val="20"/>
              </w:rPr>
              <w:t>执行票证、检测和监护要求</w:t>
            </w:r>
          </w:p>
        </w:tc>
      </w:tr>
      <w:tr w14:paraId="6461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526748C9">
            <w:pPr>
              <w:spacing w:before="0" w:after="0" w:line="288" w:lineRule="auto"/>
              <w:jc w:val="center"/>
            </w:pPr>
            <w:r>
              <w:rPr>
                <w:rFonts w:ascii="仿宋_GB2312" w:hAnsi="仿宋_GB2312" w:eastAsia="仿宋_GB2312"/>
                <w:b w:val="0"/>
                <w:sz w:val="20"/>
              </w:rPr>
              <w:t>检修质量</w:t>
            </w:r>
          </w:p>
        </w:tc>
        <w:tc>
          <w:tcPr>
            <w:tcW w:w="3685" w:type="dxa"/>
            <w:tcMar>
              <w:top w:w="80" w:type="dxa"/>
              <w:left w:w="90" w:type="dxa"/>
              <w:bottom w:w="80" w:type="dxa"/>
              <w:right w:w="90" w:type="dxa"/>
            </w:tcMar>
            <w:vAlign w:val="center"/>
          </w:tcPr>
          <w:p w14:paraId="1EEA2ED7">
            <w:pPr>
              <w:spacing w:before="0" w:after="0" w:line="288" w:lineRule="auto"/>
              <w:jc w:val="left"/>
            </w:pPr>
            <w:r>
              <w:rPr>
                <w:rFonts w:ascii="仿宋_GB2312" w:hAnsi="仿宋_GB2312" w:eastAsia="仿宋_GB2312"/>
                <w:b w:val="0"/>
                <w:sz w:val="20"/>
              </w:rPr>
              <w:t>材质、规格、紧固、同心和密封要求</w:t>
            </w:r>
          </w:p>
        </w:tc>
        <w:tc>
          <w:tcPr>
            <w:tcW w:w="3685" w:type="dxa"/>
            <w:tcMar>
              <w:top w:w="80" w:type="dxa"/>
              <w:left w:w="90" w:type="dxa"/>
              <w:bottom w:w="80" w:type="dxa"/>
              <w:right w:w="90" w:type="dxa"/>
            </w:tcMar>
            <w:vAlign w:val="center"/>
          </w:tcPr>
          <w:p w14:paraId="360A5948">
            <w:pPr>
              <w:spacing w:before="0" w:after="0" w:line="288" w:lineRule="auto"/>
              <w:jc w:val="center"/>
            </w:pPr>
            <w:r>
              <w:rPr>
                <w:rFonts w:ascii="仿宋_GB2312" w:hAnsi="仿宋_GB2312" w:eastAsia="仿宋_GB2312"/>
                <w:b w:val="0"/>
                <w:sz w:val="20"/>
              </w:rPr>
              <w:t>按标准装配并记录关键数据</w:t>
            </w:r>
          </w:p>
        </w:tc>
      </w:tr>
      <w:tr w14:paraId="26873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1398F72">
            <w:pPr>
              <w:spacing w:before="0" w:after="0" w:line="288" w:lineRule="auto"/>
              <w:jc w:val="center"/>
            </w:pPr>
            <w:r>
              <w:rPr>
                <w:rFonts w:ascii="仿宋_GB2312" w:hAnsi="仿宋_GB2312" w:eastAsia="仿宋_GB2312"/>
                <w:b w:val="0"/>
                <w:sz w:val="20"/>
              </w:rPr>
              <w:t>试车验收</w:t>
            </w:r>
          </w:p>
        </w:tc>
        <w:tc>
          <w:tcPr>
            <w:tcW w:w="3685" w:type="dxa"/>
            <w:tcMar>
              <w:top w:w="80" w:type="dxa"/>
              <w:left w:w="90" w:type="dxa"/>
              <w:bottom w:w="80" w:type="dxa"/>
              <w:right w:w="90" w:type="dxa"/>
            </w:tcMar>
            <w:vAlign w:val="center"/>
          </w:tcPr>
          <w:p w14:paraId="5DFA28F7">
            <w:pPr>
              <w:spacing w:before="0" w:after="0" w:line="288" w:lineRule="auto"/>
              <w:jc w:val="center"/>
            </w:pPr>
            <w:r>
              <w:rPr>
                <w:rFonts w:ascii="仿宋_GB2312" w:hAnsi="仿宋_GB2312" w:eastAsia="仿宋_GB2312"/>
                <w:b w:val="0"/>
                <w:sz w:val="20"/>
              </w:rPr>
              <w:t>人员工具清点、护罩联锁恢复</w:t>
            </w:r>
          </w:p>
        </w:tc>
        <w:tc>
          <w:tcPr>
            <w:tcW w:w="3685" w:type="dxa"/>
            <w:tcMar>
              <w:top w:w="80" w:type="dxa"/>
              <w:left w:w="90" w:type="dxa"/>
              <w:bottom w:w="80" w:type="dxa"/>
              <w:right w:w="90" w:type="dxa"/>
            </w:tcMar>
            <w:vAlign w:val="center"/>
          </w:tcPr>
          <w:p w14:paraId="51296DE1">
            <w:pPr>
              <w:spacing w:before="0" w:after="0" w:line="288" w:lineRule="auto"/>
              <w:jc w:val="center"/>
            </w:pPr>
            <w:r>
              <w:rPr>
                <w:rFonts w:ascii="仿宋_GB2312" w:hAnsi="仿宋_GB2312" w:eastAsia="仿宋_GB2312"/>
                <w:b w:val="0"/>
                <w:sz w:val="20"/>
              </w:rPr>
              <w:t>现场确认、试运转和交接签字</w:t>
            </w:r>
          </w:p>
        </w:tc>
      </w:tr>
    </w:tbl>
    <w:p w14:paraId="2B377579">
      <w:pPr>
        <w:spacing w:after="0"/>
      </w:pPr>
    </w:p>
    <w:p w14:paraId="5B622732">
      <w:pPr>
        <w:pStyle w:val="3"/>
        <w:keepNext/>
        <w:pageBreakBefore/>
        <w:spacing w:before="0" w:after="200" w:line="360" w:lineRule="auto"/>
        <w:jc w:val="center"/>
      </w:pPr>
      <w:r>
        <w:rPr>
          <w:rFonts w:ascii="方正小标宋简体" w:hAnsi="方正小标宋简体" w:eastAsia="方正小标宋简体"/>
          <w:b/>
          <w:sz w:val="36"/>
        </w:rPr>
        <w:t>附录六  电气、仪表岗位应知应会清单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138D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shd w:val="clear" w:color="auto" w:fill="D9EAF7"/>
            <w:tcMar>
              <w:top w:w="80" w:type="dxa"/>
              <w:left w:w="90" w:type="dxa"/>
              <w:bottom w:w="80" w:type="dxa"/>
              <w:right w:w="90" w:type="dxa"/>
            </w:tcMar>
            <w:vAlign w:val="center"/>
          </w:tcPr>
          <w:p w14:paraId="2A894CBA">
            <w:pPr>
              <w:spacing w:before="0" w:after="0" w:line="288" w:lineRule="auto"/>
              <w:jc w:val="center"/>
            </w:pPr>
            <w:r>
              <w:rPr>
                <w:rFonts w:ascii="仿宋_GB2312" w:hAnsi="仿宋_GB2312" w:eastAsia="仿宋_GB2312"/>
                <w:b/>
                <w:sz w:val="20"/>
              </w:rPr>
              <w:t>项目</w:t>
            </w:r>
          </w:p>
        </w:tc>
        <w:tc>
          <w:tcPr>
            <w:tcW w:w="3685" w:type="dxa"/>
            <w:shd w:val="clear" w:color="auto" w:fill="D9EAF7"/>
            <w:tcMar>
              <w:top w:w="80" w:type="dxa"/>
              <w:left w:w="90" w:type="dxa"/>
              <w:bottom w:w="80" w:type="dxa"/>
              <w:right w:w="90" w:type="dxa"/>
            </w:tcMar>
            <w:vAlign w:val="center"/>
          </w:tcPr>
          <w:p w14:paraId="038372DF">
            <w:pPr>
              <w:spacing w:before="0" w:after="0" w:line="288" w:lineRule="auto"/>
              <w:jc w:val="center"/>
            </w:pPr>
            <w:r>
              <w:rPr>
                <w:rFonts w:ascii="仿宋_GB2312" w:hAnsi="仿宋_GB2312" w:eastAsia="仿宋_GB2312"/>
                <w:b/>
                <w:sz w:val="20"/>
              </w:rPr>
              <w:t>应知</w:t>
            </w:r>
          </w:p>
        </w:tc>
        <w:tc>
          <w:tcPr>
            <w:tcW w:w="3685" w:type="dxa"/>
            <w:shd w:val="clear" w:color="auto" w:fill="D9EAF7"/>
            <w:tcMar>
              <w:top w:w="80" w:type="dxa"/>
              <w:left w:w="90" w:type="dxa"/>
              <w:bottom w:w="80" w:type="dxa"/>
              <w:right w:w="90" w:type="dxa"/>
            </w:tcMar>
            <w:vAlign w:val="center"/>
          </w:tcPr>
          <w:p w14:paraId="593499B8">
            <w:pPr>
              <w:spacing w:before="0" w:after="0" w:line="288" w:lineRule="auto"/>
              <w:jc w:val="center"/>
            </w:pPr>
            <w:r>
              <w:rPr>
                <w:rFonts w:ascii="仿宋_GB2312" w:hAnsi="仿宋_GB2312" w:eastAsia="仿宋_GB2312"/>
                <w:b/>
                <w:sz w:val="20"/>
              </w:rPr>
              <w:t>应会</w:t>
            </w:r>
          </w:p>
        </w:tc>
      </w:tr>
      <w:tr w14:paraId="0C5C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8B111E2">
            <w:pPr>
              <w:spacing w:before="0" w:after="0" w:line="288" w:lineRule="auto"/>
              <w:jc w:val="center"/>
            </w:pPr>
            <w:r>
              <w:rPr>
                <w:rFonts w:ascii="仿宋_GB2312" w:hAnsi="仿宋_GB2312" w:eastAsia="仿宋_GB2312"/>
                <w:b w:val="0"/>
                <w:sz w:val="20"/>
              </w:rPr>
              <w:t>停送电</w:t>
            </w:r>
          </w:p>
        </w:tc>
        <w:tc>
          <w:tcPr>
            <w:tcW w:w="3685" w:type="dxa"/>
            <w:tcMar>
              <w:top w:w="80" w:type="dxa"/>
              <w:left w:w="90" w:type="dxa"/>
              <w:bottom w:w="80" w:type="dxa"/>
              <w:right w:w="90" w:type="dxa"/>
            </w:tcMar>
            <w:vAlign w:val="center"/>
          </w:tcPr>
          <w:p w14:paraId="317E7D94">
            <w:pPr>
              <w:spacing w:before="0" w:after="0" w:line="288" w:lineRule="auto"/>
              <w:jc w:val="center"/>
            </w:pPr>
            <w:r>
              <w:rPr>
                <w:rFonts w:ascii="仿宋_GB2312" w:hAnsi="仿宋_GB2312" w:eastAsia="仿宋_GB2312"/>
                <w:b w:val="0"/>
                <w:sz w:val="20"/>
              </w:rPr>
              <w:t>供电范围、反送电和误送电风险</w:t>
            </w:r>
          </w:p>
        </w:tc>
        <w:tc>
          <w:tcPr>
            <w:tcW w:w="3685" w:type="dxa"/>
            <w:tcMar>
              <w:top w:w="80" w:type="dxa"/>
              <w:left w:w="90" w:type="dxa"/>
              <w:bottom w:w="80" w:type="dxa"/>
              <w:right w:w="90" w:type="dxa"/>
            </w:tcMar>
            <w:vAlign w:val="center"/>
          </w:tcPr>
          <w:p w14:paraId="1832A75D">
            <w:pPr>
              <w:spacing w:before="0" w:after="0" w:line="288" w:lineRule="auto"/>
              <w:jc w:val="left"/>
            </w:pPr>
            <w:r>
              <w:rPr>
                <w:rFonts w:ascii="仿宋_GB2312" w:hAnsi="仿宋_GB2312" w:eastAsia="仿宋_GB2312"/>
                <w:b w:val="0"/>
                <w:sz w:val="20"/>
              </w:rPr>
              <w:t>办理停电、验电、接地、挂牌和送电确认</w:t>
            </w:r>
          </w:p>
        </w:tc>
      </w:tr>
      <w:tr w14:paraId="797D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2371F111">
            <w:pPr>
              <w:spacing w:before="0" w:after="0" w:line="288" w:lineRule="auto"/>
              <w:jc w:val="center"/>
            </w:pPr>
            <w:r>
              <w:rPr>
                <w:rFonts w:ascii="仿宋_GB2312" w:hAnsi="仿宋_GB2312" w:eastAsia="仿宋_GB2312"/>
                <w:b w:val="0"/>
                <w:sz w:val="20"/>
              </w:rPr>
              <w:t>防爆电气</w:t>
            </w:r>
          </w:p>
        </w:tc>
        <w:tc>
          <w:tcPr>
            <w:tcW w:w="3685" w:type="dxa"/>
            <w:tcMar>
              <w:top w:w="80" w:type="dxa"/>
              <w:left w:w="90" w:type="dxa"/>
              <w:bottom w:w="80" w:type="dxa"/>
              <w:right w:w="90" w:type="dxa"/>
            </w:tcMar>
            <w:vAlign w:val="center"/>
          </w:tcPr>
          <w:p w14:paraId="641B5A83">
            <w:pPr>
              <w:spacing w:before="0" w:after="0" w:line="288" w:lineRule="auto"/>
              <w:jc w:val="left"/>
            </w:pPr>
            <w:r>
              <w:rPr>
                <w:rFonts w:ascii="仿宋_GB2312" w:hAnsi="仿宋_GB2312" w:eastAsia="仿宋_GB2312"/>
                <w:b w:val="0"/>
                <w:sz w:val="20"/>
              </w:rPr>
              <w:t>区域等级、设备防爆型式和失爆特征</w:t>
            </w:r>
          </w:p>
        </w:tc>
        <w:tc>
          <w:tcPr>
            <w:tcW w:w="3685" w:type="dxa"/>
            <w:tcMar>
              <w:top w:w="80" w:type="dxa"/>
              <w:left w:w="90" w:type="dxa"/>
              <w:bottom w:w="80" w:type="dxa"/>
              <w:right w:w="90" w:type="dxa"/>
            </w:tcMar>
            <w:vAlign w:val="center"/>
          </w:tcPr>
          <w:p w14:paraId="238D72E4">
            <w:pPr>
              <w:spacing w:before="0" w:after="0" w:line="288" w:lineRule="auto"/>
              <w:jc w:val="center"/>
            </w:pPr>
            <w:r>
              <w:rPr>
                <w:rFonts w:ascii="仿宋_GB2312" w:hAnsi="仿宋_GB2312" w:eastAsia="仿宋_GB2312"/>
                <w:b w:val="0"/>
                <w:sz w:val="20"/>
              </w:rPr>
              <w:t>检查接线、密封、紧固和接地</w:t>
            </w:r>
          </w:p>
        </w:tc>
      </w:tr>
      <w:tr w14:paraId="58BD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72968708">
            <w:pPr>
              <w:spacing w:before="0" w:after="0" w:line="288" w:lineRule="auto"/>
              <w:jc w:val="center"/>
            </w:pPr>
            <w:r>
              <w:rPr>
                <w:rFonts w:ascii="仿宋_GB2312" w:hAnsi="仿宋_GB2312" w:eastAsia="仿宋_GB2312"/>
                <w:b w:val="0"/>
                <w:sz w:val="20"/>
              </w:rPr>
              <w:t>仪表维护</w:t>
            </w:r>
          </w:p>
        </w:tc>
        <w:tc>
          <w:tcPr>
            <w:tcW w:w="3685" w:type="dxa"/>
            <w:tcMar>
              <w:top w:w="80" w:type="dxa"/>
              <w:left w:w="90" w:type="dxa"/>
              <w:bottom w:w="80" w:type="dxa"/>
              <w:right w:w="90" w:type="dxa"/>
            </w:tcMar>
            <w:vAlign w:val="center"/>
          </w:tcPr>
          <w:p w14:paraId="08E59832">
            <w:pPr>
              <w:spacing w:before="0" w:after="0" w:line="288" w:lineRule="auto"/>
              <w:jc w:val="left"/>
            </w:pPr>
            <w:r>
              <w:rPr>
                <w:rFonts w:ascii="仿宋_GB2312" w:hAnsi="仿宋_GB2312" w:eastAsia="仿宋_GB2312"/>
                <w:b w:val="0"/>
                <w:sz w:val="20"/>
              </w:rPr>
              <w:t>测点介质、量程、隔离和吹扫要求</w:t>
            </w:r>
          </w:p>
        </w:tc>
        <w:tc>
          <w:tcPr>
            <w:tcW w:w="3685" w:type="dxa"/>
            <w:tcMar>
              <w:top w:w="80" w:type="dxa"/>
              <w:left w:w="90" w:type="dxa"/>
              <w:bottom w:w="80" w:type="dxa"/>
              <w:right w:w="90" w:type="dxa"/>
            </w:tcMar>
            <w:vAlign w:val="center"/>
          </w:tcPr>
          <w:p w14:paraId="1131EC17">
            <w:pPr>
              <w:spacing w:before="0" w:after="0" w:line="288" w:lineRule="auto"/>
              <w:jc w:val="center"/>
            </w:pPr>
            <w:r>
              <w:rPr>
                <w:rFonts w:ascii="仿宋_GB2312" w:hAnsi="仿宋_GB2312" w:eastAsia="仿宋_GB2312"/>
                <w:b w:val="0"/>
                <w:sz w:val="20"/>
              </w:rPr>
              <w:t>安全拆装、校验、复位和记录</w:t>
            </w:r>
          </w:p>
        </w:tc>
      </w:tr>
      <w:tr w14:paraId="6024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2BE47C40">
            <w:pPr>
              <w:spacing w:before="0" w:after="0" w:line="288" w:lineRule="auto"/>
              <w:jc w:val="center"/>
            </w:pPr>
            <w:r>
              <w:rPr>
                <w:rFonts w:ascii="仿宋_GB2312" w:hAnsi="仿宋_GB2312" w:eastAsia="仿宋_GB2312"/>
                <w:b w:val="0"/>
                <w:sz w:val="20"/>
              </w:rPr>
              <w:t>联锁管理</w:t>
            </w:r>
          </w:p>
        </w:tc>
        <w:tc>
          <w:tcPr>
            <w:tcW w:w="3685" w:type="dxa"/>
            <w:tcMar>
              <w:top w:w="80" w:type="dxa"/>
              <w:left w:w="90" w:type="dxa"/>
              <w:bottom w:w="80" w:type="dxa"/>
              <w:right w:w="90" w:type="dxa"/>
            </w:tcMar>
            <w:vAlign w:val="center"/>
          </w:tcPr>
          <w:p w14:paraId="1261D30A">
            <w:pPr>
              <w:spacing w:before="0" w:after="0" w:line="288" w:lineRule="auto"/>
              <w:jc w:val="center"/>
            </w:pPr>
            <w:r>
              <w:rPr>
                <w:rFonts w:ascii="仿宋_GB2312" w:hAnsi="仿宋_GB2312" w:eastAsia="仿宋_GB2312"/>
                <w:b w:val="0"/>
                <w:sz w:val="20"/>
              </w:rPr>
              <w:t>联锁逻辑、触发条件和后果</w:t>
            </w:r>
          </w:p>
        </w:tc>
        <w:tc>
          <w:tcPr>
            <w:tcW w:w="3685" w:type="dxa"/>
            <w:tcMar>
              <w:top w:w="80" w:type="dxa"/>
              <w:left w:w="90" w:type="dxa"/>
              <w:bottom w:w="80" w:type="dxa"/>
              <w:right w:w="90" w:type="dxa"/>
            </w:tcMar>
            <w:vAlign w:val="center"/>
          </w:tcPr>
          <w:p w14:paraId="0AF15901">
            <w:pPr>
              <w:spacing w:before="0" w:after="0" w:line="288" w:lineRule="auto"/>
              <w:jc w:val="center"/>
            </w:pPr>
            <w:r>
              <w:rPr>
                <w:rFonts w:ascii="仿宋_GB2312" w:hAnsi="仿宋_GB2312" w:eastAsia="仿宋_GB2312"/>
                <w:b w:val="0"/>
                <w:sz w:val="20"/>
              </w:rPr>
              <w:t>测试、旁路审批、恢复和交接</w:t>
            </w:r>
          </w:p>
        </w:tc>
      </w:tr>
      <w:tr w14:paraId="23C8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2BDF940D">
            <w:pPr>
              <w:spacing w:before="0" w:after="0" w:line="288" w:lineRule="auto"/>
              <w:jc w:val="center"/>
            </w:pPr>
            <w:r>
              <w:rPr>
                <w:rFonts w:ascii="仿宋_GB2312" w:hAnsi="仿宋_GB2312" w:eastAsia="仿宋_GB2312"/>
                <w:b w:val="0"/>
                <w:sz w:val="20"/>
              </w:rPr>
              <w:t>临时用电</w:t>
            </w:r>
          </w:p>
        </w:tc>
        <w:tc>
          <w:tcPr>
            <w:tcW w:w="3685" w:type="dxa"/>
            <w:tcMar>
              <w:top w:w="80" w:type="dxa"/>
              <w:left w:w="90" w:type="dxa"/>
              <w:bottom w:w="80" w:type="dxa"/>
              <w:right w:w="90" w:type="dxa"/>
            </w:tcMar>
            <w:vAlign w:val="center"/>
          </w:tcPr>
          <w:p w14:paraId="441DA2D6">
            <w:pPr>
              <w:spacing w:before="0" w:after="0" w:line="288" w:lineRule="auto"/>
              <w:jc w:val="left"/>
            </w:pPr>
            <w:r>
              <w:rPr>
                <w:rFonts w:ascii="仿宋_GB2312" w:hAnsi="仿宋_GB2312" w:eastAsia="仿宋_GB2312"/>
                <w:b w:val="0"/>
                <w:sz w:val="20"/>
              </w:rPr>
              <w:t>负荷、漏电保护、接地和线路防护</w:t>
            </w:r>
          </w:p>
        </w:tc>
        <w:tc>
          <w:tcPr>
            <w:tcW w:w="3685" w:type="dxa"/>
            <w:tcMar>
              <w:top w:w="80" w:type="dxa"/>
              <w:left w:w="90" w:type="dxa"/>
              <w:bottom w:w="80" w:type="dxa"/>
              <w:right w:w="90" w:type="dxa"/>
            </w:tcMar>
            <w:vAlign w:val="center"/>
          </w:tcPr>
          <w:p w14:paraId="51160CB4">
            <w:pPr>
              <w:spacing w:before="0" w:after="0" w:line="288" w:lineRule="auto"/>
              <w:jc w:val="center"/>
            </w:pPr>
            <w:r>
              <w:rPr>
                <w:rFonts w:ascii="仿宋_GB2312" w:hAnsi="仿宋_GB2312" w:eastAsia="仿宋_GB2312"/>
                <w:b w:val="0"/>
                <w:sz w:val="20"/>
              </w:rPr>
              <w:t>规范设置、巡检和及时拆除</w:t>
            </w:r>
          </w:p>
        </w:tc>
      </w:tr>
      <w:tr w14:paraId="3662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57A1947C">
            <w:pPr>
              <w:spacing w:before="0" w:after="0" w:line="288" w:lineRule="auto"/>
              <w:jc w:val="center"/>
            </w:pPr>
            <w:r>
              <w:rPr>
                <w:rFonts w:ascii="仿宋_GB2312" w:hAnsi="仿宋_GB2312" w:eastAsia="仿宋_GB2312"/>
                <w:b w:val="0"/>
                <w:sz w:val="20"/>
              </w:rPr>
              <w:t>故障处置</w:t>
            </w:r>
          </w:p>
        </w:tc>
        <w:tc>
          <w:tcPr>
            <w:tcW w:w="3685" w:type="dxa"/>
            <w:tcMar>
              <w:top w:w="80" w:type="dxa"/>
              <w:left w:w="90" w:type="dxa"/>
              <w:bottom w:w="80" w:type="dxa"/>
              <w:right w:w="90" w:type="dxa"/>
            </w:tcMar>
            <w:vAlign w:val="center"/>
          </w:tcPr>
          <w:p w14:paraId="3ED27FD6">
            <w:pPr>
              <w:spacing w:before="0" w:after="0" w:line="288" w:lineRule="auto"/>
              <w:jc w:val="center"/>
            </w:pPr>
            <w:r>
              <w:rPr>
                <w:rFonts w:ascii="仿宋_GB2312" w:hAnsi="仿宋_GB2312" w:eastAsia="仿宋_GB2312"/>
                <w:b w:val="0"/>
                <w:sz w:val="20"/>
              </w:rPr>
              <w:t>电气火灾、失电和仪表失真风险</w:t>
            </w:r>
          </w:p>
        </w:tc>
        <w:tc>
          <w:tcPr>
            <w:tcW w:w="3685" w:type="dxa"/>
            <w:tcMar>
              <w:top w:w="80" w:type="dxa"/>
              <w:left w:w="90" w:type="dxa"/>
              <w:bottom w:w="80" w:type="dxa"/>
              <w:right w:w="90" w:type="dxa"/>
            </w:tcMar>
            <w:vAlign w:val="center"/>
          </w:tcPr>
          <w:p w14:paraId="30A8F753">
            <w:pPr>
              <w:spacing w:before="0" w:after="0" w:line="288" w:lineRule="auto"/>
              <w:jc w:val="center"/>
            </w:pPr>
            <w:r>
              <w:rPr>
                <w:rFonts w:ascii="仿宋_GB2312" w:hAnsi="仿宋_GB2312" w:eastAsia="仿宋_GB2312"/>
                <w:b w:val="0"/>
                <w:sz w:val="20"/>
              </w:rPr>
              <w:t>隔离电源、通知工艺、协同停车</w:t>
            </w:r>
          </w:p>
        </w:tc>
      </w:tr>
    </w:tbl>
    <w:p w14:paraId="7AEFDD60">
      <w:pPr>
        <w:spacing w:after="0"/>
      </w:pPr>
    </w:p>
    <w:p w14:paraId="0EA4B2DC">
      <w:pPr>
        <w:pStyle w:val="3"/>
        <w:keepNext/>
        <w:pageBreakBefore/>
        <w:spacing w:before="0" w:after="200" w:line="360" w:lineRule="auto"/>
        <w:jc w:val="center"/>
      </w:pPr>
      <w:r>
        <w:rPr>
          <w:rFonts w:ascii="方正小标宋简体" w:hAnsi="方正小标宋简体" w:eastAsia="方正小标宋简体"/>
          <w:b/>
          <w:sz w:val="36"/>
        </w:rPr>
        <w:t>附录七  化验、质检岗位应知应会清单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35F8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shd w:val="clear" w:color="auto" w:fill="D9EAF7"/>
            <w:tcMar>
              <w:top w:w="80" w:type="dxa"/>
              <w:left w:w="90" w:type="dxa"/>
              <w:bottom w:w="80" w:type="dxa"/>
              <w:right w:w="90" w:type="dxa"/>
            </w:tcMar>
            <w:vAlign w:val="center"/>
          </w:tcPr>
          <w:p w14:paraId="5033C96C">
            <w:pPr>
              <w:spacing w:before="0" w:after="0" w:line="288" w:lineRule="auto"/>
              <w:jc w:val="center"/>
            </w:pPr>
            <w:r>
              <w:rPr>
                <w:rFonts w:ascii="仿宋_GB2312" w:hAnsi="仿宋_GB2312" w:eastAsia="仿宋_GB2312"/>
                <w:b/>
                <w:sz w:val="20"/>
              </w:rPr>
              <w:t>项目</w:t>
            </w:r>
          </w:p>
        </w:tc>
        <w:tc>
          <w:tcPr>
            <w:tcW w:w="3685" w:type="dxa"/>
            <w:shd w:val="clear" w:color="auto" w:fill="D9EAF7"/>
            <w:tcMar>
              <w:top w:w="80" w:type="dxa"/>
              <w:left w:w="90" w:type="dxa"/>
              <w:bottom w:w="80" w:type="dxa"/>
              <w:right w:w="90" w:type="dxa"/>
            </w:tcMar>
            <w:vAlign w:val="center"/>
          </w:tcPr>
          <w:p w14:paraId="4E07DFC0">
            <w:pPr>
              <w:spacing w:before="0" w:after="0" w:line="288" w:lineRule="auto"/>
              <w:jc w:val="center"/>
            </w:pPr>
            <w:r>
              <w:rPr>
                <w:rFonts w:ascii="仿宋_GB2312" w:hAnsi="仿宋_GB2312" w:eastAsia="仿宋_GB2312"/>
                <w:b/>
                <w:sz w:val="20"/>
              </w:rPr>
              <w:t>应知</w:t>
            </w:r>
          </w:p>
        </w:tc>
        <w:tc>
          <w:tcPr>
            <w:tcW w:w="3685" w:type="dxa"/>
            <w:shd w:val="clear" w:color="auto" w:fill="D9EAF7"/>
            <w:tcMar>
              <w:top w:w="80" w:type="dxa"/>
              <w:left w:w="90" w:type="dxa"/>
              <w:bottom w:w="80" w:type="dxa"/>
              <w:right w:w="90" w:type="dxa"/>
            </w:tcMar>
            <w:vAlign w:val="center"/>
          </w:tcPr>
          <w:p w14:paraId="52FA38BF">
            <w:pPr>
              <w:spacing w:before="0" w:after="0" w:line="288" w:lineRule="auto"/>
              <w:jc w:val="center"/>
            </w:pPr>
            <w:r>
              <w:rPr>
                <w:rFonts w:ascii="仿宋_GB2312" w:hAnsi="仿宋_GB2312" w:eastAsia="仿宋_GB2312"/>
                <w:b/>
                <w:sz w:val="20"/>
              </w:rPr>
              <w:t>应会</w:t>
            </w:r>
          </w:p>
        </w:tc>
      </w:tr>
      <w:tr w14:paraId="2B6E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3E16C63E">
            <w:pPr>
              <w:spacing w:before="0" w:after="0" w:line="288" w:lineRule="auto"/>
              <w:jc w:val="center"/>
            </w:pPr>
            <w:r>
              <w:rPr>
                <w:rFonts w:ascii="仿宋_GB2312" w:hAnsi="仿宋_GB2312" w:eastAsia="仿宋_GB2312"/>
                <w:b w:val="0"/>
                <w:sz w:val="20"/>
              </w:rPr>
              <w:t>样品接收</w:t>
            </w:r>
          </w:p>
        </w:tc>
        <w:tc>
          <w:tcPr>
            <w:tcW w:w="3685" w:type="dxa"/>
            <w:tcMar>
              <w:top w:w="80" w:type="dxa"/>
              <w:left w:w="90" w:type="dxa"/>
              <w:bottom w:w="80" w:type="dxa"/>
              <w:right w:w="90" w:type="dxa"/>
            </w:tcMar>
            <w:vAlign w:val="center"/>
          </w:tcPr>
          <w:p w14:paraId="3CFEF884">
            <w:pPr>
              <w:spacing w:before="0" w:after="0" w:line="288" w:lineRule="auto"/>
              <w:jc w:val="center"/>
            </w:pPr>
            <w:r>
              <w:rPr>
                <w:rFonts w:ascii="仿宋_GB2312" w:hAnsi="仿宋_GB2312" w:eastAsia="仿宋_GB2312"/>
                <w:b w:val="0"/>
                <w:sz w:val="20"/>
              </w:rPr>
              <w:t>样品名称、危害、温压和稳定性</w:t>
            </w:r>
          </w:p>
        </w:tc>
        <w:tc>
          <w:tcPr>
            <w:tcW w:w="3685" w:type="dxa"/>
            <w:tcMar>
              <w:top w:w="80" w:type="dxa"/>
              <w:left w:w="90" w:type="dxa"/>
              <w:bottom w:w="80" w:type="dxa"/>
              <w:right w:w="90" w:type="dxa"/>
            </w:tcMar>
            <w:vAlign w:val="center"/>
          </w:tcPr>
          <w:p w14:paraId="5AFEEF05">
            <w:pPr>
              <w:spacing w:before="0" w:after="0" w:line="288" w:lineRule="auto"/>
              <w:jc w:val="center"/>
            </w:pPr>
            <w:r>
              <w:rPr>
                <w:rFonts w:ascii="仿宋_GB2312" w:hAnsi="仿宋_GB2312" w:eastAsia="仿宋_GB2312"/>
                <w:b w:val="0"/>
                <w:sz w:val="20"/>
              </w:rPr>
              <w:t>核对标签、容器和取样信息</w:t>
            </w:r>
          </w:p>
        </w:tc>
      </w:tr>
      <w:tr w14:paraId="27DE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3138E2B">
            <w:pPr>
              <w:spacing w:before="0" w:after="0" w:line="288" w:lineRule="auto"/>
              <w:jc w:val="center"/>
            </w:pPr>
            <w:r>
              <w:rPr>
                <w:rFonts w:ascii="仿宋_GB2312" w:hAnsi="仿宋_GB2312" w:eastAsia="仿宋_GB2312"/>
                <w:b w:val="0"/>
                <w:sz w:val="20"/>
              </w:rPr>
              <w:t>试剂管理</w:t>
            </w:r>
          </w:p>
        </w:tc>
        <w:tc>
          <w:tcPr>
            <w:tcW w:w="3685" w:type="dxa"/>
            <w:tcMar>
              <w:top w:w="80" w:type="dxa"/>
              <w:left w:w="90" w:type="dxa"/>
              <w:bottom w:w="80" w:type="dxa"/>
              <w:right w:w="90" w:type="dxa"/>
            </w:tcMar>
            <w:vAlign w:val="center"/>
          </w:tcPr>
          <w:p w14:paraId="254DED26">
            <w:pPr>
              <w:spacing w:before="0" w:after="0" w:line="288" w:lineRule="auto"/>
              <w:jc w:val="center"/>
            </w:pPr>
            <w:r>
              <w:rPr>
                <w:rFonts w:ascii="仿宋_GB2312" w:hAnsi="仿宋_GB2312" w:eastAsia="仿宋_GB2312"/>
                <w:b w:val="0"/>
                <w:sz w:val="20"/>
              </w:rPr>
              <w:t>试剂危险性、禁忌和储存条件</w:t>
            </w:r>
          </w:p>
        </w:tc>
        <w:tc>
          <w:tcPr>
            <w:tcW w:w="3685" w:type="dxa"/>
            <w:tcMar>
              <w:top w:w="80" w:type="dxa"/>
              <w:left w:w="90" w:type="dxa"/>
              <w:bottom w:w="80" w:type="dxa"/>
              <w:right w:w="90" w:type="dxa"/>
            </w:tcMar>
            <w:vAlign w:val="center"/>
          </w:tcPr>
          <w:p w14:paraId="6C2D3DD3">
            <w:pPr>
              <w:spacing w:before="0" w:after="0" w:line="288" w:lineRule="auto"/>
              <w:jc w:val="center"/>
            </w:pPr>
            <w:r>
              <w:rPr>
                <w:rFonts w:ascii="仿宋_GB2312" w:hAnsi="仿宋_GB2312" w:eastAsia="仿宋_GB2312"/>
                <w:b w:val="0"/>
                <w:sz w:val="20"/>
              </w:rPr>
              <w:t>分类储存、规范领用和及时归位</w:t>
            </w:r>
          </w:p>
        </w:tc>
      </w:tr>
      <w:tr w14:paraId="4009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6350240B">
            <w:pPr>
              <w:spacing w:before="0" w:after="0" w:line="288" w:lineRule="auto"/>
              <w:jc w:val="center"/>
            </w:pPr>
            <w:r>
              <w:rPr>
                <w:rFonts w:ascii="仿宋_GB2312" w:hAnsi="仿宋_GB2312" w:eastAsia="仿宋_GB2312"/>
                <w:b w:val="0"/>
                <w:sz w:val="20"/>
              </w:rPr>
              <w:t>实验操作</w:t>
            </w:r>
          </w:p>
        </w:tc>
        <w:tc>
          <w:tcPr>
            <w:tcW w:w="3685" w:type="dxa"/>
            <w:tcMar>
              <w:top w:w="80" w:type="dxa"/>
              <w:left w:w="90" w:type="dxa"/>
              <w:bottom w:w="80" w:type="dxa"/>
              <w:right w:w="90" w:type="dxa"/>
            </w:tcMar>
            <w:vAlign w:val="center"/>
          </w:tcPr>
          <w:p w14:paraId="5BD58600">
            <w:pPr>
              <w:spacing w:before="0" w:after="0" w:line="288" w:lineRule="auto"/>
              <w:jc w:val="left"/>
            </w:pPr>
            <w:r>
              <w:rPr>
                <w:rFonts w:ascii="仿宋_GB2312" w:hAnsi="仿宋_GB2312" w:eastAsia="仿宋_GB2312"/>
                <w:b w:val="0"/>
                <w:sz w:val="20"/>
              </w:rPr>
              <w:t>通风柜、加热、加压和玻璃器皿风险</w:t>
            </w:r>
          </w:p>
        </w:tc>
        <w:tc>
          <w:tcPr>
            <w:tcW w:w="3685" w:type="dxa"/>
            <w:tcMar>
              <w:top w:w="80" w:type="dxa"/>
              <w:left w:w="90" w:type="dxa"/>
              <w:bottom w:w="80" w:type="dxa"/>
              <w:right w:w="90" w:type="dxa"/>
            </w:tcMar>
            <w:vAlign w:val="center"/>
          </w:tcPr>
          <w:p w14:paraId="77DC1537">
            <w:pPr>
              <w:spacing w:before="0" w:after="0" w:line="288" w:lineRule="auto"/>
              <w:jc w:val="center"/>
            </w:pPr>
            <w:r>
              <w:rPr>
                <w:rFonts w:ascii="仿宋_GB2312" w:hAnsi="仿宋_GB2312" w:eastAsia="仿宋_GB2312"/>
                <w:b w:val="0"/>
                <w:sz w:val="20"/>
              </w:rPr>
              <w:t>小量操作、正确加料、防飞溅</w:t>
            </w:r>
          </w:p>
        </w:tc>
      </w:tr>
      <w:tr w14:paraId="69BD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6859F21B">
            <w:pPr>
              <w:spacing w:before="0" w:after="0" w:line="288" w:lineRule="auto"/>
              <w:jc w:val="center"/>
            </w:pPr>
            <w:r>
              <w:rPr>
                <w:rFonts w:ascii="仿宋_GB2312" w:hAnsi="仿宋_GB2312" w:eastAsia="仿宋_GB2312"/>
                <w:b w:val="0"/>
                <w:sz w:val="20"/>
              </w:rPr>
              <w:t>气瓶使用</w:t>
            </w:r>
          </w:p>
        </w:tc>
        <w:tc>
          <w:tcPr>
            <w:tcW w:w="3685" w:type="dxa"/>
            <w:tcMar>
              <w:top w:w="80" w:type="dxa"/>
              <w:left w:w="90" w:type="dxa"/>
              <w:bottom w:w="80" w:type="dxa"/>
              <w:right w:w="90" w:type="dxa"/>
            </w:tcMar>
            <w:vAlign w:val="center"/>
          </w:tcPr>
          <w:p w14:paraId="1DE4DF3E">
            <w:pPr>
              <w:spacing w:before="0" w:after="0" w:line="288" w:lineRule="auto"/>
              <w:jc w:val="center"/>
            </w:pPr>
            <w:r>
              <w:rPr>
                <w:rFonts w:ascii="仿宋_GB2312" w:hAnsi="仿宋_GB2312" w:eastAsia="仿宋_GB2312"/>
                <w:b w:val="0"/>
                <w:sz w:val="20"/>
              </w:rPr>
              <w:t>气体性质、减压器和固定要求</w:t>
            </w:r>
          </w:p>
        </w:tc>
        <w:tc>
          <w:tcPr>
            <w:tcW w:w="3685" w:type="dxa"/>
            <w:tcMar>
              <w:top w:w="80" w:type="dxa"/>
              <w:left w:w="90" w:type="dxa"/>
              <w:bottom w:w="80" w:type="dxa"/>
              <w:right w:w="90" w:type="dxa"/>
            </w:tcMar>
            <w:vAlign w:val="center"/>
          </w:tcPr>
          <w:p w14:paraId="090D7EED">
            <w:pPr>
              <w:spacing w:before="0" w:after="0" w:line="288" w:lineRule="auto"/>
              <w:jc w:val="center"/>
            </w:pPr>
            <w:r>
              <w:rPr>
                <w:rFonts w:ascii="仿宋_GB2312" w:hAnsi="仿宋_GB2312" w:eastAsia="仿宋_GB2312"/>
                <w:b w:val="0"/>
                <w:sz w:val="20"/>
              </w:rPr>
              <w:t>连接检漏、开关阀门和停用关闭</w:t>
            </w:r>
          </w:p>
        </w:tc>
      </w:tr>
      <w:tr w14:paraId="7D0E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67CB0CC6">
            <w:pPr>
              <w:spacing w:before="0" w:after="0" w:line="288" w:lineRule="auto"/>
              <w:jc w:val="center"/>
            </w:pPr>
            <w:r>
              <w:rPr>
                <w:rFonts w:ascii="仿宋_GB2312" w:hAnsi="仿宋_GB2312" w:eastAsia="仿宋_GB2312"/>
                <w:b w:val="0"/>
                <w:sz w:val="20"/>
              </w:rPr>
              <w:t>废液废物</w:t>
            </w:r>
          </w:p>
        </w:tc>
        <w:tc>
          <w:tcPr>
            <w:tcW w:w="3685" w:type="dxa"/>
            <w:tcMar>
              <w:top w:w="80" w:type="dxa"/>
              <w:left w:w="90" w:type="dxa"/>
              <w:bottom w:w="80" w:type="dxa"/>
              <w:right w:w="90" w:type="dxa"/>
            </w:tcMar>
            <w:vAlign w:val="center"/>
          </w:tcPr>
          <w:p w14:paraId="571835B6">
            <w:pPr>
              <w:spacing w:before="0" w:after="0" w:line="288" w:lineRule="auto"/>
              <w:jc w:val="center"/>
            </w:pPr>
            <w:r>
              <w:rPr>
                <w:rFonts w:ascii="仿宋_GB2312" w:hAnsi="仿宋_GB2312" w:eastAsia="仿宋_GB2312"/>
                <w:b w:val="0"/>
                <w:sz w:val="20"/>
              </w:rPr>
              <w:t>废液相容性和分类要求</w:t>
            </w:r>
          </w:p>
        </w:tc>
        <w:tc>
          <w:tcPr>
            <w:tcW w:w="3685" w:type="dxa"/>
            <w:tcMar>
              <w:top w:w="80" w:type="dxa"/>
              <w:left w:w="90" w:type="dxa"/>
              <w:bottom w:w="80" w:type="dxa"/>
              <w:right w:w="90" w:type="dxa"/>
            </w:tcMar>
            <w:vAlign w:val="center"/>
          </w:tcPr>
          <w:p w14:paraId="6ABC2A95">
            <w:pPr>
              <w:spacing w:before="0" w:after="0" w:line="288" w:lineRule="auto"/>
              <w:jc w:val="center"/>
            </w:pPr>
            <w:r>
              <w:rPr>
                <w:rFonts w:ascii="仿宋_GB2312" w:hAnsi="仿宋_GB2312" w:eastAsia="仿宋_GB2312"/>
                <w:b w:val="0"/>
                <w:sz w:val="20"/>
              </w:rPr>
              <w:t>标识、密闭、分类收集和交接</w:t>
            </w:r>
          </w:p>
        </w:tc>
      </w:tr>
      <w:tr w14:paraId="1E3D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745AE2F0">
            <w:pPr>
              <w:spacing w:before="0" w:after="0" w:line="288" w:lineRule="auto"/>
              <w:jc w:val="center"/>
            </w:pPr>
            <w:r>
              <w:rPr>
                <w:rFonts w:ascii="仿宋_GB2312" w:hAnsi="仿宋_GB2312" w:eastAsia="仿宋_GB2312"/>
                <w:b w:val="0"/>
                <w:sz w:val="20"/>
              </w:rPr>
              <w:t>应急处置</w:t>
            </w:r>
          </w:p>
        </w:tc>
        <w:tc>
          <w:tcPr>
            <w:tcW w:w="3685" w:type="dxa"/>
            <w:tcMar>
              <w:top w:w="80" w:type="dxa"/>
              <w:left w:w="90" w:type="dxa"/>
              <w:bottom w:w="80" w:type="dxa"/>
              <w:right w:w="90" w:type="dxa"/>
            </w:tcMar>
            <w:vAlign w:val="center"/>
          </w:tcPr>
          <w:p w14:paraId="3013AA25">
            <w:pPr>
              <w:spacing w:before="0" w:after="0" w:line="288" w:lineRule="auto"/>
              <w:jc w:val="center"/>
            </w:pPr>
            <w:r>
              <w:rPr>
                <w:rFonts w:ascii="仿宋_GB2312" w:hAnsi="仿宋_GB2312" w:eastAsia="仿宋_GB2312"/>
                <w:b w:val="0"/>
                <w:sz w:val="20"/>
              </w:rPr>
              <w:t>喷溅、割伤、火灾和泄漏处置</w:t>
            </w:r>
          </w:p>
        </w:tc>
        <w:tc>
          <w:tcPr>
            <w:tcW w:w="3685" w:type="dxa"/>
            <w:tcMar>
              <w:top w:w="80" w:type="dxa"/>
              <w:left w:w="90" w:type="dxa"/>
              <w:bottom w:w="80" w:type="dxa"/>
              <w:right w:w="90" w:type="dxa"/>
            </w:tcMar>
            <w:vAlign w:val="center"/>
          </w:tcPr>
          <w:p w14:paraId="11F58BC8">
            <w:pPr>
              <w:spacing w:before="0" w:after="0" w:line="288" w:lineRule="auto"/>
              <w:jc w:val="center"/>
            </w:pPr>
            <w:r>
              <w:rPr>
                <w:rFonts w:ascii="仿宋_GB2312" w:hAnsi="仿宋_GB2312" w:eastAsia="仿宋_GB2312"/>
                <w:b w:val="0"/>
                <w:sz w:val="20"/>
              </w:rPr>
              <w:t>冲洗、断源、报警和撤离</w:t>
            </w:r>
          </w:p>
        </w:tc>
      </w:tr>
    </w:tbl>
    <w:p w14:paraId="2C5FB153">
      <w:pPr>
        <w:spacing w:after="0"/>
      </w:pPr>
    </w:p>
    <w:p w14:paraId="6C8078EE">
      <w:pPr>
        <w:pStyle w:val="3"/>
        <w:keepNext/>
        <w:pageBreakBefore/>
        <w:spacing w:before="0" w:after="200" w:line="360" w:lineRule="auto"/>
        <w:jc w:val="center"/>
      </w:pPr>
      <w:r>
        <w:rPr>
          <w:rFonts w:ascii="方正小标宋简体" w:hAnsi="方正小标宋简体" w:eastAsia="方正小标宋简体"/>
          <w:b/>
          <w:sz w:val="36"/>
        </w:rPr>
        <w:t>附录八  特殊作业监护人检查卡</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7A2D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shd w:val="clear" w:color="auto" w:fill="D9EAF7"/>
            <w:tcMar>
              <w:top w:w="80" w:type="dxa"/>
              <w:left w:w="90" w:type="dxa"/>
              <w:bottom w:w="80" w:type="dxa"/>
              <w:right w:w="90" w:type="dxa"/>
            </w:tcMar>
            <w:vAlign w:val="center"/>
          </w:tcPr>
          <w:p w14:paraId="0160ADC9">
            <w:pPr>
              <w:spacing w:before="0" w:after="0" w:line="288" w:lineRule="auto"/>
              <w:jc w:val="center"/>
            </w:pPr>
            <w:r>
              <w:rPr>
                <w:rFonts w:ascii="仿宋_GB2312" w:hAnsi="仿宋_GB2312" w:eastAsia="仿宋_GB2312"/>
                <w:b/>
                <w:sz w:val="20"/>
              </w:rPr>
              <w:t>检查项目</w:t>
            </w:r>
          </w:p>
        </w:tc>
        <w:tc>
          <w:tcPr>
            <w:tcW w:w="5669" w:type="dxa"/>
            <w:shd w:val="clear" w:color="auto" w:fill="D9EAF7"/>
            <w:tcMar>
              <w:top w:w="80" w:type="dxa"/>
              <w:left w:w="90" w:type="dxa"/>
              <w:bottom w:w="80" w:type="dxa"/>
              <w:right w:w="90" w:type="dxa"/>
            </w:tcMar>
            <w:vAlign w:val="center"/>
          </w:tcPr>
          <w:p w14:paraId="3FEF1A75">
            <w:pPr>
              <w:spacing w:before="0" w:after="0" w:line="288" w:lineRule="auto"/>
              <w:jc w:val="center"/>
            </w:pPr>
            <w:r>
              <w:rPr>
                <w:rFonts w:ascii="仿宋_GB2312" w:hAnsi="仿宋_GB2312" w:eastAsia="仿宋_GB2312"/>
                <w:b/>
                <w:sz w:val="20"/>
              </w:rPr>
              <w:t>确认内容</w:t>
            </w:r>
          </w:p>
        </w:tc>
        <w:tc>
          <w:tcPr>
            <w:tcW w:w="1701" w:type="dxa"/>
            <w:shd w:val="clear" w:color="auto" w:fill="D9EAF7"/>
            <w:tcMar>
              <w:top w:w="80" w:type="dxa"/>
              <w:left w:w="90" w:type="dxa"/>
              <w:bottom w:w="80" w:type="dxa"/>
              <w:right w:w="90" w:type="dxa"/>
            </w:tcMar>
            <w:vAlign w:val="center"/>
          </w:tcPr>
          <w:p w14:paraId="2E3CD414">
            <w:pPr>
              <w:spacing w:before="0" w:after="0" w:line="288" w:lineRule="auto"/>
              <w:jc w:val="center"/>
            </w:pPr>
            <w:r>
              <w:rPr>
                <w:rFonts w:ascii="仿宋_GB2312" w:hAnsi="仿宋_GB2312" w:eastAsia="仿宋_GB2312"/>
                <w:b/>
                <w:sz w:val="20"/>
              </w:rPr>
              <w:t>结果</w:t>
            </w:r>
          </w:p>
        </w:tc>
      </w:tr>
      <w:tr w14:paraId="1CAC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22402605">
            <w:pPr>
              <w:spacing w:before="0" w:after="0" w:line="288" w:lineRule="auto"/>
              <w:jc w:val="center"/>
            </w:pPr>
            <w:r>
              <w:rPr>
                <w:rFonts w:ascii="仿宋_GB2312" w:hAnsi="仿宋_GB2312" w:eastAsia="仿宋_GB2312"/>
                <w:b w:val="0"/>
                <w:sz w:val="20"/>
              </w:rPr>
              <w:t>作业票证</w:t>
            </w:r>
          </w:p>
        </w:tc>
        <w:tc>
          <w:tcPr>
            <w:tcW w:w="5669" w:type="dxa"/>
            <w:tcMar>
              <w:top w:w="80" w:type="dxa"/>
              <w:left w:w="90" w:type="dxa"/>
              <w:bottom w:w="80" w:type="dxa"/>
              <w:right w:w="90" w:type="dxa"/>
            </w:tcMar>
            <w:vAlign w:val="center"/>
          </w:tcPr>
          <w:p w14:paraId="2BC40252">
            <w:pPr>
              <w:spacing w:before="0" w:after="0" w:line="288" w:lineRule="auto"/>
              <w:jc w:val="left"/>
            </w:pPr>
            <w:r>
              <w:rPr>
                <w:rFonts w:ascii="仿宋_GB2312" w:hAnsi="仿宋_GB2312" w:eastAsia="仿宋_GB2312"/>
                <w:b w:val="0"/>
                <w:sz w:val="20"/>
              </w:rPr>
              <w:t>票证在有效期内，作业内容、地点、人员与现场一致</w:t>
            </w:r>
          </w:p>
        </w:tc>
        <w:tc>
          <w:tcPr>
            <w:tcW w:w="1701" w:type="dxa"/>
            <w:tcMar>
              <w:top w:w="80" w:type="dxa"/>
              <w:left w:w="90" w:type="dxa"/>
              <w:bottom w:w="80" w:type="dxa"/>
              <w:right w:w="90" w:type="dxa"/>
            </w:tcMar>
            <w:vAlign w:val="center"/>
          </w:tcPr>
          <w:p w14:paraId="613E5EB2">
            <w:pPr>
              <w:spacing w:before="0" w:after="0" w:line="288" w:lineRule="auto"/>
              <w:jc w:val="center"/>
            </w:pPr>
            <w:r>
              <w:rPr>
                <w:rFonts w:ascii="仿宋_GB2312" w:hAnsi="仿宋_GB2312" w:eastAsia="仿宋_GB2312"/>
                <w:b w:val="0"/>
                <w:sz w:val="20"/>
              </w:rPr>
              <w:t>□符合  □不符合</w:t>
            </w:r>
          </w:p>
        </w:tc>
      </w:tr>
      <w:tr w14:paraId="26D2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3A834107">
            <w:pPr>
              <w:spacing w:before="0" w:after="0" w:line="288" w:lineRule="auto"/>
              <w:jc w:val="center"/>
            </w:pPr>
            <w:r>
              <w:rPr>
                <w:rFonts w:ascii="仿宋_GB2312" w:hAnsi="仿宋_GB2312" w:eastAsia="仿宋_GB2312"/>
                <w:b w:val="0"/>
                <w:sz w:val="20"/>
              </w:rPr>
              <w:t>风险交底</w:t>
            </w:r>
          </w:p>
        </w:tc>
        <w:tc>
          <w:tcPr>
            <w:tcW w:w="5669" w:type="dxa"/>
            <w:tcMar>
              <w:top w:w="80" w:type="dxa"/>
              <w:left w:w="90" w:type="dxa"/>
              <w:bottom w:w="80" w:type="dxa"/>
              <w:right w:w="90" w:type="dxa"/>
            </w:tcMar>
            <w:vAlign w:val="center"/>
          </w:tcPr>
          <w:p w14:paraId="67D4FB47">
            <w:pPr>
              <w:spacing w:before="0" w:after="0" w:line="288" w:lineRule="auto"/>
              <w:jc w:val="left"/>
            </w:pPr>
            <w:r>
              <w:rPr>
                <w:rFonts w:ascii="仿宋_GB2312" w:hAnsi="仿宋_GB2312" w:eastAsia="仿宋_GB2312"/>
                <w:b w:val="0"/>
                <w:sz w:val="20"/>
              </w:rPr>
              <w:t>作业人员了解风险、措施、报警和撤离路线</w:t>
            </w:r>
          </w:p>
        </w:tc>
        <w:tc>
          <w:tcPr>
            <w:tcW w:w="1701" w:type="dxa"/>
            <w:tcMar>
              <w:top w:w="80" w:type="dxa"/>
              <w:left w:w="90" w:type="dxa"/>
              <w:bottom w:w="80" w:type="dxa"/>
              <w:right w:w="90" w:type="dxa"/>
            </w:tcMar>
            <w:vAlign w:val="center"/>
          </w:tcPr>
          <w:p w14:paraId="5C018471">
            <w:pPr>
              <w:spacing w:before="0" w:after="0" w:line="288" w:lineRule="auto"/>
              <w:jc w:val="center"/>
            </w:pPr>
            <w:r>
              <w:rPr>
                <w:rFonts w:ascii="仿宋_GB2312" w:hAnsi="仿宋_GB2312" w:eastAsia="仿宋_GB2312"/>
                <w:b w:val="0"/>
                <w:sz w:val="20"/>
              </w:rPr>
              <w:t>□符合  □不符合</w:t>
            </w:r>
          </w:p>
        </w:tc>
      </w:tr>
      <w:tr w14:paraId="349A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4B04C6CB">
            <w:pPr>
              <w:spacing w:before="0" w:after="0" w:line="288" w:lineRule="auto"/>
              <w:jc w:val="center"/>
            </w:pPr>
            <w:r>
              <w:rPr>
                <w:rFonts w:ascii="仿宋_GB2312" w:hAnsi="仿宋_GB2312" w:eastAsia="仿宋_GB2312"/>
                <w:b w:val="0"/>
                <w:sz w:val="20"/>
              </w:rPr>
              <w:t>隔离置换</w:t>
            </w:r>
          </w:p>
        </w:tc>
        <w:tc>
          <w:tcPr>
            <w:tcW w:w="5669" w:type="dxa"/>
            <w:tcMar>
              <w:top w:w="80" w:type="dxa"/>
              <w:left w:w="90" w:type="dxa"/>
              <w:bottom w:w="80" w:type="dxa"/>
              <w:right w:w="90" w:type="dxa"/>
            </w:tcMar>
            <w:vAlign w:val="center"/>
          </w:tcPr>
          <w:p w14:paraId="531EBE1E">
            <w:pPr>
              <w:spacing w:before="0" w:after="0" w:line="288" w:lineRule="auto"/>
              <w:jc w:val="left"/>
            </w:pPr>
            <w:r>
              <w:rPr>
                <w:rFonts w:ascii="仿宋_GB2312" w:hAnsi="仿宋_GB2312" w:eastAsia="仿宋_GB2312"/>
                <w:b w:val="0"/>
                <w:sz w:val="20"/>
              </w:rPr>
              <w:t>隔离、盲板、泄压、清洗、置换和检测已完成</w:t>
            </w:r>
          </w:p>
        </w:tc>
        <w:tc>
          <w:tcPr>
            <w:tcW w:w="1701" w:type="dxa"/>
            <w:tcMar>
              <w:top w:w="80" w:type="dxa"/>
              <w:left w:w="90" w:type="dxa"/>
              <w:bottom w:w="80" w:type="dxa"/>
              <w:right w:w="90" w:type="dxa"/>
            </w:tcMar>
            <w:vAlign w:val="center"/>
          </w:tcPr>
          <w:p w14:paraId="6EF8E3B1">
            <w:pPr>
              <w:spacing w:before="0" w:after="0" w:line="288" w:lineRule="auto"/>
              <w:jc w:val="center"/>
            </w:pPr>
            <w:r>
              <w:rPr>
                <w:rFonts w:ascii="仿宋_GB2312" w:hAnsi="仿宋_GB2312" w:eastAsia="仿宋_GB2312"/>
                <w:b w:val="0"/>
                <w:sz w:val="20"/>
              </w:rPr>
              <w:t>□符合  □不符合</w:t>
            </w:r>
          </w:p>
        </w:tc>
      </w:tr>
      <w:tr w14:paraId="391F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526192C5">
            <w:pPr>
              <w:spacing w:before="0" w:after="0" w:line="288" w:lineRule="auto"/>
              <w:jc w:val="center"/>
            </w:pPr>
            <w:r>
              <w:rPr>
                <w:rFonts w:ascii="仿宋_GB2312" w:hAnsi="仿宋_GB2312" w:eastAsia="仿宋_GB2312"/>
                <w:b w:val="0"/>
                <w:sz w:val="20"/>
              </w:rPr>
              <w:t>个人防护</w:t>
            </w:r>
          </w:p>
        </w:tc>
        <w:tc>
          <w:tcPr>
            <w:tcW w:w="5669" w:type="dxa"/>
            <w:tcMar>
              <w:top w:w="80" w:type="dxa"/>
              <w:left w:w="90" w:type="dxa"/>
              <w:bottom w:w="80" w:type="dxa"/>
              <w:right w:w="90" w:type="dxa"/>
            </w:tcMar>
            <w:vAlign w:val="center"/>
          </w:tcPr>
          <w:p w14:paraId="1C235883">
            <w:pPr>
              <w:spacing w:before="0" w:after="0" w:line="288" w:lineRule="auto"/>
              <w:jc w:val="left"/>
            </w:pPr>
            <w:r>
              <w:rPr>
                <w:rFonts w:ascii="仿宋_GB2312" w:hAnsi="仿宋_GB2312" w:eastAsia="仿宋_GB2312"/>
                <w:b w:val="0"/>
                <w:sz w:val="20"/>
              </w:rPr>
              <w:t>防护用品、救援器材和通讯设备齐全有效</w:t>
            </w:r>
          </w:p>
        </w:tc>
        <w:tc>
          <w:tcPr>
            <w:tcW w:w="1701" w:type="dxa"/>
            <w:tcMar>
              <w:top w:w="80" w:type="dxa"/>
              <w:left w:w="90" w:type="dxa"/>
              <w:bottom w:w="80" w:type="dxa"/>
              <w:right w:w="90" w:type="dxa"/>
            </w:tcMar>
            <w:vAlign w:val="center"/>
          </w:tcPr>
          <w:p w14:paraId="04C723A1">
            <w:pPr>
              <w:spacing w:before="0" w:after="0" w:line="288" w:lineRule="auto"/>
              <w:jc w:val="center"/>
            </w:pPr>
            <w:r>
              <w:rPr>
                <w:rFonts w:ascii="仿宋_GB2312" w:hAnsi="仿宋_GB2312" w:eastAsia="仿宋_GB2312"/>
                <w:b w:val="0"/>
                <w:sz w:val="20"/>
              </w:rPr>
              <w:t>□符合  □不符合</w:t>
            </w:r>
          </w:p>
        </w:tc>
      </w:tr>
      <w:tr w14:paraId="3B3C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7F0E748">
            <w:pPr>
              <w:spacing w:before="0" w:after="0" w:line="288" w:lineRule="auto"/>
              <w:jc w:val="center"/>
            </w:pPr>
            <w:r>
              <w:rPr>
                <w:rFonts w:ascii="仿宋_GB2312" w:hAnsi="仿宋_GB2312" w:eastAsia="仿宋_GB2312"/>
                <w:b w:val="0"/>
                <w:sz w:val="20"/>
              </w:rPr>
              <w:t>现场环境</w:t>
            </w:r>
          </w:p>
        </w:tc>
        <w:tc>
          <w:tcPr>
            <w:tcW w:w="5669" w:type="dxa"/>
            <w:tcMar>
              <w:top w:w="80" w:type="dxa"/>
              <w:left w:w="90" w:type="dxa"/>
              <w:bottom w:w="80" w:type="dxa"/>
              <w:right w:w="90" w:type="dxa"/>
            </w:tcMar>
            <w:vAlign w:val="center"/>
          </w:tcPr>
          <w:p w14:paraId="60AE28FB">
            <w:pPr>
              <w:spacing w:before="0" w:after="0" w:line="288" w:lineRule="auto"/>
              <w:jc w:val="left"/>
            </w:pPr>
            <w:r>
              <w:rPr>
                <w:rFonts w:ascii="仿宋_GB2312" w:hAnsi="仿宋_GB2312" w:eastAsia="仿宋_GB2312"/>
                <w:b w:val="0"/>
                <w:sz w:val="20"/>
              </w:rPr>
              <w:t>火源、可燃物、交叉作业、通道和警戒满足要求</w:t>
            </w:r>
          </w:p>
        </w:tc>
        <w:tc>
          <w:tcPr>
            <w:tcW w:w="1701" w:type="dxa"/>
            <w:tcMar>
              <w:top w:w="80" w:type="dxa"/>
              <w:left w:w="90" w:type="dxa"/>
              <w:bottom w:w="80" w:type="dxa"/>
              <w:right w:w="90" w:type="dxa"/>
            </w:tcMar>
            <w:vAlign w:val="center"/>
          </w:tcPr>
          <w:p w14:paraId="5CB1F261">
            <w:pPr>
              <w:spacing w:before="0" w:after="0" w:line="288" w:lineRule="auto"/>
              <w:jc w:val="center"/>
            </w:pPr>
            <w:r>
              <w:rPr>
                <w:rFonts w:ascii="仿宋_GB2312" w:hAnsi="仿宋_GB2312" w:eastAsia="仿宋_GB2312"/>
                <w:b w:val="0"/>
                <w:sz w:val="20"/>
              </w:rPr>
              <w:t>□符合  □不符合</w:t>
            </w:r>
          </w:p>
        </w:tc>
      </w:tr>
      <w:tr w14:paraId="3AD8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5C5BD43A">
            <w:pPr>
              <w:spacing w:before="0" w:after="0" w:line="288" w:lineRule="auto"/>
              <w:jc w:val="center"/>
            </w:pPr>
            <w:r>
              <w:rPr>
                <w:rFonts w:ascii="仿宋_GB2312" w:hAnsi="仿宋_GB2312" w:eastAsia="仿宋_GB2312"/>
                <w:b w:val="0"/>
                <w:sz w:val="20"/>
              </w:rPr>
              <w:t>持续监护</w:t>
            </w:r>
          </w:p>
        </w:tc>
        <w:tc>
          <w:tcPr>
            <w:tcW w:w="5669" w:type="dxa"/>
            <w:tcMar>
              <w:top w:w="80" w:type="dxa"/>
              <w:left w:w="90" w:type="dxa"/>
              <w:bottom w:w="80" w:type="dxa"/>
              <w:right w:w="90" w:type="dxa"/>
            </w:tcMar>
            <w:vAlign w:val="center"/>
          </w:tcPr>
          <w:p w14:paraId="0484BFAE">
            <w:pPr>
              <w:spacing w:before="0" w:after="0" w:line="288" w:lineRule="auto"/>
              <w:jc w:val="left"/>
            </w:pPr>
            <w:r>
              <w:rPr>
                <w:rFonts w:ascii="仿宋_GB2312" w:hAnsi="仿宋_GB2312" w:eastAsia="仿宋_GB2312"/>
                <w:b w:val="0"/>
                <w:sz w:val="20"/>
              </w:rPr>
              <w:t>监护人位于有效位置，不离岗、不兼做其他工作</w:t>
            </w:r>
          </w:p>
        </w:tc>
        <w:tc>
          <w:tcPr>
            <w:tcW w:w="1701" w:type="dxa"/>
            <w:tcMar>
              <w:top w:w="80" w:type="dxa"/>
              <w:left w:w="90" w:type="dxa"/>
              <w:bottom w:w="80" w:type="dxa"/>
              <w:right w:w="90" w:type="dxa"/>
            </w:tcMar>
            <w:vAlign w:val="center"/>
          </w:tcPr>
          <w:p w14:paraId="15D2C14E">
            <w:pPr>
              <w:spacing w:before="0" w:after="0" w:line="288" w:lineRule="auto"/>
              <w:jc w:val="center"/>
            </w:pPr>
            <w:r>
              <w:rPr>
                <w:rFonts w:ascii="仿宋_GB2312" w:hAnsi="仿宋_GB2312" w:eastAsia="仿宋_GB2312"/>
                <w:b w:val="0"/>
                <w:sz w:val="20"/>
              </w:rPr>
              <w:t>□符合  □不符合</w:t>
            </w:r>
          </w:p>
        </w:tc>
      </w:tr>
      <w:tr w14:paraId="2F10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16797EB8">
            <w:pPr>
              <w:spacing w:before="0" w:after="0" w:line="288" w:lineRule="auto"/>
              <w:jc w:val="center"/>
            </w:pPr>
            <w:r>
              <w:rPr>
                <w:rFonts w:ascii="仿宋_GB2312" w:hAnsi="仿宋_GB2312" w:eastAsia="仿宋_GB2312"/>
                <w:b w:val="0"/>
                <w:sz w:val="20"/>
              </w:rPr>
              <w:t>条件变化</w:t>
            </w:r>
          </w:p>
        </w:tc>
        <w:tc>
          <w:tcPr>
            <w:tcW w:w="5669" w:type="dxa"/>
            <w:tcMar>
              <w:top w:w="80" w:type="dxa"/>
              <w:left w:w="90" w:type="dxa"/>
              <w:bottom w:w="80" w:type="dxa"/>
              <w:right w:w="90" w:type="dxa"/>
            </w:tcMar>
            <w:vAlign w:val="center"/>
          </w:tcPr>
          <w:p w14:paraId="55E234CB">
            <w:pPr>
              <w:spacing w:before="0" w:after="0" w:line="288" w:lineRule="auto"/>
              <w:jc w:val="left"/>
            </w:pPr>
            <w:r>
              <w:rPr>
                <w:rFonts w:ascii="仿宋_GB2312" w:hAnsi="仿宋_GB2312" w:eastAsia="仿宋_GB2312"/>
                <w:b w:val="0"/>
                <w:sz w:val="20"/>
              </w:rPr>
              <w:t>报警、气体检测、天气、工艺和人员变化时立即停工</w:t>
            </w:r>
          </w:p>
        </w:tc>
        <w:tc>
          <w:tcPr>
            <w:tcW w:w="1701" w:type="dxa"/>
            <w:tcMar>
              <w:top w:w="80" w:type="dxa"/>
              <w:left w:w="90" w:type="dxa"/>
              <w:bottom w:w="80" w:type="dxa"/>
              <w:right w:w="90" w:type="dxa"/>
            </w:tcMar>
            <w:vAlign w:val="center"/>
          </w:tcPr>
          <w:p w14:paraId="5E815BAC">
            <w:pPr>
              <w:spacing w:before="0" w:after="0" w:line="288" w:lineRule="auto"/>
              <w:jc w:val="center"/>
            </w:pPr>
            <w:r>
              <w:rPr>
                <w:rFonts w:ascii="仿宋_GB2312" w:hAnsi="仿宋_GB2312" w:eastAsia="仿宋_GB2312"/>
                <w:b w:val="0"/>
                <w:sz w:val="20"/>
              </w:rPr>
              <w:t>□符合  □不符合</w:t>
            </w:r>
          </w:p>
        </w:tc>
      </w:tr>
      <w:tr w14:paraId="3CB0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Mar>
              <w:top w:w="80" w:type="dxa"/>
              <w:left w:w="90" w:type="dxa"/>
              <w:bottom w:w="80" w:type="dxa"/>
              <w:right w:w="90" w:type="dxa"/>
            </w:tcMar>
            <w:vAlign w:val="center"/>
          </w:tcPr>
          <w:p w14:paraId="4E829764">
            <w:pPr>
              <w:spacing w:before="0" w:after="0" w:line="288" w:lineRule="auto"/>
              <w:jc w:val="center"/>
            </w:pPr>
            <w:r>
              <w:rPr>
                <w:rFonts w:ascii="仿宋_GB2312" w:hAnsi="仿宋_GB2312" w:eastAsia="仿宋_GB2312"/>
                <w:b w:val="0"/>
                <w:sz w:val="20"/>
              </w:rPr>
              <w:t>作业结束</w:t>
            </w:r>
          </w:p>
        </w:tc>
        <w:tc>
          <w:tcPr>
            <w:tcW w:w="5669" w:type="dxa"/>
            <w:tcMar>
              <w:top w:w="80" w:type="dxa"/>
              <w:left w:w="90" w:type="dxa"/>
              <w:bottom w:w="80" w:type="dxa"/>
              <w:right w:w="90" w:type="dxa"/>
            </w:tcMar>
            <w:vAlign w:val="center"/>
          </w:tcPr>
          <w:p w14:paraId="55635F0D">
            <w:pPr>
              <w:spacing w:before="0" w:after="0" w:line="288" w:lineRule="auto"/>
              <w:jc w:val="left"/>
            </w:pPr>
            <w:r>
              <w:rPr>
                <w:rFonts w:ascii="仿宋_GB2312" w:hAnsi="仿宋_GB2312" w:eastAsia="仿宋_GB2312"/>
                <w:b w:val="0"/>
                <w:sz w:val="20"/>
              </w:rPr>
              <w:t>人员工具清点，余火复查，隔离和现场恢复确认</w:t>
            </w:r>
          </w:p>
        </w:tc>
        <w:tc>
          <w:tcPr>
            <w:tcW w:w="1701" w:type="dxa"/>
            <w:tcMar>
              <w:top w:w="80" w:type="dxa"/>
              <w:left w:w="90" w:type="dxa"/>
              <w:bottom w:w="80" w:type="dxa"/>
              <w:right w:w="90" w:type="dxa"/>
            </w:tcMar>
            <w:vAlign w:val="center"/>
          </w:tcPr>
          <w:p w14:paraId="62F966DB">
            <w:pPr>
              <w:spacing w:before="0" w:after="0" w:line="288" w:lineRule="auto"/>
              <w:jc w:val="center"/>
            </w:pPr>
            <w:r>
              <w:rPr>
                <w:rFonts w:ascii="仿宋_GB2312" w:hAnsi="仿宋_GB2312" w:eastAsia="仿宋_GB2312"/>
                <w:b w:val="0"/>
                <w:sz w:val="20"/>
              </w:rPr>
              <w:t>□符合  □不符合</w:t>
            </w:r>
          </w:p>
        </w:tc>
      </w:tr>
    </w:tbl>
    <w:p w14:paraId="6FF15AE6">
      <w:pPr>
        <w:spacing w:after="0"/>
      </w:pPr>
    </w:p>
    <w:p w14:paraId="5F447711">
      <w:pPr>
        <w:spacing w:before="0" w:after="0" w:line="360" w:lineRule="auto"/>
        <w:jc w:val="both"/>
      </w:pPr>
      <w:r>
        <w:rPr>
          <w:rFonts w:ascii="仿宋_GB2312" w:hAnsi="仿宋_GB2312" w:eastAsia="仿宋_GB2312"/>
          <w:b w:val="0"/>
          <w:sz w:val="24"/>
        </w:rPr>
        <w:t>作业名称：________________  作业地点：________________  作业日期：____年__月__日</w:t>
      </w:r>
    </w:p>
    <w:p w14:paraId="6BA35F23">
      <w:pPr>
        <w:spacing w:before="0" w:after="0" w:line="360" w:lineRule="auto"/>
        <w:jc w:val="both"/>
      </w:pPr>
      <w:r>
        <w:rPr>
          <w:rFonts w:ascii="仿宋_GB2312" w:hAnsi="仿宋_GB2312" w:eastAsia="仿宋_GB2312"/>
          <w:b w:val="0"/>
          <w:sz w:val="24"/>
        </w:rPr>
        <w:t>监护人：__________________  作业负责人：______________  属地负责人：______________</w:t>
      </w:r>
    </w:p>
    <w:p w14:paraId="329C52B2">
      <w:pPr>
        <w:pStyle w:val="3"/>
        <w:keepNext/>
        <w:pageBreakBefore/>
        <w:spacing w:before="0" w:after="200" w:line="360" w:lineRule="auto"/>
        <w:jc w:val="center"/>
      </w:pPr>
      <w:r>
        <w:rPr>
          <w:rFonts w:ascii="方正小标宋简体" w:hAnsi="方正小标宋简体" w:eastAsia="方正小标宋简体"/>
          <w:b/>
          <w:sz w:val="36"/>
        </w:rPr>
        <w:t>附录九  班前会与交接班确认表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5A50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14" w:type="dxa"/>
            <w:shd w:val="clear" w:color="auto" w:fill="D9EAF7"/>
            <w:tcMar>
              <w:top w:w="80" w:type="dxa"/>
              <w:left w:w="90" w:type="dxa"/>
              <w:bottom w:w="80" w:type="dxa"/>
              <w:right w:w="90" w:type="dxa"/>
            </w:tcMar>
            <w:vAlign w:val="center"/>
          </w:tcPr>
          <w:p w14:paraId="42BFF9F6">
            <w:pPr>
              <w:spacing w:before="0" w:after="0" w:line="288" w:lineRule="auto"/>
              <w:jc w:val="center"/>
            </w:pPr>
            <w:r>
              <w:rPr>
                <w:rFonts w:ascii="仿宋_GB2312" w:hAnsi="仿宋_GB2312" w:eastAsia="仿宋_GB2312"/>
                <w:b/>
                <w:sz w:val="20"/>
              </w:rPr>
              <w:t>确认项目</w:t>
            </w:r>
          </w:p>
        </w:tc>
        <w:tc>
          <w:tcPr>
            <w:tcW w:w="5272" w:type="dxa"/>
            <w:shd w:val="clear" w:color="auto" w:fill="D9EAF7"/>
            <w:tcMar>
              <w:top w:w="80" w:type="dxa"/>
              <w:left w:w="90" w:type="dxa"/>
              <w:bottom w:w="80" w:type="dxa"/>
              <w:right w:w="90" w:type="dxa"/>
            </w:tcMar>
            <w:vAlign w:val="center"/>
          </w:tcPr>
          <w:p w14:paraId="10E10AFB">
            <w:pPr>
              <w:spacing w:before="0" w:after="0" w:line="288" w:lineRule="auto"/>
              <w:jc w:val="center"/>
            </w:pPr>
            <w:r>
              <w:rPr>
                <w:rFonts w:ascii="仿宋_GB2312" w:hAnsi="仿宋_GB2312" w:eastAsia="仿宋_GB2312"/>
                <w:b/>
                <w:sz w:val="20"/>
              </w:rPr>
              <w:t>交接内容</w:t>
            </w:r>
          </w:p>
        </w:tc>
        <w:tc>
          <w:tcPr>
            <w:tcW w:w="1984" w:type="dxa"/>
            <w:shd w:val="clear" w:color="auto" w:fill="D9EAF7"/>
            <w:tcMar>
              <w:top w:w="80" w:type="dxa"/>
              <w:left w:w="90" w:type="dxa"/>
              <w:bottom w:w="80" w:type="dxa"/>
              <w:right w:w="90" w:type="dxa"/>
            </w:tcMar>
            <w:vAlign w:val="center"/>
          </w:tcPr>
          <w:p w14:paraId="3FD97FAB">
            <w:pPr>
              <w:spacing w:before="0" w:after="0" w:line="288" w:lineRule="auto"/>
              <w:jc w:val="center"/>
            </w:pPr>
            <w:r>
              <w:rPr>
                <w:rFonts w:ascii="仿宋_GB2312" w:hAnsi="仿宋_GB2312" w:eastAsia="仿宋_GB2312"/>
                <w:b/>
                <w:sz w:val="20"/>
              </w:rPr>
              <w:t>记录/结论</w:t>
            </w:r>
          </w:p>
        </w:tc>
      </w:tr>
      <w:tr w14:paraId="272A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18AEF831">
            <w:pPr>
              <w:spacing w:before="0" w:after="0" w:line="288" w:lineRule="auto"/>
              <w:jc w:val="center"/>
            </w:pPr>
            <w:r>
              <w:rPr>
                <w:rFonts w:ascii="仿宋_GB2312" w:hAnsi="仿宋_GB2312" w:eastAsia="仿宋_GB2312"/>
                <w:b w:val="0"/>
                <w:sz w:val="20"/>
              </w:rPr>
              <w:t>人员状态</w:t>
            </w:r>
          </w:p>
        </w:tc>
        <w:tc>
          <w:tcPr>
            <w:tcW w:w="5272" w:type="dxa"/>
            <w:tcMar>
              <w:top w:w="80" w:type="dxa"/>
              <w:left w:w="90" w:type="dxa"/>
              <w:bottom w:w="80" w:type="dxa"/>
              <w:right w:w="90" w:type="dxa"/>
            </w:tcMar>
            <w:vAlign w:val="center"/>
          </w:tcPr>
          <w:p w14:paraId="24DDBDE7">
            <w:pPr>
              <w:spacing w:before="0" w:after="0" w:line="288" w:lineRule="auto"/>
              <w:jc w:val="left"/>
            </w:pPr>
            <w:r>
              <w:rPr>
                <w:rFonts w:ascii="仿宋_GB2312" w:hAnsi="仿宋_GB2312" w:eastAsia="仿宋_GB2312"/>
                <w:b w:val="0"/>
                <w:sz w:val="20"/>
              </w:rPr>
              <w:t>人员齐全，健康和精神状态适宜，岗位授权有效</w:t>
            </w:r>
          </w:p>
        </w:tc>
        <w:tc>
          <w:tcPr>
            <w:tcW w:w="1984" w:type="dxa"/>
            <w:tcMar>
              <w:top w:w="80" w:type="dxa"/>
              <w:left w:w="90" w:type="dxa"/>
              <w:bottom w:w="80" w:type="dxa"/>
              <w:right w:w="90" w:type="dxa"/>
            </w:tcMar>
            <w:vAlign w:val="center"/>
          </w:tcPr>
          <w:p w14:paraId="4AEF7053">
            <w:pPr>
              <w:spacing w:before="0" w:after="0" w:line="288" w:lineRule="auto"/>
              <w:jc w:val="center"/>
            </w:pPr>
          </w:p>
        </w:tc>
      </w:tr>
      <w:tr w14:paraId="4795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34AF64AB">
            <w:pPr>
              <w:spacing w:before="0" w:after="0" w:line="288" w:lineRule="auto"/>
              <w:jc w:val="center"/>
            </w:pPr>
            <w:r>
              <w:rPr>
                <w:rFonts w:ascii="仿宋_GB2312" w:hAnsi="仿宋_GB2312" w:eastAsia="仿宋_GB2312"/>
                <w:b w:val="0"/>
                <w:sz w:val="20"/>
              </w:rPr>
              <w:t>生产状态</w:t>
            </w:r>
          </w:p>
        </w:tc>
        <w:tc>
          <w:tcPr>
            <w:tcW w:w="5272" w:type="dxa"/>
            <w:tcMar>
              <w:top w:w="80" w:type="dxa"/>
              <w:left w:w="90" w:type="dxa"/>
              <w:bottom w:w="80" w:type="dxa"/>
              <w:right w:w="90" w:type="dxa"/>
            </w:tcMar>
            <w:vAlign w:val="center"/>
          </w:tcPr>
          <w:p w14:paraId="4238D0D5">
            <w:pPr>
              <w:spacing w:before="0" w:after="0" w:line="288" w:lineRule="auto"/>
              <w:jc w:val="left"/>
            </w:pPr>
            <w:r>
              <w:rPr>
                <w:rFonts w:ascii="仿宋_GB2312" w:hAnsi="仿宋_GB2312" w:eastAsia="仿宋_GB2312"/>
                <w:b w:val="0"/>
                <w:sz w:val="20"/>
              </w:rPr>
              <w:t>装置负荷、批次进度、物料库存和关键参数</w:t>
            </w:r>
          </w:p>
        </w:tc>
        <w:tc>
          <w:tcPr>
            <w:tcW w:w="1984" w:type="dxa"/>
            <w:tcMar>
              <w:top w:w="80" w:type="dxa"/>
              <w:left w:w="90" w:type="dxa"/>
              <w:bottom w:w="80" w:type="dxa"/>
              <w:right w:w="90" w:type="dxa"/>
            </w:tcMar>
            <w:vAlign w:val="center"/>
          </w:tcPr>
          <w:p w14:paraId="48EC2EFD">
            <w:pPr>
              <w:spacing w:before="0" w:after="0" w:line="288" w:lineRule="auto"/>
              <w:jc w:val="center"/>
            </w:pPr>
          </w:p>
        </w:tc>
      </w:tr>
      <w:tr w14:paraId="7B5B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24BE05A2">
            <w:pPr>
              <w:spacing w:before="0" w:after="0" w:line="288" w:lineRule="auto"/>
              <w:jc w:val="center"/>
            </w:pPr>
            <w:r>
              <w:rPr>
                <w:rFonts w:ascii="仿宋_GB2312" w:hAnsi="仿宋_GB2312" w:eastAsia="仿宋_GB2312"/>
                <w:b w:val="0"/>
                <w:sz w:val="20"/>
              </w:rPr>
              <w:t>设备状态</w:t>
            </w:r>
          </w:p>
        </w:tc>
        <w:tc>
          <w:tcPr>
            <w:tcW w:w="5272" w:type="dxa"/>
            <w:tcMar>
              <w:top w:w="80" w:type="dxa"/>
              <w:left w:w="90" w:type="dxa"/>
              <w:bottom w:w="80" w:type="dxa"/>
              <w:right w:w="90" w:type="dxa"/>
            </w:tcMar>
            <w:vAlign w:val="center"/>
          </w:tcPr>
          <w:p w14:paraId="473E8890">
            <w:pPr>
              <w:spacing w:before="0" w:after="0" w:line="288" w:lineRule="auto"/>
              <w:jc w:val="left"/>
            </w:pPr>
            <w:r>
              <w:rPr>
                <w:rFonts w:ascii="仿宋_GB2312" w:hAnsi="仿宋_GB2312" w:eastAsia="仿宋_GB2312"/>
                <w:b w:val="0"/>
                <w:sz w:val="20"/>
              </w:rPr>
              <w:t>运行、备用、检修和故障设备及缺陷</w:t>
            </w:r>
          </w:p>
        </w:tc>
        <w:tc>
          <w:tcPr>
            <w:tcW w:w="1984" w:type="dxa"/>
            <w:tcMar>
              <w:top w:w="80" w:type="dxa"/>
              <w:left w:w="90" w:type="dxa"/>
              <w:bottom w:w="80" w:type="dxa"/>
              <w:right w:w="90" w:type="dxa"/>
            </w:tcMar>
            <w:vAlign w:val="center"/>
          </w:tcPr>
          <w:p w14:paraId="31CD11CC">
            <w:pPr>
              <w:spacing w:before="0" w:after="0" w:line="288" w:lineRule="auto"/>
              <w:jc w:val="center"/>
            </w:pPr>
          </w:p>
        </w:tc>
      </w:tr>
      <w:tr w14:paraId="5C55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2DC9553B">
            <w:pPr>
              <w:spacing w:before="0" w:after="0" w:line="288" w:lineRule="auto"/>
              <w:jc w:val="center"/>
            </w:pPr>
            <w:r>
              <w:rPr>
                <w:rFonts w:ascii="仿宋_GB2312" w:hAnsi="仿宋_GB2312" w:eastAsia="仿宋_GB2312"/>
                <w:b w:val="0"/>
                <w:sz w:val="20"/>
              </w:rPr>
              <w:t>报警联锁</w:t>
            </w:r>
          </w:p>
        </w:tc>
        <w:tc>
          <w:tcPr>
            <w:tcW w:w="5272" w:type="dxa"/>
            <w:tcMar>
              <w:top w:w="80" w:type="dxa"/>
              <w:left w:w="90" w:type="dxa"/>
              <w:bottom w:w="80" w:type="dxa"/>
              <w:right w:w="90" w:type="dxa"/>
            </w:tcMar>
            <w:vAlign w:val="center"/>
          </w:tcPr>
          <w:p w14:paraId="2F010B1A">
            <w:pPr>
              <w:spacing w:before="0" w:after="0" w:line="288" w:lineRule="auto"/>
              <w:jc w:val="left"/>
            </w:pPr>
            <w:r>
              <w:rPr>
                <w:rFonts w:ascii="仿宋_GB2312" w:hAnsi="仿宋_GB2312" w:eastAsia="仿宋_GB2312"/>
                <w:b w:val="0"/>
                <w:sz w:val="20"/>
              </w:rPr>
              <w:t>报警、联锁、旁路和临时措施状态</w:t>
            </w:r>
          </w:p>
        </w:tc>
        <w:tc>
          <w:tcPr>
            <w:tcW w:w="1984" w:type="dxa"/>
            <w:tcMar>
              <w:top w:w="80" w:type="dxa"/>
              <w:left w:w="90" w:type="dxa"/>
              <w:bottom w:w="80" w:type="dxa"/>
              <w:right w:w="90" w:type="dxa"/>
            </w:tcMar>
            <w:vAlign w:val="center"/>
          </w:tcPr>
          <w:p w14:paraId="49626092">
            <w:pPr>
              <w:spacing w:before="0" w:after="0" w:line="288" w:lineRule="auto"/>
              <w:jc w:val="center"/>
            </w:pPr>
          </w:p>
        </w:tc>
      </w:tr>
      <w:tr w14:paraId="5237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1FBCCEB0">
            <w:pPr>
              <w:spacing w:before="0" w:after="0" w:line="288" w:lineRule="auto"/>
              <w:jc w:val="center"/>
            </w:pPr>
            <w:r>
              <w:rPr>
                <w:rFonts w:ascii="仿宋_GB2312" w:hAnsi="仿宋_GB2312" w:eastAsia="仿宋_GB2312"/>
                <w:b w:val="0"/>
                <w:sz w:val="20"/>
              </w:rPr>
              <w:t>特殊作业</w:t>
            </w:r>
          </w:p>
        </w:tc>
        <w:tc>
          <w:tcPr>
            <w:tcW w:w="5272" w:type="dxa"/>
            <w:tcMar>
              <w:top w:w="80" w:type="dxa"/>
              <w:left w:w="90" w:type="dxa"/>
              <w:bottom w:w="80" w:type="dxa"/>
              <w:right w:w="90" w:type="dxa"/>
            </w:tcMar>
            <w:vAlign w:val="center"/>
          </w:tcPr>
          <w:p w14:paraId="14BE8362">
            <w:pPr>
              <w:spacing w:before="0" w:after="0" w:line="288" w:lineRule="auto"/>
              <w:jc w:val="left"/>
            </w:pPr>
            <w:r>
              <w:rPr>
                <w:rFonts w:ascii="仿宋_GB2312" w:hAnsi="仿宋_GB2312" w:eastAsia="仿宋_GB2312"/>
                <w:b w:val="0"/>
                <w:sz w:val="20"/>
              </w:rPr>
              <w:t>作业类型、地点、人员、监护和影响范围</w:t>
            </w:r>
          </w:p>
        </w:tc>
        <w:tc>
          <w:tcPr>
            <w:tcW w:w="1984" w:type="dxa"/>
            <w:tcMar>
              <w:top w:w="80" w:type="dxa"/>
              <w:left w:w="90" w:type="dxa"/>
              <w:bottom w:w="80" w:type="dxa"/>
              <w:right w:w="90" w:type="dxa"/>
            </w:tcMar>
            <w:vAlign w:val="center"/>
          </w:tcPr>
          <w:p w14:paraId="1CA93AC4">
            <w:pPr>
              <w:spacing w:before="0" w:after="0" w:line="288" w:lineRule="auto"/>
              <w:jc w:val="center"/>
            </w:pPr>
          </w:p>
        </w:tc>
      </w:tr>
      <w:tr w14:paraId="73FC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53910CF6">
            <w:pPr>
              <w:spacing w:before="0" w:after="0" w:line="288" w:lineRule="auto"/>
              <w:jc w:val="center"/>
            </w:pPr>
            <w:r>
              <w:rPr>
                <w:rFonts w:ascii="仿宋_GB2312" w:hAnsi="仿宋_GB2312" w:eastAsia="仿宋_GB2312"/>
                <w:b w:val="0"/>
                <w:sz w:val="20"/>
              </w:rPr>
              <w:t>隔离状态</w:t>
            </w:r>
          </w:p>
        </w:tc>
        <w:tc>
          <w:tcPr>
            <w:tcW w:w="5272" w:type="dxa"/>
            <w:tcMar>
              <w:top w:w="80" w:type="dxa"/>
              <w:left w:w="90" w:type="dxa"/>
              <w:bottom w:w="80" w:type="dxa"/>
              <w:right w:w="90" w:type="dxa"/>
            </w:tcMar>
            <w:vAlign w:val="center"/>
          </w:tcPr>
          <w:p w14:paraId="5A57C10A">
            <w:pPr>
              <w:spacing w:before="0" w:after="0" w:line="288" w:lineRule="auto"/>
              <w:jc w:val="left"/>
            </w:pPr>
            <w:r>
              <w:rPr>
                <w:rFonts w:ascii="仿宋_GB2312" w:hAnsi="仿宋_GB2312" w:eastAsia="仿宋_GB2312"/>
                <w:b w:val="0"/>
                <w:sz w:val="20"/>
              </w:rPr>
              <w:t>盲板、阀门、停送电和挂牌上锁情况</w:t>
            </w:r>
          </w:p>
        </w:tc>
        <w:tc>
          <w:tcPr>
            <w:tcW w:w="1984" w:type="dxa"/>
            <w:tcMar>
              <w:top w:w="80" w:type="dxa"/>
              <w:left w:w="90" w:type="dxa"/>
              <w:bottom w:w="80" w:type="dxa"/>
              <w:right w:w="90" w:type="dxa"/>
            </w:tcMar>
            <w:vAlign w:val="center"/>
          </w:tcPr>
          <w:p w14:paraId="5D3E6847">
            <w:pPr>
              <w:spacing w:before="0" w:after="0" w:line="288" w:lineRule="auto"/>
              <w:jc w:val="center"/>
            </w:pPr>
          </w:p>
        </w:tc>
      </w:tr>
      <w:tr w14:paraId="58CF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7317CFA4">
            <w:pPr>
              <w:spacing w:before="0" w:after="0" w:line="288" w:lineRule="auto"/>
              <w:jc w:val="center"/>
            </w:pPr>
            <w:r>
              <w:rPr>
                <w:rFonts w:ascii="仿宋_GB2312" w:hAnsi="仿宋_GB2312" w:eastAsia="仿宋_GB2312"/>
                <w:b w:val="0"/>
                <w:sz w:val="20"/>
              </w:rPr>
              <w:t>环境与天气</w:t>
            </w:r>
          </w:p>
        </w:tc>
        <w:tc>
          <w:tcPr>
            <w:tcW w:w="5272" w:type="dxa"/>
            <w:tcMar>
              <w:top w:w="80" w:type="dxa"/>
              <w:left w:w="90" w:type="dxa"/>
              <w:bottom w:w="80" w:type="dxa"/>
              <w:right w:w="90" w:type="dxa"/>
            </w:tcMar>
            <w:vAlign w:val="center"/>
          </w:tcPr>
          <w:p w14:paraId="5D354BBC">
            <w:pPr>
              <w:spacing w:before="0" w:after="0" w:line="288" w:lineRule="auto"/>
              <w:jc w:val="left"/>
            </w:pPr>
            <w:r>
              <w:rPr>
                <w:rFonts w:ascii="仿宋_GB2312" w:hAnsi="仿宋_GB2312" w:eastAsia="仿宋_GB2312"/>
                <w:b w:val="0"/>
                <w:sz w:val="20"/>
              </w:rPr>
              <w:t>气象预警、泄漏、排放和现场环境变化</w:t>
            </w:r>
          </w:p>
        </w:tc>
        <w:tc>
          <w:tcPr>
            <w:tcW w:w="1984" w:type="dxa"/>
            <w:tcMar>
              <w:top w:w="80" w:type="dxa"/>
              <w:left w:w="90" w:type="dxa"/>
              <w:bottom w:w="80" w:type="dxa"/>
              <w:right w:w="90" w:type="dxa"/>
            </w:tcMar>
            <w:vAlign w:val="center"/>
          </w:tcPr>
          <w:p w14:paraId="279036C7">
            <w:pPr>
              <w:spacing w:before="0" w:after="0" w:line="288" w:lineRule="auto"/>
              <w:jc w:val="center"/>
            </w:pPr>
          </w:p>
        </w:tc>
      </w:tr>
      <w:tr w14:paraId="560A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01C3724F">
            <w:pPr>
              <w:spacing w:before="0" w:after="0" w:line="288" w:lineRule="auto"/>
              <w:jc w:val="center"/>
            </w:pPr>
            <w:r>
              <w:rPr>
                <w:rFonts w:ascii="仿宋_GB2312" w:hAnsi="仿宋_GB2312" w:eastAsia="仿宋_GB2312"/>
                <w:b w:val="0"/>
                <w:sz w:val="20"/>
              </w:rPr>
              <w:t>应急准备</w:t>
            </w:r>
          </w:p>
        </w:tc>
        <w:tc>
          <w:tcPr>
            <w:tcW w:w="5272" w:type="dxa"/>
            <w:tcMar>
              <w:top w:w="80" w:type="dxa"/>
              <w:left w:w="90" w:type="dxa"/>
              <w:bottom w:w="80" w:type="dxa"/>
              <w:right w:w="90" w:type="dxa"/>
            </w:tcMar>
            <w:vAlign w:val="center"/>
          </w:tcPr>
          <w:p w14:paraId="23EA1957">
            <w:pPr>
              <w:spacing w:before="0" w:after="0" w:line="288" w:lineRule="auto"/>
              <w:jc w:val="left"/>
            </w:pPr>
            <w:r>
              <w:rPr>
                <w:rFonts w:ascii="仿宋_GB2312" w:hAnsi="仿宋_GB2312" w:eastAsia="仿宋_GB2312"/>
                <w:b w:val="0"/>
                <w:sz w:val="20"/>
              </w:rPr>
              <w:t>通道、消防、气体检测、应急物资和通讯</w:t>
            </w:r>
          </w:p>
        </w:tc>
        <w:tc>
          <w:tcPr>
            <w:tcW w:w="1984" w:type="dxa"/>
            <w:tcMar>
              <w:top w:w="80" w:type="dxa"/>
              <w:left w:w="90" w:type="dxa"/>
              <w:bottom w:w="80" w:type="dxa"/>
              <w:right w:w="90" w:type="dxa"/>
            </w:tcMar>
            <w:vAlign w:val="center"/>
          </w:tcPr>
          <w:p w14:paraId="599DAA0A">
            <w:pPr>
              <w:spacing w:before="0" w:after="0" w:line="288" w:lineRule="auto"/>
              <w:jc w:val="center"/>
            </w:pPr>
          </w:p>
        </w:tc>
      </w:tr>
      <w:tr w14:paraId="60A4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Mar>
              <w:top w:w="80" w:type="dxa"/>
              <w:left w:w="90" w:type="dxa"/>
              <w:bottom w:w="80" w:type="dxa"/>
              <w:right w:w="90" w:type="dxa"/>
            </w:tcMar>
            <w:vAlign w:val="center"/>
          </w:tcPr>
          <w:p w14:paraId="52170972">
            <w:pPr>
              <w:spacing w:before="0" w:after="0" w:line="288" w:lineRule="auto"/>
              <w:jc w:val="center"/>
            </w:pPr>
            <w:r>
              <w:rPr>
                <w:rFonts w:ascii="仿宋_GB2312" w:hAnsi="仿宋_GB2312" w:eastAsia="仿宋_GB2312"/>
                <w:b w:val="0"/>
                <w:sz w:val="20"/>
              </w:rPr>
              <w:t>重点提醒</w:t>
            </w:r>
          </w:p>
        </w:tc>
        <w:tc>
          <w:tcPr>
            <w:tcW w:w="5272" w:type="dxa"/>
            <w:tcMar>
              <w:top w:w="80" w:type="dxa"/>
              <w:left w:w="90" w:type="dxa"/>
              <w:bottom w:w="80" w:type="dxa"/>
              <w:right w:w="90" w:type="dxa"/>
            </w:tcMar>
            <w:vAlign w:val="center"/>
          </w:tcPr>
          <w:p w14:paraId="0CDAAC02">
            <w:pPr>
              <w:spacing w:before="0" w:after="0" w:line="288" w:lineRule="auto"/>
              <w:jc w:val="left"/>
            </w:pPr>
            <w:r>
              <w:rPr>
                <w:rFonts w:ascii="仿宋_GB2312" w:hAnsi="仿宋_GB2312" w:eastAsia="仿宋_GB2312"/>
                <w:b w:val="0"/>
                <w:sz w:val="20"/>
              </w:rPr>
              <w:t>本班高风险操作、禁止事项和应急要点</w:t>
            </w:r>
          </w:p>
        </w:tc>
        <w:tc>
          <w:tcPr>
            <w:tcW w:w="1984" w:type="dxa"/>
            <w:tcMar>
              <w:top w:w="80" w:type="dxa"/>
              <w:left w:w="90" w:type="dxa"/>
              <w:bottom w:w="80" w:type="dxa"/>
              <w:right w:w="90" w:type="dxa"/>
            </w:tcMar>
            <w:vAlign w:val="center"/>
          </w:tcPr>
          <w:p w14:paraId="1C0739EB">
            <w:pPr>
              <w:spacing w:before="0" w:after="0" w:line="288" w:lineRule="auto"/>
              <w:jc w:val="center"/>
            </w:pPr>
          </w:p>
        </w:tc>
      </w:tr>
    </w:tbl>
    <w:p w14:paraId="12EA6A33">
      <w:pPr>
        <w:spacing w:after="0"/>
      </w:pPr>
    </w:p>
    <w:p w14:paraId="4526ADBA">
      <w:pPr>
        <w:spacing w:before="0" w:after="0" w:line="360" w:lineRule="auto"/>
        <w:jc w:val="both"/>
      </w:pPr>
      <w:r>
        <w:rPr>
          <w:rFonts w:ascii="仿宋_GB2312" w:hAnsi="仿宋_GB2312" w:eastAsia="仿宋_GB2312"/>
          <w:b w:val="0"/>
          <w:sz w:val="24"/>
        </w:rPr>
        <w:t>交班人：____________  接班人：____________  班组长：____________  时间：____年__月__日__时__分</w:t>
      </w:r>
    </w:p>
    <w:p w14:paraId="294CC055">
      <w:pPr>
        <w:pStyle w:val="3"/>
        <w:keepNext/>
        <w:pageBreakBefore/>
        <w:spacing w:before="0" w:after="200" w:line="360" w:lineRule="auto"/>
        <w:jc w:val="center"/>
      </w:pPr>
      <w:r>
        <w:rPr>
          <w:rFonts w:ascii="方正小标宋简体" w:hAnsi="方正小标宋简体" w:eastAsia="方正小标宋简体"/>
          <w:b/>
          <w:sz w:val="36"/>
        </w:rPr>
        <w:t>附录十  常见异常及应急处置要点卡</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20E8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51" w:type="dxa"/>
            <w:shd w:val="clear" w:color="auto" w:fill="D9EAF7"/>
            <w:tcMar>
              <w:top w:w="80" w:type="dxa"/>
              <w:left w:w="90" w:type="dxa"/>
              <w:bottom w:w="80" w:type="dxa"/>
              <w:right w:w="90" w:type="dxa"/>
            </w:tcMar>
            <w:vAlign w:val="center"/>
          </w:tcPr>
          <w:p w14:paraId="30B2B58A">
            <w:pPr>
              <w:spacing w:before="0" w:after="0" w:line="288" w:lineRule="auto"/>
              <w:jc w:val="center"/>
            </w:pPr>
            <w:r>
              <w:rPr>
                <w:rFonts w:ascii="仿宋_GB2312" w:hAnsi="仿宋_GB2312" w:eastAsia="仿宋_GB2312"/>
                <w:b/>
                <w:sz w:val="20"/>
              </w:rPr>
              <w:t>异常情形</w:t>
            </w:r>
          </w:p>
        </w:tc>
        <w:tc>
          <w:tcPr>
            <w:tcW w:w="6520" w:type="dxa"/>
            <w:shd w:val="clear" w:color="auto" w:fill="D9EAF7"/>
            <w:tcMar>
              <w:top w:w="80" w:type="dxa"/>
              <w:left w:w="90" w:type="dxa"/>
              <w:bottom w:w="80" w:type="dxa"/>
              <w:right w:w="90" w:type="dxa"/>
            </w:tcMar>
            <w:vAlign w:val="center"/>
          </w:tcPr>
          <w:p w14:paraId="546DF8C8">
            <w:pPr>
              <w:spacing w:before="0" w:after="0" w:line="288" w:lineRule="auto"/>
              <w:jc w:val="center"/>
            </w:pPr>
            <w:r>
              <w:rPr>
                <w:rFonts w:ascii="仿宋_GB2312" w:hAnsi="仿宋_GB2312" w:eastAsia="仿宋_GB2312"/>
                <w:b/>
                <w:sz w:val="20"/>
              </w:rPr>
              <w:t>第一处置要点</w:t>
            </w:r>
          </w:p>
        </w:tc>
      </w:tr>
      <w:tr w14:paraId="3F77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11C74A8E">
            <w:pPr>
              <w:spacing w:before="0" w:after="0" w:line="288" w:lineRule="auto"/>
              <w:jc w:val="center"/>
            </w:pPr>
            <w:r>
              <w:rPr>
                <w:rFonts w:ascii="仿宋_GB2312" w:hAnsi="仿宋_GB2312" w:eastAsia="仿宋_GB2312"/>
                <w:b w:val="0"/>
                <w:sz w:val="20"/>
              </w:rPr>
              <w:t>可燃/有毒气体报警</w:t>
            </w:r>
          </w:p>
        </w:tc>
        <w:tc>
          <w:tcPr>
            <w:tcW w:w="6520" w:type="dxa"/>
            <w:tcMar>
              <w:top w:w="80" w:type="dxa"/>
              <w:left w:w="90" w:type="dxa"/>
              <w:bottom w:w="80" w:type="dxa"/>
              <w:right w:w="90" w:type="dxa"/>
            </w:tcMar>
            <w:vAlign w:val="center"/>
          </w:tcPr>
          <w:p w14:paraId="6447EE67">
            <w:pPr>
              <w:spacing w:before="0" w:after="0" w:line="288" w:lineRule="auto"/>
              <w:jc w:val="left"/>
            </w:pPr>
            <w:r>
              <w:rPr>
                <w:rFonts w:ascii="仿宋_GB2312" w:hAnsi="仿宋_GB2312" w:eastAsia="仿宋_GB2312"/>
                <w:b w:val="0"/>
                <w:sz w:val="20"/>
              </w:rPr>
              <w:t>停止点火和非防爆操作，查风向，报告并撤至上风向；禁止无防护查漏</w:t>
            </w:r>
          </w:p>
        </w:tc>
      </w:tr>
      <w:tr w14:paraId="7B58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7E80153F">
            <w:pPr>
              <w:spacing w:before="0" w:after="0" w:line="288" w:lineRule="auto"/>
              <w:jc w:val="center"/>
            </w:pPr>
            <w:r>
              <w:rPr>
                <w:rFonts w:ascii="仿宋_GB2312" w:hAnsi="仿宋_GB2312" w:eastAsia="仿宋_GB2312"/>
                <w:b w:val="0"/>
                <w:sz w:val="20"/>
              </w:rPr>
              <w:t>反应温度快速上升</w:t>
            </w:r>
          </w:p>
        </w:tc>
        <w:tc>
          <w:tcPr>
            <w:tcW w:w="6520" w:type="dxa"/>
            <w:tcMar>
              <w:top w:w="80" w:type="dxa"/>
              <w:left w:w="90" w:type="dxa"/>
              <w:bottom w:w="80" w:type="dxa"/>
              <w:right w:w="90" w:type="dxa"/>
            </w:tcMar>
            <w:vAlign w:val="center"/>
          </w:tcPr>
          <w:p w14:paraId="2F4BC266">
            <w:pPr>
              <w:spacing w:before="0" w:after="0" w:line="288" w:lineRule="auto"/>
              <w:jc w:val="left"/>
            </w:pPr>
            <w:r>
              <w:rPr>
                <w:rFonts w:ascii="仿宋_GB2312" w:hAnsi="仿宋_GB2312" w:eastAsia="仿宋_GB2312"/>
                <w:b w:val="0"/>
                <w:sz w:val="20"/>
              </w:rPr>
              <w:t>停止加料和加热，保持或恢复冷却搅拌，报告并按规程紧急停车</w:t>
            </w:r>
          </w:p>
        </w:tc>
      </w:tr>
      <w:tr w14:paraId="61E2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76165CEB">
            <w:pPr>
              <w:spacing w:before="0" w:after="0" w:line="288" w:lineRule="auto"/>
              <w:jc w:val="center"/>
            </w:pPr>
            <w:r>
              <w:rPr>
                <w:rFonts w:ascii="仿宋_GB2312" w:hAnsi="仿宋_GB2312" w:eastAsia="仿宋_GB2312"/>
                <w:b w:val="0"/>
                <w:sz w:val="20"/>
              </w:rPr>
              <w:t>压力异常升高</w:t>
            </w:r>
          </w:p>
        </w:tc>
        <w:tc>
          <w:tcPr>
            <w:tcW w:w="6520" w:type="dxa"/>
            <w:tcMar>
              <w:top w:w="80" w:type="dxa"/>
              <w:left w:w="90" w:type="dxa"/>
              <w:bottom w:w="80" w:type="dxa"/>
              <w:right w:w="90" w:type="dxa"/>
            </w:tcMar>
            <w:vAlign w:val="center"/>
          </w:tcPr>
          <w:p w14:paraId="54BB91A7">
            <w:pPr>
              <w:spacing w:before="0" w:after="0" w:line="288" w:lineRule="auto"/>
              <w:jc w:val="left"/>
            </w:pPr>
            <w:r>
              <w:rPr>
                <w:rFonts w:ascii="仿宋_GB2312" w:hAnsi="仿宋_GB2312" w:eastAsia="仿宋_GB2312"/>
                <w:b w:val="0"/>
                <w:sz w:val="20"/>
              </w:rPr>
              <w:t>停止进料和热源，确认出口和泄压状态，人员避开设备正面并准备撤离</w:t>
            </w:r>
          </w:p>
        </w:tc>
      </w:tr>
      <w:tr w14:paraId="5440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30F45E70">
            <w:pPr>
              <w:spacing w:before="0" w:after="0" w:line="288" w:lineRule="auto"/>
              <w:jc w:val="center"/>
            </w:pPr>
            <w:r>
              <w:rPr>
                <w:rFonts w:ascii="仿宋_GB2312" w:hAnsi="仿宋_GB2312" w:eastAsia="仿宋_GB2312"/>
                <w:b w:val="0"/>
                <w:sz w:val="20"/>
              </w:rPr>
              <w:t>大量泄漏</w:t>
            </w:r>
          </w:p>
        </w:tc>
        <w:tc>
          <w:tcPr>
            <w:tcW w:w="6520" w:type="dxa"/>
            <w:tcMar>
              <w:top w:w="80" w:type="dxa"/>
              <w:left w:w="90" w:type="dxa"/>
              <w:bottom w:w="80" w:type="dxa"/>
              <w:right w:w="90" w:type="dxa"/>
            </w:tcMar>
            <w:vAlign w:val="center"/>
          </w:tcPr>
          <w:p w14:paraId="32D525FB">
            <w:pPr>
              <w:spacing w:before="0" w:after="0" w:line="288" w:lineRule="auto"/>
              <w:jc w:val="left"/>
            </w:pPr>
            <w:r>
              <w:rPr>
                <w:rFonts w:ascii="仿宋_GB2312" w:hAnsi="仿宋_GB2312" w:eastAsia="仿宋_GB2312"/>
                <w:b w:val="0"/>
                <w:sz w:val="20"/>
              </w:rPr>
              <w:t>报警、警戒、切断来源，防止进入雨水系统；未知介质不得混合收集</w:t>
            </w:r>
          </w:p>
        </w:tc>
      </w:tr>
      <w:tr w14:paraId="3A47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6B07E805">
            <w:pPr>
              <w:spacing w:before="0" w:after="0" w:line="288" w:lineRule="auto"/>
              <w:jc w:val="center"/>
            </w:pPr>
            <w:r>
              <w:rPr>
                <w:rFonts w:ascii="仿宋_GB2312" w:hAnsi="仿宋_GB2312" w:eastAsia="仿宋_GB2312"/>
                <w:b w:val="0"/>
                <w:sz w:val="20"/>
              </w:rPr>
              <w:t>停电/公用工程中断</w:t>
            </w:r>
          </w:p>
        </w:tc>
        <w:tc>
          <w:tcPr>
            <w:tcW w:w="6520" w:type="dxa"/>
            <w:tcMar>
              <w:top w:w="80" w:type="dxa"/>
              <w:left w:w="90" w:type="dxa"/>
              <w:bottom w:w="80" w:type="dxa"/>
              <w:right w:w="90" w:type="dxa"/>
            </w:tcMar>
            <w:vAlign w:val="center"/>
          </w:tcPr>
          <w:p w14:paraId="7ADD97D2">
            <w:pPr>
              <w:spacing w:before="0" w:after="0" w:line="288" w:lineRule="auto"/>
              <w:jc w:val="left"/>
            </w:pPr>
            <w:r>
              <w:rPr>
                <w:rFonts w:ascii="仿宋_GB2312" w:hAnsi="仿宋_GB2312" w:eastAsia="仿宋_GB2312"/>
                <w:b w:val="0"/>
                <w:sz w:val="20"/>
              </w:rPr>
              <w:t>按岗位卡切断物料和热源，确认阀门安全位置，关注惰化、冷却和尾气系统</w:t>
            </w:r>
          </w:p>
        </w:tc>
      </w:tr>
      <w:tr w14:paraId="5BB1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6CB492E0">
            <w:pPr>
              <w:spacing w:before="0" w:after="0" w:line="288" w:lineRule="auto"/>
              <w:jc w:val="center"/>
            </w:pPr>
            <w:r>
              <w:rPr>
                <w:rFonts w:ascii="仿宋_GB2312" w:hAnsi="仿宋_GB2312" w:eastAsia="仿宋_GB2312"/>
                <w:b w:val="0"/>
                <w:sz w:val="20"/>
              </w:rPr>
              <w:t>人员中毒窒息</w:t>
            </w:r>
          </w:p>
        </w:tc>
        <w:tc>
          <w:tcPr>
            <w:tcW w:w="6520" w:type="dxa"/>
            <w:tcMar>
              <w:top w:w="80" w:type="dxa"/>
              <w:left w:w="90" w:type="dxa"/>
              <w:bottom w:w="80" w:type="dxa"/>
              <w:right w:w="90" w:type="dxa"/>
            </w:tcMar>
            <w:vAlign w:val="center"/>
          </w:tcPr>
          <w:p w14:paraId="289DD4CC">
            <w:pPr>
              <w:spacing w:before="0" w:after="0" w:line="288" w:lineRule="auto"/>
              <w:jc w:val="left"/>
            </w:pPr>
            <w:r>
              <w:rPr>
                <w:rFonts w:ascii="仿宋_GB2312" w:hAnsi="仿宋_GB2312" w:eastAsia="仿宋_GB2312"/>
                <w:b w:val="0"/>
                <w:sz w:val="20"/>
              </w:rPr>
              <w:t>立即报警，禁止盲目进入；由佩戴适用呼吸防护的救援人员施救</w:t>
            </w:r>
          </w:p>
        </w:tc>
      </w:tr>
      <w:tr w14:paraId="0EC3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6E392EC3">
            <w:pPr>
              <w:spacing w:before="0" w:after="0" w:line="288" w:lineRule="auto"/>
              <w:jc w:val="center"/>
            </w:pPr>
            <w:r>
              <w:rPr>
                <w:rFonts w:ascii="仿宋_GB2312" w:hAnsi="仿宋_GB2312" w:eastAsia="仿宋_GB2312"/>
                <w:b w:val="0"/>
                <w:sz w:val="20"/>
              </w:rPr>
              <w:t>化学品喷溅</w:t>
            </w:r>
          </w:p>
        </w:tc>
        <w:tc>
          <w:tcPr>
            <w:tcW w:w="6520" w:type="dxa"/>
            <w:tcMar>
              <w:top w:w="80" w:type="dxa"/>
              <w:left w:w="90" w:type="dxa"/>
              <w:bottom w:w="80" w:type="dxa"/>
              <w:right w:w="90" w:type="dxa"/>
            </w:tcMar>
            <w:vAlign w:val="center"/>
          </w:tcPr>
          <w:p w14:paraId="65FB1529">
            <w:pPr>
              <w:spacing w:before="0" w:after="0" w:line="288" w:lineRule="auto"/>
              <w:jc w:val="left"/>
            </w:pPr>
            <w:r>
              <w:rPr>
                <w:rFonts w:ascii="仿宋_GB2312" w:hAnsi="仿宋_GB2312" w:eastAsia="仿宋_GB2312"/>
                <w:b w:val="0"/>
                <w:sz w:val="20"/>
              </w:rPr>
              <w:t>立即使用大量流动清水冲洗，脱除污染衣物并接受医学评估</w:t>
            </w:r>
          </w:p>
        </w:tc>
      </w:tr>
      <w:tr w14:paraId="7A71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6D75356D">
            <w:pPr>
              <w:spacing w:before="0" w:after="0" w:line="288" w:lineRule="auto"/>
              <w:jc w:val="center"/>
            </w:pPr>
            <w:r>
              <w:rPr>
                <w:rFonts w:ascii="仿宋_GB2312" w:hAnsi="仿宋_GB2312" w:eastAsia="仿宋_GB2312"/>
                <w:b w:val="0"/>
                <w:sz w:val="20"/>
              </w:rPr>
              <w:t>初起火灾</w:t>
            </w:r>
          </w:p>
        </w:tc>
        <w:tc>
          <w:tcPr>
            <w:tcW w:w="6520" w:type="dxa"/>
            <w:tcMar>
              <w:top w:w="80" w:type="dxa"/>
              <w:left w:w="90" w:type="dxa"/>
              <w:bottom w:w="80" w:type="dxa"/>
              <w:right w:w="90" w:type="dxa"/>
            </w:tcMar>
            <w:vAlign w:val="center"/>
          </w:tcPr>
          <w:p w14:paraId="1BE0C8F9">
            <w:pPr>
              <w:spacing w:before="0" w:after="0" w:line="288" w:lineRule="auto"/>
              <w:jc w:val="left"/>
            </w:pPr>
            <w:r>
              <w:rPr>
                <w:rFonts w:ascii="仿宋_GB2312" w:hAnsi="仿宋_GB2312" w:eastAsia="仿宋_GB2312"/>
                <w:b w:val="0"/>
                <w:sz w:val="20"/>
              </w:rPr>
              <w:t>报警，安全条件下切断物料能源并使用适用灭火器；火势扩大立即撤离</w:t>
            </w:r>
          </w:p>
        </w:tc>
      </w:tr>
      <w:tr w14:paraId="56AE2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72C8D236">
            <w:pPr>
              <w:spacing w:before="0" w:after="0" w:line="288" w:lineRule="auto"/>
              <w:jc w:val="center"/>
            </w:pPr>
            <w:r>
              <w:rPr>
                <w:rFonts w:ascii="仿宋_GB2312" w:hAnsi="仿宋_GB2312" w:eastAsia="仿宋_GB2312"/>
                <w:b w:val="0"/>
                <w:sz w:val="20"/>
              </w:rPr>
              <w:t>暴雨积水/洪水</w:t>
            </w:r>
          </w:p>
        </w:tc>
        <w:tc>
          <w:tcPr>
            <w:tcW w:w="6520" w:type="dxa"/>
            <w:tcMar>
              <w:top w:w="80" w:type="dxa"/>
              <w:left w:w="90" w:type="dxa"/>
              <w:bottom w:w="80" w:type="dxa"/>
              <w:right w:w="90" w:type="dxa"/>
            </w:tcMar>
            <w:vAlign w:val="center"/>
          </w:tcPr>
          <w:p w14:paraId="4193F0A3">
            <w:pPr>
              <w:spacing w:before="0" w:after="0" w:line="288" w:lineRule="auto"/>
              <w:jc w:val="left"/>
            </w:pPr>
            <w:r>
              <w:rPr>
                <w:rFonts w:ascii="仿宋_GB2312" w:hAnsi="仿宋_GB2312" w:eastAsia="仿宋_GB2312"/>
                <w:b w:val="0"/>
                <w:sz w:val="20"/>
              </w:rPr>
              <w:t>停止受影响作业，转移危险物料，封堵雨水排口并检查事故池和备用电源</w:t>
            </w:r>
          </w:p>
        </w:tc>
      </w:tr>
      <w:tr w14:paraId="6575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Mar>
              <w:top w:w="80" w:type="dxa"/>
              <w:left w:w="90" w:type="dxa"/>
              <w:bottom w:w="80" w:type="dxa"/>
              <w:right w:w="90" w:type="dxa"/>
            </w:tcMar>
            <w:vAlign w:val="center"/>
          </w:tcPr>
          <w:p w14:paraId="21DFED60">
            <w:pPr>
              <w:spacing w:before="0" w:after="0" w:line="288" w:lineRule="auto"/>
              <w:jc w:val="center"/>
            </w:pPr>
            <w:r>
              <w:rPr>
                <w:rFonts w:ascii="仿宋_GB2312" w:hAnsi="仿宋_GB2312" w:eastAsia="仿宋_GB2312"/>
                <w:b w:val="0"/>
                <w:sz w:val="20"/>
              </w:rPr>
              <w:t>地震或周边事故</w:t>
            </w:r>
          </w:p>
        </w:tc>
        <w:tc>
          <w:tcPr>
            <w:tcW w:w="6520" w:type="dxa"/>
            <w:tcMar>
              <w:top w:w="80" w:type="dxa"/>
              <w:left w:w="90" w:type="dxa"/>
              <w:bottom w:w="80" w:type="dxa"/>
              <w:right w:w="90" w:type="dxa"/>
            </w:tcMar>
            <w:vAlign w:val="center"/>
          </w:tcPr>
          <w:p w14:paraId="757D0C70">
            <w:pPr>
              <w:spacing w:before="0" w:after="0" w:line="288" w:lineRule="auto"/>
              <w:jc w:val="left"/>
            </w:pPr>
            <w:r>
              <w:rPr>
                <w:rFonts w:ascii="仿宋_GB2312" w:hAnsi="仿宋_GB2312" w:eastAsia="仿宋_GB2312"/>
                <w:b w:val="0"/>
                <w:sz w:val="20"/>
              </w:rPr>
              <w:t>停止危险操作，切断物料和火源，按指令撤离并清点人员</w:t>
            </w:r>
          </w:p>
        </w:tc>
      </w:tr>
    </w:tbl>
    <w:p w14:paraId="459DD6E5">
      <w:pPr>
        <w:spacing w:after="0"/>
      </w:pPr>
    </w:p>
    <w:p w14:paraId="431C758B">
      <w:pPr>
        <w:spacing w:before="0" w:after="0" w:line="360" w:lineRule="auto"/>
        <w:jc w:val="both"/>
      </w:pPr>
      <w:r>
        <w:rPr>
          <w:rFonts w:ascii="仿宋_GB2312" w:hAnsi="仿宋_GB2312" w:eastAsia="仿宋_GB2312"/>
          <w:b/>
          <w:sz w:val="24"/>
        </w:rPr>
        <w:t>企业应急电话：[填写]    火警：119    医疗急救：120    集合点：[填写]</w:t>
      </w:r>
    </w:p>
    <w:p w14:paraId="61C99438">
      <w:pPr>
        <w:pStyle w:val="3"/>
        <w:keepNext/>
        <w:pageBreakBefore/>
        <w:spacing w:before="0" w:after="200" w:line="360" w:lineRule="auto"/>
        <w:jc w:val="center"/>
      </w:pPr>
      <w:r>
        <w:rPr>
          <w:rFonts w:ascii="方正小标宋简体" w:hAnsi="方正小标宋简体" w:eastAsia="方正小标宋简体"/>
          <w:b/>
          <w:sz w:val="36"/>
        </w:rPr>
        <w:t>附录十一  全员安全培训考核题库（含答案）</w:t>
      </w:r>
    </w:p>
    <w:p w14:paraId="60350ED7">
      <w:pPr>
        <w:pStyle w:val="4"/>
        <w:keepNext/>
        <w:spacing w:before="160" w:after="0" w:line="360" w:lineRule="auto"/>
      </w:pPr>
      <w:r>
        <w:rPr>
          <w:rFonts w:ascii="仿宋_GB2312" w:hAnsi="仿宋_GB2312" w:eastAsia="仿宋_GB2312"/>
          <w:b/>
          <w:sz w:val="28"/>
        </w:rPr>
        <w:t>一、判断题</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5513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370" w:type="dxa"/>
            <w:shd w:val="clear" w:color="auto" w:fill="D9EAF7"/>
            <w:tcMar>
              <w:top w:w="80" w:type="dxa"/>
              <w:left w:w="90" w:type="dxa"/>
              <w:bottom w:w="80" w:type="dxa"/>
              <w:right w:w="90" w:type="dxa"/>
            </w:tcMar>
            <w:vAlign w:val="center"/>
          </w:tcPr>
          <w:p w14:paraId="334BEF73">
            <w:pPr>
              <w:spacing w:before="0" w:after="0" w:line="288" w:lineRule="auto"/>
              <w:jc w:val="center"/>
            </w:pPr>
            <w:r>
              <w:rPr>
                <w:rFonts w:ascii="仿宋_GB2312" w:hAnsi="仿宋_GB2312" w:eastAsia="仿宋_GB2312"/>
                <w:b/>
                <w:sz w:val="20"/>
              </w:rPr>
              <w:t>题目</w:t>
            </w:r>
          </w:p>
        </w:tc>
        <w:tc>
          <w:tcPr>
            <w:tcW w:w="1701" w:type="dxa"/>
            <w:shd w:val="clear" w:color="auto" w:fill="D9EAF7"/>
            <w:tcMar>
              <w:top w:w="80" w:type="dxa"/>
              <w:left w:w="90" w:type="dxa"/>
              <w:bottom w:w="80" w:type="dxa"/>
              <w:right w:w="90" w:type="dxa"/>
            </w:tcMar>
            <w:vAlign w:val="center"/>
          </w:tcPr>
          <w:p w14:paraId="0AF3E3F1">
            <w:pPr>
              <w:spacing w:before="0" w:after="0" w:line="288" w:lineRule="auto"/>
              <w:jc w:val="center"/>
            </w:pPr>
            <w:r>
              <w:rPr>
                <w:rFonts w:ascii="仿宋_GB2312" w:hAnsi="仿宋_GB2312" w:eastAsia="仿宋_GB2312"/>
                <w:b/>
                <w:sz w:val="20"/>
              </w:rPr>
              <w:t>答案</w:t>
            </w:r>
          </w:p>
        </w:tc>
      </w:tr>
      <w:tr w14:paraId="2F33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2E5B9E00">
            <w:pPr>
              <w:spacing w:before="0" w:after="0" w:line="288" w:lineRule="auto"/>
              <w:jc w:val="left"/>
            </w:pPr>
            <w:r>
              <w:rPr>
                <w:rFonts w:ascii="仿宋_GB2312" w:hAnsi="仿宋_GB2312" w:eastAsia="仿宋_GB2312"/>
                <w:b w:val="0"/>
                <w:sz w:val="20"/>
              </w:rPr>
              <w:t>1. 只要生产任务紧急，报警联锁可以由班组临时屏蔽。</w:t>
            </w:r>
          </w:p>
        </w:tc>
        <w:tc>
          <w:tcPr>
            <w:tcW w:w="1701" w:type="dxa"/>
            <w:tcMar>
              <w:top w:w="80" w:type="dxa"/>
              <w:left w:w="90" w:type="dxa"/>
              <w:bottom w:w="80" w:type="dxa"/>
              <w:right w:w="90" w:type="dxa"/>
            </w:tcMar>
            <w:vAlign w:val="center"/>
          </w:tcPr>
          <w:p w14:paraId="020DCE82">
            <w:pPr>
              <w:spacing w:before="0" w:after="0" w:line="288" w:lineRule="auto"/>
              <w:jc w:val="center"/>
            </w:pPr>
            <w:r>
              <w:rPr>
                <w:rFonts w:ascii="仿宋_GB2312" w:hAnsi="仿宋_GB2312" w:eastAsia="仿宋_GB2312"/>
                <w:b w:val="0"/>
                <w:sz w:val="20"/>
              </w:rPr>
              <w:t>错误</w:t>
            </w:r>
          </w:p>
        </w:tc>
      </w:tr>
      <w:tr w14:paraId="7D8D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13D3DDF3">
            <w:pPr>
              <w:spacing w:before="0" w:after="0" w:line="288" w:lineRule="auto"/>
              <w:jc w:val="left"/>
            </w:pPr>
            <w:r>
              <w:rPr>
                <w:rFonts w:ascii="仿宋_GB2312" w:hAnsi="仿宋_GB2312" w:eastAsia="仿宋_GB2312"/>
                <w:b w:val="0"/>
                <w:sz w:val="20"/>
              </w:rPr>
              <w:t>2. 发现温度上升速度异常时，应立即停止加料并按规程处置。</w:t>
            </w:r>
          </w:p>
        </w:tc>
        <w:tc>
          <w:tcPr>
            <w:tcW w:w="1701" w:type="dxa"/>
            <w:tcMar>
              <w:top w:w="80" w:type="dxa"/>
              <w:left w:w="90" w:type="dxa"/>
              <w:bottom w:w="80" w:type="dxa"/>
              <w:right w:w="90" w:type="dxa"/>
            </w:tcMar>
            <w:vAlign w:val="center"/>
          </w:tcPr>
          <w:p w14:paraId="1A99952B">
            <w:pPr>
              <w:spacing w:before="0" w:after="0" w:line="288" w:lineRule="auto"/>
              <w:jc w:val="center"/>
            </w:pPr>
            <w:r>
              <w:rPr>
                <w:rFonts w:ascii="仿宋_GB2312" w:hAnsi="仿宋_GB2312" w:eastAsia="仿宋_GB2312"/>
                <w:b w:val="0"/>
                <w:sz w:val="20"/>
              </w:rPr>
              <w:t>正确</w:t>
            </w:r>
          </w:p>
        </w:tc>
      </w:tr>
      <w:tr w14:paraId="14FC9F77">
        <w:tblPrEx>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7DCF46E8">
            <w:pPr>
              <w:spacing w:before="0" w:after="0" w:line="288" w:lineRule="auto"/>
              <w:jc w:val="left"/>
            </w:pPr>
            <w:r>
              <w:rPr>
                <w:rFonts w:ascii="仿宋_GB2312" w:hAnsi="仿宋_GB2312" w:eastAsia="仿宋_GB2312"/>
                <w:b w:val="0"/>
                <w:sz w:val="20"/>
              </w:rPr>
              <w:t>3. 受限空间救援时，看到人员昏迷应立即徒手进入。</w:t>
            </w:r>
          </w:p>
        </w:tc>
        <w:tc>
          <w:tcPr>
            <w:tcW w:w="1701" w:type="dxa"/>
            <w:tcMar>
              <w:top w:w="80" w:type="dxa"/>
              <w:left w:w="90" w:type="dxa"/>
              <w:bottom w:w="80" w:type="dxa"/>
              <w:right w:w="90" w:type="dxa"/>
            </w:tcMar>
            <w:vAlign w:val="center"/>
          </w:tcPr>
          <w:p w14:paraId="7E859701">
            <w:pPr>
              <w:spacing w:before="0" w:after="0" w:line="288" w:lineRule="auto"/>
              <w:jc w:val="center"/>
            </w:pPr>
            <w:r>
              <w:rPr>
                <w:rFonts w:ascii="仿宋_GB2312" w:hAnsi="仿宋_GB2312" w:eastAsia="仿宋_GB2312"/>
                <w:b w:val="0"/>
                <w:sz w:val="20"/>
              </w:rPr>
              <w:t>错误</w:t>
            </w:r>
          </w:p>
        </w:tc>
      </w:tr>
      <w:tr w14:paraId="6E6D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764A5AB7">
            <w:pPr>
              <w:spacing w:before="0" w:after="0" w:line="288" w:lineRule="auto"/>
              <w:jc w:val="left"/>
            </w:pPr>
            <w:r>
              <w:rPr>
                <w:rFonts w:ascii="仿宋_GB2312" w:hAnsi="仿宋_GB2312" w:eastAsia="仿宋_GB2312"/>
                <w:b w:val="0"/>
                <w:sz w:val="20"/>
              </w:rPr>
              <w:t>4. 特殊作业现场条件变化时，应停止作业并重新确认。</w:t>
            </w:r>
          </w:p>
        </w:tc>
        <w:tc>
          <w:tcPr>
            <w:tcW w:w="1701" w:type="dxa"/>
            <w:tcMar>
              <w:top w:w="80" w:type="dxa"/>
              <w:left w:w="90" w:type="dxa"/>
              <w:bottom w:w="80" w:type="dxa"/>
              <w:right w:w="90" w:type="dxa"/>
            </w:tcMar>
            <w:vAlign w:val="center"/>
          </w:tcPr>
          <w:p w14:paraId="2B3FAC34">
            <w:pPr>
              <w:spacing w:before="0" w:after="0" w:line="288" w:lineRule="auto"/>
              <w:jc w:val="center"/>
            </w:pPr>
            <w:r>
              <w:rPr>
                <w:rFonts w:ascii="仿宋_GB2312" w:hAnsi="仿宋_GB2312" w:eastAsia="仿宋_GB2312"/>
                <w:b w:val="0"/>
                <w:sz w:val="20"/>
              </w:rPr>
              <w:t>正确</w:t>
            </w:r>
          </w:p>
        </w:tc>
      </w:tr>
      <w:tr w14:paraId="606C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1B7E5D28">
            <w:pPr>
              <w:spacing w:before="0" w:after="0" w:line="288" w:lineRule="auto"/>
              <w:jc w:val="left"/>
            </w:pPr>
            <w:r>
              <w:rPr>
                <w:rFonts w:ascii="仿宋_GB2312" w:hAnsi="仿宋_GB2312" w:eastAsia="仿宋_GB2312"/>
                <w:b w:val="0"/>
                <w:sz w:val="20"/>
              </w:rPr>
              <w:t>5. 危险化学品标签不清时，可以根据气味判断后使用。</w:t>
            </w:r>
          </w:p>
        </w:tc>
        <w:tc>
          <w:tcPr>
            <w:tcW w:w="1701" w:type="dxa"/>
            <w:tcMar>
              <w:top w:w="80" w:type="dxa"/>
              <w:left w:w="90" w:type="dxa"/>
              <w:bottom w:w="80" w:type="dxa"/>
              <w:right w:w="90" w:type="dxa"/>
            </w:tcMar>
            <w:vAlign w:val="center"/>
          </w:tcPr>
          <w:p w14:paraId="1C9B1DF0">
            <w:pPr>
              <w:spacing w:before="0" w:after="0" w:line="288" w:lineRule="auto"/>
              <w:jc w:val="center"/>
            </w:pPr>
            <w:r>
              <w:rPr>
                <w:rFonts w:ascii="仿宋_GB2312" w:hAnsi="仿宋_GB2312" w:eastAsia="仿宋_GB2312"/>
                <w:b w:val="0"/>
                <w:sz w:val="20"/>
              </w:rPr>
              <w:t>错误</w:t>
            </w:r>
          </w:p>
        </w:tc>
      </w:tr>
      <w:tr w14:paraId="36C8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55C87ACB">
            <w:pPr>
              <w:spacing w:before="0" w:after="0" w:line="288" w:lineRule="auto"/>
              <w:jc w:val="left"/>
            </w:pPr>
            <w:r>
              <w:rPr>
                <w:rFonts w:ascii="仿宋_GB2312" w:hAnsi="仿宋_GB2312" w:eastAsia="仿宋_GB2312"/>
                <w:b w:val="0"/>
                <w:sz w:val="20"/>
              </w:rPr>
              <w:t>6. 高处作业安全带应系挂在可靠位置并保持连续保护。</w:t>
            </w:r>
          </w:p>
        </w:tc>
        <w:tc>
          <w:tcPr>
            <w:tcW w:w="1701" w:type="dxa"/>
            <w:tcMar>
              <w:top w:w="80" w:type="dxa"/>
              <w:left w:w="90" w:type="dxa"/>
              <w:bottom w:w="80" w:type="dxa"/>
              <w:right w:w="90" w:type="dxa"/>
            </w:tcMar>
            <w:vAlign w:val="center"/>
          </w:tcPr>
          <w:p w14:paraId="6F2D874D">
            <w:pPr>
              <w:spacing w:before="0" w:after="0" w:line="288" w:lineRule="auto"/>
              <w:jc w:val="center"/>
            </w:pPr>
            <w:r>
              <w:rPr>
                <w:rFonts w:ascii="仿宋_GB2312" w:hAnsi="仿宋_GB2312" w:eastAsia="仿宋_GB2312"/>
                <w:b w:val="0"/>
                <w:sz w:val="20"/>
              </w:rPr>
              <w:t>正确</w:t>
            </w:r>
          </w:p>
        </w:tc>
      </w:tr>
      <w:tr w14:paraId="70D5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61697786">
            <w:pPr>
              <w:spacing w:before="0" w:after="0" w:line="288" w:lineRule="auto"/>
              <w:jc w:val="left"/>
            </w:pPr>
            <w:r>
              <w:rPr>
                <w:rFonts w:ascii="仿宋_GB2312" w:hAnsi="仿宋_GB2312" w:eastAsia="仿宋_GB2312"/>
                <w:b w:val="0"/>
                <w:sz w:val="20"/>
              </w:rPr>
              <w:t>7. 设备检修前只要关闭阀门即可，不需要泄压和验证。</w:t>
            </w:r>
          </w:p>
        </w:tc>
        <w:tc>
          <w:tcPr>
            <w:tcW w:w="1701" w:type="dxa"/>
            <w:tcMar>
              <w:top w:w="80" w:type="dxa"/>
              <w:left w:w="90" w:type="dxa"/>
              <w:bottom w:w="80" w:type="dxa"/>
              <w:right w:w="90" w:type="dxa"/>
            </w:tcMar>
            <w:vAlign w:val="center"/>
          </w:tcPr>
          <w:p w14:paraId="38E6DF22">
            <w:pPr>
              <w:spacing w:before="0" w:after="0" w:line="288" w:lineRule="auto"/>
              <w:jc w:val="center"/>
            </w:pPr>
            <w:r>
              <w:rPr>
                <w:rFonts w:ascii="仿宋_GB2312" w:hAnsi="仿宋_GB2312" w:eastAsia="仿宋_GB2312"/>
                <w:b w:val="0"/>
                <w:sz w:val="20"/>
              </w:rPr>
              <w:t>错误</w:t>
            </w:r>
          </w:p>
        </w:tc>
      </w:tr>
      <w:tr w14:paraId="185D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24CBA633">
            <w:pPr>
              <w:spacing w:before="0" w:after="0" w:line="288" w:lineRule="auto"/>
              <w:jc w:val="left"/>
            </w:pPr>
            <w:r>
              <w:rPr>
                <w:rFonts w:ascii="仿宋_GB2312" w:hAnsi="仿宋_GB2312" w:eastAsia="仿宋_GB2312"/>
                <w:b w:val="0"/>
                <w:sz w:val="20"/>
              </w:rPr>
              <w:t>8. 任何员工都有权拒绝违章指挥和强令冒险作业。</w:t>
            </w:r>
          </w:p>
        </w:tc>
        <w:tc>
          <w:tcPr>
            <w:tcW w:w="1701" w:type="dxa"/>
            <w:tcMar>
              <w:top w:w="80" w:type="dxa"/>
              <w:left w:w="90" w:type="dxa"/>
              <w:bottom w:w="80" w:type="dxa"/>
              <w:right w:w="90" w:type="dxa"/>
            </w:tcMar>
            <w:vAlign w:val="center"/>
          </w:tcPr>
          <w:p w14:paraId="526316BA">
            <w:pPr>
              <w:spacing w:before="0" w:after="0" w:line="288" w:lineRule="auto"/>
              <w:jc w:val="center"/>
            </w:pPr>
            <w:r>
              <w:rPr>
                <w:rFonts w:ascii="仿宋_GB2312" w:hAnsi="仿宋_GB2312" w:eastAsia="仿宋_GB2312"/>
                <w:b w:val="0"/>
                <w:sz w:val="20"/>
              </w:rPr>
              <w:t>正确</w:t>
            </w:r>
          </w:p>
        </w:tc>
      </w:tr>
      <w:tr w14:paraId="76C4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3F218E81">
            <w:pPr>
              <w:spacing w:before="0" w:after="0" w:line="288" w:lineRule="auto"/>
              <w:jc w:val="left"/>
            </w:pPr>
            <w:r>
              <w:rPr>
                <w:rFonts w:ascii="仿宋_GB2312" w:hAnsi="仿宋_GB2312" w:eastAsia="仿宋_GB2312"/>
                <w:b w:val="0"/>
                <w:sz w:val="20"/>
              </w:rPr>
              <w:t>9. 初起火灾处置时必须保留撤退通道。</w:t>
            </w:r>
          </w:p>
        </w:tc>
        <w:tc>
          <w:tcPr>
            <w:tcW w:w="1701" w:type="dxa"/>
            <w:tcMar>
              <w:top w:w="80" w:type="dxa"/>
              <w:left w:w="90" w:type="dxa"/>
              <w:bottom w:w="80" w:type="dxa"/>
              <w:right w:w="90" w:type="dxa"/>
            </w:tcMar>
            <w:vAlign w:val="center"/>
          </w:tcPr>
          <w:p w14:paraId="1E4C206B">
            <w:pPr>
              <w:spacing w:before="0" w:after="0" w:line="288" w:lineRule="auto"/>
              <w:jc w:val="center"/>
            </w:pPr>
            <w:r>
              <w:rPr>
                <w:rFonts w:ascii="仿宋_GB2312" w:hAnsi="仿宋_GB2312" w:eastAsia="仿宋_GB2312"/>
                <w:b w:val="0"/>
                <w:sz w:val="20"/>
              </w:rPr>
              <w:t>正确</w:t>
            </w:r>
          </w:p>
        </w:tc>
      </w:tr>
      <w:tr w14:paraId="3D099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077FE7EA">
            <w:pPr>
              <w:spacing w:before="0" w:after="0" w:line="288" w:lineRule="auto"/>
              <w:jc w:val="left"/>
            </w:pPr>
            <w:r>
              <w:rPr>
                <w:rFonts w:ascii="仿宋_GB2312" w:hAnsi="仿宋_GB2312" w:eastAsia="仿宋_GB2312"/>
                <w:b w:val="0"/>
                <w:sz w:val="20"/>
              </w:rPr>
              <w:t>10. 生产记录可以在下班前根据记忆集中补填。</w:t>
            </w:r>
          </w:p>
        </w:tc>
        <w:tc>
          <w:tcPr>
            <w:tcW w:w="1701" w:type="dxa"/>
            <w:tcMar>
              <w:top w:w="80" w:type="dxa"/>
              <w:left w:w="90" w:type="dxa"/>
              <w:bottom w:w="80" w:type="dxa"/>
              <w:right w:w="90" w:type="dxa"/>
            </w:tcMar>
            <w:vAlign w:val="center"/>
          </w:tcPr>
          <w:p w14:paraId="67F3B57D">
            <w:pPr>
              <w:spacing w:before="0" w:after="0" w:line="288" w:lineRule="auto"/>
              <w:jc w:val="center"/>
            </w:pPr>
            <w:r>
              <w:rPr>
                <w:rFonts w:ascii="仿宋_GB2312" w:hAnsi="仿宋_GB2312" w:eastAsia="仿宋_GB2312"/>
                <w:b w:val="0"/>
                <w:sz w:val="20"/>
              </w:rPr>
              <w:t>错误</w:t>
            </w:r>
          </w:p>
        </w:tc>
      </w:tr>
      <w:tr w14:paraId="5D03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230D041E">
            <w:pPr>
              <w:spacing w:before="0" w:after="0" w:line="288" w:lineRule="auto"/>
              <w:jc w:val="left"/>
            </w:pPr>
            <w:r>
              <w:rPr>
                <w:rFonts w:ascii="仿宋_GB2312" w:hAnsi="仿宋_GB2312" w:eastAsia="仿宋_GB2312"/>
                <w:b w:val="0"/>
                <w:sz w:val="20"/>
              </w:rPr>
              <w:t>11. 易燃液体转移时应落实接地和等电位连接。</w:t>
            </w:r>
          </w:p>
        </w:tc>
        <w:tc>
          <w:tcPr>
            <w:tcW w:w="1701" w:type="dxa"/>
            <w:tcMar>
              <w:top w:w="80" w:type="dxa"/>
              <w:left w:w="90" w:type="dxa"/>
              <w:bottom w:w="80" w:type="dxa"/>
              <w:right w:w="90" w:type="dxa"/>
            </w:tcMar>
            <w:vAlign w:val="center"/>
          </w:tcPr>
          <w:p w14:paraId="6DC40E4C">
            <w:pPr>
              <w:spacing w:before="0" w:after="0" w:line="288" w:lineRule="auto"/>
              <w:jc w:val="center"/>
            </w:pPr>
            <w:r>
              <w:rPr>
                <w:rFonts w:ascii="仿宋_GB2312" w:hAnsi="仿宋_GB2312" w:eastAsia="仿宋_GB2312"/>
                <w:b w:val="0"/>
                <w:sz w:val="20"/>
              </w:rPr>
              <w:t>正确</w:t>
            </w:r>
          </w:p>
        </w:tc>
      </w:tr>
      <w:tr w14:paraId="1AB8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3FD5733E">
            <w:pPr>
              <w:spacing w:before="0" w:after="0" w:line="288" w:lineRule="auto"/>
              <w:jc w:val="left"/>
            </w:pPr>
            <w:r>
              <w:rPr>
                <w:rFonts w:ascii="仿宋_GB2312" w:hAnsi="仿宋_GB2312" w:eastAsia="仿宋_GB2312"/>
                <w:b w:val="0"/>
                <w:sz w:val="20"/>
              </w:rPr>
              <w:t>12. 过滤式防毒面具可用于缺氧环境。</w:t>
            </w:r>
          </w:p>
        </w:tc>
        <w:tc>
          <w:tcPr>
            <w:tcW w:w="1701" w:type="dxa"/>
            <w:tcMar>
              <w:top w:w="80" w:type="dxa"/>
              <w:left w:w="90" w:type="dxa"/>
              <w:bottom w:w="80" w:type="dxa"/>
              <w:right w:w="90" w:type="dxa"/>
            </w:tcMar>
            <w:vAlign w:val="center"/>
          </w:tcPr>
          <w:p w14:paraId="697998CD">
            <w:pPr>
              <w:spacing w:before="0" w:after="0" w:line="288" w:lineRule="auto"/>
              <w:jc w:val="center"/>
            </w:pPr>
            <w:r>
              <w:rPr>
                <w:rFonts w:ascii="仿宋_GB2312" w:hAnsi="仿宋_GB2312" w:eastAsia="仿宋_GB2312"/>
                <w:b w:val="0"/>
                <w:sz w:val="20"/>
              </w:rPr>
              <w:t>错误</w:t>
            </w:r>
          </w:p>
        </w:tc>
      </w:tr>
      <w:tr w14:paraId="3D6D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6A035487">
            <w:pPr>
              <w:spacing w:before="0" w:after="0" w:line="288" w:lineRule="auto"/>
              <w:jc w:val="left"/>
            </w:pPr>
            <w:r>
              <w:rPr>
                <w:rFonts w:ascii="仿宋_GB2312" w:hAnsi="仿宋_GB2312" w:eastAsia="仿宋_GB2312"/>
                <w:b w:val="0"/>
                <w:sz w:val="20"/>
              </w:rPr>
              <w:t>13. 设备联锁动作后，查明原因前不得强行复位。</w:t>
            </w:r>
          </w:p>
        </w:tc>
        <w:tc>
          <w:tcPr>
            <w:tcW w:w="1701" w:type="dxa"/>
            <w:tcMar>
              <w:top w:w="80" w:type="dxa"/>
              <w:left w:w="90" w:type="dxa"/>
              <w:bottom w:w="80" w:type="dxa"/>
              <w:right w:w="90" w:type="dxa"/>
            </w:tcMar>
            <w:vAlign w:val="center"/>
          </w:tcPr>
          <w:p w14:paraId="144FA012">
            <w:pPr>
              <w:spacing w:before="0" w:after="0" w:line="288" w:lineRule="auto"/>
              <w:jc w:val="center"/>
            </w:pPr>
            <w:r>
              <w:rPr>
                <w:rFonts w:ascii="仿宋_GB2312" w:hAnsi="仿宋_GB2312" w:eastAsia="仿宋_GB2312"/>
                <w:b w:val="0"/>
                <w:sz w:val="20"/>
              </w:rPr>
              <w:t>正确</w:t>
            </w:r>
          </w:p>
        </w:tc>
      </w:tr>
      <w:tr w14:paraId="1700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096362F9">
            <w:pPr>
              <w:spacing w:before="0" w:after="0" w:line="288" w:lineRule="auto"/>
              <w:jc w:val="left"/>
            </w:pPr>
            <w:r>
              <w:rPr>
                <w:rFonts w:ascii="仿宋_GB2312" w:hAnsi="仿宋_GB2312" w:eastAsia="仿宋_GB2312"/>
                <w:b w:val="0"/>
                <w:sz w:val="20"/>
              </w:rPr>
              <w:t>14. 装卸作业过程中操作人员可以短时离开。</w:t>
            </w:r>
          </w:p>
        </w:tc>
        <w:tc>
          <w:tcPr>
            <w:tcW w:w="1701" w:type="dxa"/>
            <w:tcMar>
              <w:top w:w="80" w:type="dxa"/>
              <w:left w:w="90" w:type="dxa"/>
              <w:bottom w:w="80" w:type="dxa"/>
              <w:right w:w="90" w:type="dxa"/>
            </w:tcMar>
            <w:vAlign w:val="center"/>
          </w:tcPr>
          <w:p w14:paraId="154ABB79">
            <w:pPr>
              <w:spacing w:before="0" w:after="0" w:line="288" w:lineRule="auto"/>
              <w:jc w:val="center"/>
            </w:pPr>
            <w:r>
              <w:rPr>
                <w:rFonts w:ascii="仿宋_GB2312" w:hAnsi="仿宋_GB2312" w:eastAsia="仿宋_GB2312"/>
                <w:b w:val="0"/>
                <w:sz w:val="20"/>
              </w:rPr>
              <w:t>错误</w:t>
            </w:r>
          </w:p>
        </w:tc>
      </w:tr>
      <w:tr w14:paraId="53EA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0" w:type="dxa"/>
            <w:tcMar>
              <w:top w:w="80" w:type="dxa"/>
              <w:left w:w="90" w:type="dxa"/>
              <w:bottom w:w="80" w:type="dxa"/>
              <w:right w:w="90" w:type="dxa"/>
            </w:tcMar>
            <w:vAlign w:val="center"/>
          </w:tcPr>
          <w:p w14:paraId="677EAA68">
            <w:pPr>
              <w:spacing w:before="0" w:after="0" w:line="288" w:lineRule="auto"/>
              <w:jc w:val="left"/>
            </w:pPr>
            <w:r>
              <w:rPr>
                <w:rFonts w:ascii="仿宋_GB2312" w:hAnsi="仿宋_GB2312" w:eastAsia="仿宋_GB2312"/>
                <w:b w:val="0"/>
                <w:sz w:val="20"/>
              </w:rPr>
              <w:t>15. 未遂事件没有造成损失，可以不报告。</w:t>
            </w:r>
          </w:p>
        </w:tc>
        <w:tc>
          <w:tcPr>
            <w:tcW w:w="1701" w:type="dxa"/>
            <w:tcMar>
              <w:top w:w="80" w:type="dxa"/>
              <w:left w:w="90" w:type="dxa"/>
              <w:bottom w:w="80" w:type="dxa"/>
              <w:right w:w="90" w:type="dxa"/>
            </w:tcMar>
            <w:vAlign w:val="center"/>
          </w:tcPr>
          <w:p w14:paraId="6E50F5CB">
            <w:pPr>
              <w:spacing w:before="0" w:after="0" w:line="288" w:lineRule="auto"/>
              <w:jc w:val="center"/>
            </w:pPr>
            <w:r>
              <w:rPr>
                <w:rFonts w:ascii="仿宋_GB2312" w:hAnsi="仿宋_GB2312" w:eastAsia="仿宋_GB2312"/>
                <w:b w:val="0"/>
                <w:sz w:val="20"/>
              </w:rPr>
              <w:t>错误</w:t>
            </w:r>
          </w:p>
        </w:tc>
      </w:tr>
    </w:tbl>
    <w:p w14:paraId="527A0274">
      <w:pPr>
        <w:spacing w:after="0"/>
      </w:pPr>
    </w:p>
    <w:p w14:paraId="61F69D39">
      <w:pPr>
        <w:pStyle w:val="4"/>
        <w:keepNext/>
        <w:spacing w:before="160" w:after="0" w:line="360" w:lineRule="auto"/>
      </w:pPr>
      <w:r>
        <w:rPr>
          <w:rFonts w:ascii="仿宋_GB2312" w:hAnsi="仿宋_GB2312" w:eastAsia="仿宋_GB2312"/>
          <w:b/>
          <w:sz w:val="28"/>
        </w:rPr>
        <w:t>二、单项选择题</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6E73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572" w:type="dxa"/>
            <w:shd w:val="clear" w:color="auto" w:fill="D9EAF7"/>
            <w:tcMar>
              <w:top w:w="80" w:type="dxa"/>
              <w:left w:w="90" w:type="dxa"/>
              <w:bottom w:w="80" w:type="dxa"/>
              <w:right w:w="90" w:type="dxa"/>
            </w:tcMar>
            <w:vAlign w:val="center"/>
          </w:tcPr>
          <w:p w14:paraId="1CEE7B81">
            <w:pPr>
              <w:spacing w:before="0" w:after="0" w:line="288" w:lineRule="auto"/>
              <w:jc w:val="center"/>
            </w:pPr>
            <w:r>
              <w:rPr>
                <w:rFonts w:ascii="仿宋_GB2312" w:hAnsi="仿宋_GB2312" w:eastAsia="仿宋_GB2312"/>
                <w:b/>
                <w:sz w:val="18"/>
              </w:rPr>
              <w:t>题目</w:t>
            </w:r>
          </w:p>
        </w:tc>
        <w:tc>
          <w:tcPr>
            <w:tcW w:w="4365" w:type="dxa"/>
            <w:shd w:val="clear" w:color="auto" w:fill="D9EAF7"/>
            <w:tcMar>
              <w:top w:w="80" w:type="dxa"/>
              <w:left w:w="90" w:type="dxa"/>
              <w:bottom w:w="80" w:type="dxa"/>
              <w:right w:w="90" w:type="dxa"/>
            </w:tcMar>
            <w:vAlign w:val="center"/>
          </w:tcPr>
          <w:p w14:paraId="1614809F">
            <w:pPr>
              <w:spacing w:before="0" w:after="0" w:line="288" w:lineRule="auto"/>
              <w:jc w:val="center"/>
            </w:pPr>
            <w:r>
              <w:rPr>
                <w:rFonts w:ascii="仿宋_GB2312" w:hAnsi="仿宋_GB2312" w:eastAsia="仿宋_GB2312"/>
                <w:b/>
                <w:sz w:val="18"/>
              </w:rPr>
              <w:t>选项</w:t>
            </w:r>
          </w:p>
        </w:tc>
        <w:tc>
          <w:tcPr>
            <w:tcW w:w="1134" w:type="dxa"/>
            <w:shd w:val="clear" w:color="auto" w:fill="D9EAF7"/>
            <w:tcMar>
              <w:top w:w="80" w:type="dxa"/>
              <w:left w:w="90" w:type="dxa"/>
              <w:bottom w:w="80" w:type="dxa"/>
              <w:right w:w="90" w:type="dxa"/>
            </w:tcMar>
            <w:vAlign w:val="center"/>
          </w:tcPr>
          <w:p w14:paraId="5E7EFCBC">
            <w:pPr>
              <w:spacing w:before="0" w:after="0" w:line="288" w:lineRule="auto"/>
              <w:jc w:val="center"/>
            </w:pPr>
            <w:r>
              <w:rPr>
                <w:rFonts w:ascii="仿宋_GB2312" w:hAnsi="仿宋_GB2312" w:eastAsia="仿宋_GB2312"/>
                <w:b/>
                <w:sz w:val="18"/>
              </w:rPr>
              <w:t>答案</w:t>
            </w:r>
          </w:p>
        </w:tc>
      </w:tr>
      <w:tr w14:paraId="30A5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5E98479F">
            <w:pPr>
              <w:spacing w:before="0" w:after="0" w:line="288" w:lineRule="auto"/>
              <w:jc w:val="left"/>
            </w:pPr>
            <w:r>
              <w:rPr>
                <w:rFonts w:ascii="仿宋_GB2312" w:hAnsi="仿宋_GB2312" w:eastAsia="仿宋_GB2312"/>
                <w:b w:val="0"/>
                <w:sz w:val="18"/>
              </w:rPr>
              <w:t>1. 发现大量不明气体泄漏，第一步应当是（ ）。</w:t>
            </w:r>
          </w:p>
        </w:tc>
        <w:tc>
          <w:tcPr>
            <w:tcW w:w="4365" w:type="dxa"/>
            <w:tcMar>
              <w:top w:w="80" w:type="dxa"/>
              <w:left w:w="90" w:type="dxa"/>
              <w:bottom w:w="80" w:type="dxa"/>
              <w:right w:w="90" w:type="dxa"/>
            </w:tcMar>
            <w:vAlign w:val="center"/>
          </w:tcPr>
          <w:p w14:paraId="4CB39A4C">
            <w:pPr>
              <w:spacing w:before="0" w:after="0" w:line="288" w:lineRule="auto"/>
              <w:jc w:val="left"/>
            </w:pPr>
            <w:r>
              <w:rPr>
                <w:rFonts w:ascii="仿宋_GB2312" w:hAnsi="仿宋_GB2312" w:eastAsia="仿宋_GB2312"/>
                <w:b w:val="0"/>
                <w:sz w:val="18"/>
              </w:rPr>
              <w:t>A. 靠近闻气味  B. 报警并向上风向撤离  C. 用水冲洗  D. 继续生产</w:t>
            </w:r>
          </w:p>
        </w:tc>
        <w:tc>
          <w:tcPr>
            <w:tcW w:w="1134" w:type="dxa"/>
            <w:tcMar>
              <w:top w:w="80" w:type="dxa"/>
              <w:left w:w="90" w:type="dxa"/>
              <w:bottom w:w="80" w:type="dxa"/>
              <w:right w:w="90" w:type="dxa"/>
            </w:tcMar>
            <w:vAlign w:val="center"/>
          </w:tcPr>
          <w:p w14:paraId="4B84394A">
            <w:pPr>
              <w:spacing w:before="0" w:after="0" w:line="288" w:lineRule="auto"/>
              <w:jc w:val="center"/>
            </w:pPr>
            <w:r>
              <w:rPr>
                <w:rFonts w:ascii="仿宋_GB2312" w:hAnsi="仿宋_GB2312" w:eastAsia="仿宋_GB2312"/>
                <w:b w:val="0"/>
                <w:sz w:val="18"/>
              </w:rPr>
              <w:t>B</w:t>
            </w:r>
          </w:p>
        </w:tc>
      </w:tr>
      <w:tr w14:paraId="0945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06D9B4A6">
            <w:pPr>
              <w:spacing w:before="0" w:after="0" w:line="288" w:lineRule="auto"/>
              <w:jc w:val="left"/>
            </w:pPr>
            <w:r>
              <w:rPr>
                <w:rFonts w:ascii="仿宋_GB2312" w:hAnsi="仿宋_GB2312" w:eastAsia="仿宋_GB2312"/>
                <w:b w:val="0"/>
                <w:sz w:val="18"/>
              </w:rPr>
              <w:t>2. 反应过程中搅拌突然停止，正确做法是（ ）。</w:t>
            </w:r>
          </w:p>
        </w:tc>
        <w:tc>
          <w:tcPr>
            <w:tcW w:w="4365" w:type="dxa"/>
            <w:tcMar>
              <w:top w:w="80" w:type="dxa"/>
              <w:left w:w="90" w:type="dxa"/>
              <w:bottom w:w="80" w:type="dxa"/>
              <w:right w:w="90" w:type="dxa"/>
            </w:tcMar>
            <w:vAlign w:val="center"/>
          </w:tcPr>
          <w:p w14:paraId="282BD6A7">
            <w:pPr>
              <w:spacing w:before="0" w:after="0" w:line="288" w:lineRule="auto"/>
              <w:jc w:val="left"/>
            </w:pPr>
            <w:r>
              <w:rPr>
                <w:rFonts w:ascii="仿宋_GB2312" w:hAnsi="仿宋_GB2312" w:eastAsia="仿宋_GB2312"/>
                <w:b w:val="0"/>
                <w:sz w:val="18"/>
              </w:rPr>
              <w:t>A. 加快投料  B. 继续加热  C. 停止加料并按规程处置  D. 打开人孔查看</w:t>
            </w:r>
          </w:p>
        </w:tc>
        <w:tc>
          <w:tcPr>
            <w:tcW w:w="1134" w:type="dxa"/>
            <w:tcMar>
              <w:top w:w="80" w:type="dxa"/>
              <w:left w:w="90" w:type="dxa"/>
              <w:bottom w:w="80" w:type="dxa"/>
              <w:right w:w="90" w:type="dxa"/>
            </w:tcMar>
            <w:vAlign w:val="center"/>
          </w:tcPr>
          <w:p w14:paraId="5848DD17">
            <w:pPr>
              <w:spacing w:before="0" w:after="0" w:line="288" w:lineRule="auto"/>
              <w:jc w:val="center"/>
            </w:pPr>
            <w:r>
              <w:rPr>
                <w:rFonts w:ascii="仿宋_GB2312" w:hAnsi="仿宋_GB2312" w:eastAsia="仿宋_GB2312"/>
                <w:b w:val="0"/>
                <w:sz w:val="18"/>
              </w:rPr>
              <w:t>C</w:t>
            </w:r>
          </w:p>
        </w:tc>
      </w:tr>
      <w:tr w14:paraId="11B4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65764436">
            <w:pPr>
              <w:spacing w:before="0" w:after="0" w:line="288" w:lineRule="auto"/>
              <w:jc w:val="left"/>
            </w:pPr>
            <w:r>
              <w:rPr>
                <w:rFonts w:ascii="仿宋_GB2312" w:hAnsi="仿宋_GB2312" w:eastAsia="仿宋_GB2312"/>
                <w:b w:val="0"/>
                <w:sz w:val="18"/>
              </w:rPr>
              <w:t>3. 进入受限空间前最关键的条件之一是（ ）。</w:t>
            </w:r>
          </w:p>
        </w:tc>
        <w:tc>
          <w:tcPr>
            <w:tcW w:w="4365" w:type="dxa"/>
            <w:tcMar>
              <w:top w:w="80" w:type="dxa"/>
              <w:left w:w="90" w:type="dxa"/>
              <w:bottom w:w="80" w:type="dxa"/>
              <w:right w:w="90" w:type="dxa"/>
            </w:tcMar>
            <w:vAlign w:val="center"/>
          </w:tcPr>
          <w:p w14:paraId="5531D72F">
            <w:pPr>
              <w:spacing w:before="0" w:after="0" w:line="288" w:lineRule="auto"/>
              <w:jc w:val="left"/>
            </w:pPr>
            <w:r>
              <w:rPr>
                <w:rFonts w:ascii="仿宋_GB2312" w:hAnsi="仿宋_GB2312" w:eastAsia="仿宋_GB2312"/>
                <w:b w:val="0"/>
                <w:sz w:val="18"/>
              </w:rPr>
              <w:t>A. 带手机  B. 通风检测和监护  C. 穿新工作服  D. 缩短作业时间</w:t>
            </w:r>
          </w:p>
        </w:tc>
        <w:tc>
          <w:tcPr>
            <w:tcW w:w="1134" w:type="dxa"/>
            <w:tcMar>
              <w:top w:w="80" w:type="dxa"/>
              <w:left w:w="90" w:type="dxa"/>
              <w:bottom w:w="80" w:type="dxa"/>
              <w:right w:w="90" w:type="dxa"/>
            </w:tcMar>
            <w:vAlign w:val="center"/>
          </w:tcPr>
          <w:p w14:paraId="3B90FED8">
            <w:pPr>
              <w:spacing w:before="0" w:after="0" w:line="288" w:lineRule="auto"/>
              <w:jc w:val="center"/>
            </w:pPr>
            <w:r>
              <w:rPr>
                <w:rFonts w:ascii="仿宋_GB2312" w:hAnsi="仿宋_GB2312" w:eastAsia="仿宋_GB2312"/>
                <w:b w:val="0"/>
                <w:sz w:val="18"/>
              </w:rPr>
              <w:t>B</w:t>
            </w:r>
          </w:p>
        </w:tc>
      </w:tr>
      <w:tr w14:paraId="71A6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4788CF60">
            <w:pPr>
              <w:spacing w:before="0" w:after="0" w:line="288" w:lineRule="auto"/>
              <w:jc w:val="left"/>
            </w:pPr>
            <w:r>
              <w:rPr>
                <w:rFonts w:ascii="仿宋_GB2312" w:hAnsi="仿宋_GB2312" w:eastAsia="仿宋_GB2312"/>
                <w:b w:val="0"/>
                <w:sz w:val="18"/>
              </w:rPr>
              <w:t>4. 动火作业结束后应（ ）。</w:t>
            </w:r>
          </w:p>
        </w:tc>
        <w:tc>
          <w:tcPr>
            <w:tcW w:w="4365" w:type="dxa"/>
            <w:tcMar>
              <w:top w:w="80" w:type="dxa"/>
              <w:left w:w="90" w:type="dxa"/>
              <w:bottom w:w="80" w:type="dxa"/>
              <w:right w:w="90" w:type="dxa"/>
            </w:tcMar>
            <w:vAlign w:val="center"/>
          </w:tcPr>
          <w:p w14:paraId="1066EBB6">
            <w:pPr>
              <w:spacing w:before="0" w:after="0" w:line="288" w:lineRule="auto"/>
              <w:jc w:val="left"/>
            </w:pPr>
            <w:r>
              <w:rPr>
                <w:rFonts w:ascii="仿宋_GB2312" w:hAnsi="仿宋_GB2312" w:eastAsia="仿宋_GB2312"/>
                <w:b w:val="0"/>
                <w:sz w:val="18"/>
              </w:rPr>
              <w:t>A. 立即离开  B. 复查余火和现场恢复  C. 将灭火器带走  D. 不必告知属地</w:t>
            </w:r>
          </w:p>
        </w:tc>
        <w:tc>
          <w:tcPr>
            <w:tcW w:w="1134" w:type="dxa"/>
            <w:tcMar>
              <w:top w:w="80" w:type="dxa"/>
              <w:left w:w="90" w:type="dxa"/>
              <w:bottom w:w="80" w:type="dxa"/>
              <w:right w:w="90" w:type="dxa"/>
            </w:tcMar>
            <w:vAlign w:val="center"/>
          </w:tcPr>
          <w:p w14:paraId="36666F52">
            <w:pPr>
              <w:spacing w:before="0" w:after="0" w:line="288" w:lineRule="auto"/>
              <w:jc w:val="center"/>
            </w:pPr>
            <w:r>
              <w:rPr>
                <w:rFonts w:ascii="仿宋_GB2312" w:hAnsi="仿宋_GB2312" w:eastAsia="仿宋_GB2312"/>
                <w:b w:val="0"/>
                <w:sz w:val="18"/>
              </w:rPr>
              <w:t>B</w:t>
            </w:r>
          </w:p>
        </w:tc>
      </w:tr>
      <w:tr w14:paraId="0C51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0A279D50">
            <w:pPr>
              <w:spacing w:before="0" w:after="0" w:line="288" w:lineRule="auto"/>
              <w:jc w:val="left"/>
            </w:pPr>
            <w:r>
              <w:rPr>
                <w:rFonts w:ascii="仿宋_GB2312" w:hAnsi="仿宋_GB2312" w:eastAsia="仿宋_GB2312"/>
                <w:b w:val="0"/>
                <w:sz w:val="18"/>
              </w:rPr>
              <w:t>5. 发现同一报警反复出现，正确做法是（ ）。</w:t>
            </w:r>
          </w:p>
        </w:tc>
        <w:tc>
          <w:tcPr>
            <w:tcW w:w="4365" w:type="dxa"/>
            <w:tcMar>
              <w:top w:w="80" w:type="dxa"/>
              <w:left w:w="90" w:type="dxa"/>
              <w:bottom w:w="80" w:type="dxa"/>
              <w:right w:w="90" w:type="dxa"/>
            </w:tcMar>
            <w:vAlign w:val="center"/>
          </w:tcPr>
          <w:p w14:paraId="037C0EBC">
            <w:pPr>
              <w:spacing w:before="0" w:after="0" w:line="288" w:lineRule="auto"/>
              <w:jc w:val="left"/>
            </w:pPr>
            <w:r>
              <w:rPr>
                <w:rFonts w:ascii="仿宋_GB2312" w:hAnsi="仿宋_GB2312" w:eastAsia="仿宋_GB2312"/>
                <w:b w:val="0"/>
                <w:sz w:val="18"/>
              </w:rPr>
              <w:t>A. 关闭报警声音  B. 查明原因并处理  C. 降低报警值  D. 让下一班处理</w:t>
            </w:r>
          </w:p>
        </w:tc>
        <w:tc>
          <w:tcPr>
            <w:tcW w:w="1134" w:type="dxa"/>
            <w:tcMar>
              <w:top w:w="80" w:type="dxa"/>
              <w:left w:w="90" w:type="dxa"/>
              <w:bottom w:w="80" w:type="dxa"/>
              <w:right w:w="90" w:type="dxa"/>
            </w:tcMar>
            <w:vAlign w:val="center"/>
          </w:tcPr>
          <w:p w14:paraId="126D6443">
            <w:pPr>
              <w:spacing w:before="0" w:after="0" w:line="288" w:lineRule="auto"/>
              <w:jc w:val="center"/>
            </w:pPr>
            <w:r>
              <w:rPr>
                <w:rFonts w:ascii="仿宋_GB2312" w:hAnsi="仿宋_GB2312" w:eastAsia="仿宋_GB2312"/>
                <w:b w:val="0"/>
                <w:sz w:val="18"/>
              </w:rPr>
              <w:t>B</w:t>
            </w:r>
          </w:p>
        </w:tc>
      </w:tr>
      <w:tr w14:paraId="013E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16B14302">
            <w:pPr>
              <w:spacing w:before="0" w:after="0" w:line="288" w:lineRule="auto"/>
              <w:jc w:val="left"/>
            </w:pPr>
            <w:r>
              <w:rPr>
                <w:rFonts w:ascii="仿宋_GB2312" w:hAnsi="仿宋_GB2312" w:eastAsia="仿宋_GB2312"/>
                <w:b w:val="0"/>
                <w:sz w:val="18"/>
              </w:rPr>
              <w:t>6. 化学品溅入眼睛后应优先（ ）。</w:t>
            </w:r>
          </w:p>
        </w:tc>
        <w:tc>
          <w:tcPr>
            <w:tcW w:w="4365" w:type="dxa"/>
            <w:tcMar>
              <w:top w:w="80" w:type="dxa"/>
              <w:left w:w="90" w:type="dxa"/>
              <w:bottom w:w="80" w:type="dxa"/>
              <w:right w:w="90" w:type="dxa"/>
            </w:tcMar>
            <w:vAlign w:val="center"/>
          </w:tcPr>
          <w:p w14:paraId="4F36C4B7">
            <w:pPr>
              <w:spacing w:before="0" w:after="0" w:line="288" w:lineRule="auto"/>
              <w:jc w:val="left"/>
            </w:pPr>
            <w:r>
              <w:rPr>
                <w:rFonts w:ascii="仿宋_GB2312" w:hAnsi="仿宋_GB2312" w:eastAsia="仿宋_GB2312"/>
                <w:b w:val="0"/>
                <w:sz w:val="18"/>
              </w:rPr>
              <w:t>A. 闭眼休息  B. 大量流动清水冲洗  C. 用纸巾擦  D. 继续工作</w:t>
            </w:r>
          </w:p>
        </w:tc>
        <w:tc>
          <w:tcPr>
            <w:tcW w:w="1134" w:type="dxa"/>
            <w:tcMar>
              <w:top w:w="80" w:type="dxa"/>
              <w:left w:w="90" w:type="dxa"/>
              <w:bottom w:w="80" w:type="dxa"/>
              <w:right w:w="90" w:type="dxa"/>
            </w:tcMar>
            <w:vAlign w:val="center"/>
          </w:tcPr>
          <w:p w14:paraId="696EA280">
            <w:pPr>
              <w:spacing w:before="0" w:after="0" w:line="288" w:lineRule="auto"/>
              <w:jc w:val="center"/>
            </w:pPr>
            <w:r>
              <w:rPr>
                <w:rFonts w:ascii="仿宋_GB2312" w:hAnsi="仿宋_GB2312" w:eastAsia="仿宋_GB2312"/>
                <w:b w:val="0"/>
                <w:sz w:val="18"/>
              </w:rPr>
              <w:t>B</w:t>
            </w:r>
          </w:p>
        </w:tc>
      </w:tr>
      <w:tr w14:paraId="3F03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61656CAA">
            <w:pPr>
              <w:spacing w:before="0" w:after="0" w:line="288" w:lineRule="auto"/>
              <w:jc w:val="left"/>
            </w:pPr>
            <w:r>
              <w:rPr>
                <w:rFonts w:ascii="仿宋_GB2312" w:hAnsi="仿宋_GB2312" w:eastAsia="仿宋_GB2312"/>
                <w:b w:val="0"/>
                <w:sz w:val="18"/>
              </w:rPr>
              <w:t>7. 检维修设备防止误启动的措施是（ ）。</w:t>
            </w:r>
          </w:p>
        </w:tc>
        <w:tc>
          <w:tcPr>
            <w:tcW w:w="4365" w:type="dxa"/>
            <w:tcMar>
              <w:top w:w="80" w:type="dxa"/>
              <w:left w:w="90" w:type="dxa"/>
              <w:bottom w:w="80" w:type="dxa"/>
              <w:right w:w="90" w:type="dxa"/>
            </w:tcMar>
            <w:vAlign w:val="center"/>
          </w:tcPr>
          <w:p w14:paraId="5A4A21A6">
            <w:pPr>
              <w:spacing w:before="0" w:after="0" w:line="288" w:lineRule="auto"/>
              <w:jc w:val="left"/>
            </w:pPr>
            <w:r>
              <w:rPr>
                <w:rFonts w:ascii="仿宋_GB2312" w:hAnsi="仿宋_GB2312" w:eastAsia="仿宋_GB2312"/>
                <w:b w:val="0"/>
                <w:sz w:val="18"/>
              </w:rPr>
              <w:t>A. 口头告知  B. 挂牌上锁并验证  C. 在设备旁站人  D. 关控制按钮</w:t>
            </w:r>
          </w:p>
        </w:tc>
        <w:tc>
          <w:tcPr>
            <w:tcW w:w="1134" w:type="dxa"/>
            <w:tcMar>
              <w:top w:w="80" w:type="dxa"/>
              <w:left w:w="90" w:type="dxa"/>
              <w:bottom w:w="80" w:type="dxa"/>
              <w:right w:w="90" w:type="dxa"/>
            </w:tcMar>
            <w:vAlign w:val="center"/>
          </w:tcPr>
          <w:p w14:paraId="359B50A2">
            <w:pPr>
              <w:spacing w:before="0" w:after="0" w:line="288" w:lineRule="auto"/>
              <w:jc w:val="center"/>
            </w:pPr>
            <w:r>
              <w:rPr>
                <w:rFonts w:ascii="仿宋_GB2312" w:hAnsi="仿宋_GB2312" w:eastAsia="仿宋_GB2312"/>
                <w:b w:val="0"/>
                <w:sz w:val="18"/>
              </w:rPr>
              <w:t>B</w:t>
            </w:r>
          </w:p>
        </w:tc>
      </w:tr>
      <w:tr w14:paraId="50E7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011FEFD6">
            <w:pPr>
              <w:spacing w:before="0" w:after="0" w:line="288" w:lineRule="auto"/>
              <w:jc w:val="left"/>
            </w:pPr>
            <w:r>
              <w:rPr>
                <w:rFonts w:ascii="仿宋_GB2312" w:hAnsi="仿宋_GB2312" w:eastAsia="仿宋_GB2312"/>
                <w:b w:val="0"/>
                <w:sz w:val="18"/>
              </w:rPr>
              <w:t>8. 易燃液体装卸时不应（ ）。</w:t>
            </w:r>
          </w:p>
        </w:tc>
        <w:tc>
          <w:tcPr>
            <w:tcW w:w="4365" w:type="dxa"/>
            <w:tcMar>
              <w:top w:w="80" w:type="dxa"/>
              <w:left w:w="90" w:type="dxa"/>
              <w:bottom w:w="80" w:type="dxa"/>
              <w:right w:w="90" w:type="dxa"/>
            </w:tcMar>
            <w:vAlign w:val="center"/>
          </w:tcPr>
          <w:p w14:paraId="506055E0">
            <w:pPr>
              <w:spacing w:before="0" w:after="0" w:line="288" w:lineRule="auto"/>
              <w:jc w:val="left"/>
            </w:pPr>
            <w:r>
              <w:rPr>
                <w:rFonts w:ascii="仿宋_GB2312" w:hAnsi="仿宋_GB2312" w:eastAsia="仿宋_GB2312"/>
                <w:b w:val="0"/>
                <w:sz w:val="18"/>
              </w:rPr>
              <w:t>A. 接地  B. 控制流速  C. 使用非防爆手机  D. 过程监护</w:t>
            </w:r>
          </w:p>
        </w:tc>
        <w:tc>
          <w:tcPr>
            <w:tcW w:w="1134" w:type="dxa"/>
            <w:tcMar>
              <w:top w:w="80" w:type="dxa"/>
              <w:left w:w="90" w:type="dxa"/>
              <w:bottom w:w="80" w:type="dxa"/>
              <w:right w:w="90" w:type="dxa"/>
            </w:tcMar>
            <w:vAlign w:val="center"/>
          </w:tcPr>
          <w:p w14:paraId="101D1683">
            <w:pPr>
              <w:spacing w:before="0" w:after="0" w:line="288" w:lineRule="auto"/>
              <w:jc w:val="center"/>
            </w:pPr>
            <w:r>
              <w:rPr>
                <w:rFonts w:ascii="仿宋_GB2312" w:hAnsi="仿宋_GB2312" w:eastAsia="仿宋_GB2312"/>
                <w:b w:val="0"/>
                <w:sz w:val="18"/>
              </w:rPr>
              <w:t>C</w:t>
            </w:r>
          </w:p>
        </w:tc>
      </w:tr>
      <w:tr w14:paraId="1EA9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7DAD8AF1">
            <w:pPr>
              <w:spacing w:before="0" w:after="0" w:line="288" w:lineRule="auto"/>
              <w:jc w:val="left"/>
            </w:pPr>
            <w:r>
              <w:rPr>
                <w:rFonts w:ascii="仿宋_GB2312" w:hAnsi="仿宋_GB2312" w:eastAsia="仿宋_GB2312"/>
                <w:b w:val="0"/>
                <w:sz w:val="18"/>
              </w:rPr>
              <w:t>9. 火势扩大并存在爆炸风险时应（ ）。</w:t>
            </w:r>
          </w:p>
        </w:tc>
        <w:tc>
          <w:tcPr>
            <w:tcW w:w="4365" w:type="dxa"/>
            <w:tcMar>
              <w:top w:w="80" w:type="dxa"/>
              <w:left w:w="90" w:type="dxa"/>
              <w:bottom w:w="80" w:type="dxa"/>
              <w:right w:w="90" w:type="dxa"/>
            </w:tcMar>
            <w:vAlign w:val="center"/>
          </w:tcPr>
          <w:p w14:paraId="1D033D65">
            <w:pPr>
              <w:spacing w:before="0" w:after="0" w:line="288" w:lineRule="auto"/>
              <w:jc w:val="left"/>
            </w:pPr>
            <w:r>
              <w:rPr>
                <w:rFonts w:ascii="仿宋_GB2312" w:hAnsi="仿宋_GB2312" w:eastAsia="仿宋_GB2312"/>
                <w:b w:val="0"/>
                <w:sz w:val="18"/>
              </w:rPr>
              <w:t>A. 冒险灭火  B. 撤离并服从指挥  C. 返回取物  D. 围观</w:t>
            </w:r>
          </w:p>
        </w:tc>
        <w:tc>
          <w:tcPr>
            <w:tcW w:w="1134" w:type="dxa"/>
            <w:tcMar>
              <w:top w:w="80" w:type="dxa"/>
              <w:left w:w="90" w:type="dxa"/>
              <w:bottom w:w="80" w:type="dxa"/>
              <w:right w:w="90" w:type="dxa"/>
            </w:tcMar>
            <w:vAlign w:val="center"/>
          </w:tcPr>
          <w:p w14:paraId="6903BF06">
            <w:pPr>
              <w:spacing w:before="0" w:after="0" w:line="288" w:lineRule="auto"/>
              <w:jc w:val="center"/>
            </w:pPr>
            <w:r>
              <w:rPr>
                <w:rFonts w:ascii="仿宋_GB2312" w:hAnsi="仿宋_GB2312" w:eastAsia="仿宋_GB2312"/>
                <w:b w:val="0"/>
                <w:sz w:val="18"/>
              </w:rPr>
              <w:t>B</w:t>
            </w:r>
          </w:p>
        </w:tc>
      </w:tr>
      <w:tr w14:paraId="385D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tcMar>
              <w:top w:w="80" w:type="dxa"/>
              <w:left w:w="90" w:type="dxa"/>
              <w:bottom w:w="80" w:type="dxa"/>
              <w:right w:w="90" w:type="dxa"/>
            </w:tcMar>
            <w:vAlign w:val="center"/>
          </w:tcPr>
          <w:p w14:paraId="24C83AE1">
            <w:pPr>
              <w:spacing w:before="0" w:after="0" w:line="288" w:lineRule="auto"/>
              <w:jc w:val="left"/>
            </w:pPr>
            <w:r>
              <w:rPr>
                <w:rFonts w:ascii="仿宋_GB2312" w:hAnsi="仿宋_GB2312" w:eastAsia="仿宋_GB2312"/>
                <w:b w:val="0"/>
                <w:sz w:val="18"/>
              </w:rPr>
              <w:t>10. 发现他人违章时应（ ）。</w:t>
            </w:r>
          </w:p>
        </w:tc>
        <w:tc>
          <w:tcPr>
            <w:tcW w:w="4365" w:type="dxa"/>
            <w:tcMar>
              <w:top w:w="80" w:type="dxa"/>
              <w:left w:w="90" w:type="dxa"/>
              <w:bottom w:w="80" w:type="dxa"/>
              <w:right w:w="90" w:type="dxa"/>
            </w:tcMar>
            <w:vAlign w:val="center"/>
          </w:tcPr>
          <w:p w14:paraId="443AE36E">
            <w:pPr>
              <w:spacing w:before="0" w:after="0" w:line="288" w:lineRule="auto"/>
              <w:jc w:val="left"/>
            </w:pPr>
            <w:r>
              <w:rPr>
                <w:rFonts w:ascii="仿宋_GB2312" w:hAnsi="仿宋_GB2312" w:eastAsia="仿宋_GB2312"/>
                <w:b w:val="0"/>
                <w:sz w:val="18"/>
              </w:rPr>
              <w:t>A. 与己无关  B. 及时制止并报告  C. 拍视频  D. 等事故发生</w:t>
            </w:r>
          </w:p>
        </w:tc>
        <w:tc>
          <w:tcPr>
            <w:tcW w:w="1134" w:type="dxa"/>
            <w:tcMar>
              <w:top w:w="80" w:type="dxa"/>
              <w:left w:w="90" w:type="dxa"/>
              <w:bottom w:w="80" w:type="dxa"/>
              <w:right w:w="90" w:type="dxa"/>
            </w:tcMar>
            <w:vAlign w:val="center"/>
          </w:tcPr>
          <w:p w14:paraId="0B5C3089">
            <w:pPr>
              <w:spacing w:before="0" w:after="0" w:line="288" w:lineRule="auto"/>
              <w:jc w:val="center"/>
            </w:pPr>
            <w:r>
              <w:rPr>
                <w:rFonts w:ascii="仿宋_GB2312" w:hAnsi="仿宋_GB2312" w:eastAsia="仿宋_GB2312"/>
                <w:b w:val="0"/>
                <w:sz w:val="18"/>
              </w:rPr>
              <w:t>B</w:t>
            </w:r>
          </w:p>
        </w:tc>
      </w:tr>
    </w:tbl>
    <w:p w14:paraId="0B0B86BB">
      <w:pPr>
        <w:spacing w:after="0"/>
      </w:pPr>
    </w:p>
    <w:p w14:paraId="730AD815">
      <w:pPr>
        <w:pStyle w:val="4"/>
        <w:keepNext/>
        <w:spacing w:before="160" w:after="0" w:line="360" w:lineRule="auto"/>
      </w:pPr>
      <w:r>
        <w:rPr>
          <w:rFonts w:ascii="仿宋_GB2312" w:hAnsi="仿宋_GB2312" w:eastAsia="仿宋_GB2312"/>
          <w:b/>
          <w:sz w:val="28"/>
        </w:rPr>
        <w:t>三、简答题参考要点</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3375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69" w:type="dxa"/>
            <w:shd w:val="clear" w:color="auto" w:fill="D9EAF7"/>
            <w:tcMar>
              <w:top w:w="80" w:type="dxa"/>
              <w:left w:w="90" w:type="dxa"/>
              <w:bottom w:w="80" w:type="dxa"/>
              <w:right w:w="90" w:type="dxa"/>
            </w:tcMar>
            <w:vAlign w:val="center"/>
          </w:tcPr>
          <w:p w14:paraId="636A6077">
            <w:pPr>
              <w:spacing w:before="0" w:after="0" w:line="288" w:lineRule="auto"/>
              <w:jc w:val="center"/>
            </w:pPr>
            <w:r>
              <w:rPr>
                <w:rFonts w:ascii="仿宋_GB2312" w:hAnsi="仿宋_GB2312" w:eastAsia="仿宋_GB2312"/>
                <w:b/>
                <w:sz w:val="20"/>
              </w:rPr>
              <w:t>题目</w:t>
            </w:r>
          </w:p>
        </w:tc>
        <w:tc>
          <w:tcPr>
            <w:tcW w:w="5102" w:type="dxa"/>
            <w:shd w:val="clear" w:color="auto" w:fill="D9EAF7"/>
            <w:tcMar>
              <w:top w:w="80" w:type="dxa"/>
              <w:left w:w="90" w:type="dxa"/>
              <w:bottom w:w="80" w:type="dxa"/>
              <w:right w:w="90" w:type="dxa"/>
            </w:tcMar>
            <w:vAlign w:val="center"/>
          </w:tcPr>
          <w:p w14:paraId="2924A7DE">
            <w:pPr>
              <w:spacing w:before="0" w:after="0" w:line="288" w:lineRule="auto"/>
              <w:jc w:val="center"/>
            </w:pPr>
            <w:r>
              <w:rPr>
                <w:rFonts w:ascii="仿宋_GB2312" w:hAnsi="仿宋_GB2312" w:eastAsia="仿宋_GB2312"/>
                <w:b/>
                <w:sz w:val="20"/>
              </w:rPr>
              <w:t>参考要点</w:t>
            </w:r>
          </w:p>
        </w:tc>
      </w:tr>
      <w:tr w14:paraId="33ED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9" w:type="dxa"/>
            <w:tcMar>
              <w:top w:w="80" w:type="dxa"/>
              <w:left w:w="90" w:type="dxa"/>
              <w:bottom w:w="80" w:type="dxa"/>
              <w:right w:w="90" w:type="dxa"/>
            </w:tcMar>
            <w:vAlign w:val="center"/>
          </w:tcPr>
          <w:p w14:paraId="49727BFC">
            <w:pPr>
              <w:spacing w:before="0" w:after="0" w:line="288" w:lineRule="auto"/>
              <w:jc w:val="left"/>
            </w:pPr>
            <w:r>
              <w:rPr>
                <w:rFonts w:ascii="仿宋_GB2312" w:hAnsi="仿宋_GB2312" w:eastAsia="仿宋_GB2312"/>
                <w:b w:val="0"/>
                <w:sz w:val="20"/>
              </w:rPr>
              <w:t>1. 本岗位发现超温、超压或大量泄漏时应如何处置？</w:t>
            </w:r>
          </w:p>
        </w:tc>
        <w:tc>
          <w:tcPr>
            <w:tcW w:w="5102" w:type="dxa"/>
            <w:tcMar>
              <w:top w:w="80" w:type="dxa"/>
              <w:left w:w="90" w:type="dxa"/>
              <w:bottom w:w="80" w:type="dxa"/>
              <w:right w:w="90" w:type="dxa"/>
            </w:tcMar>
            <w:vAlign w:val="center"/>
          </w:tcPr>
          <w:p w14:paraId="6A75A9EC">
            <w:pPr>
              <w:spacing w:before="0" w:after="0" w:line="288" w:lineRule="auto"/>
              <w:jc w:val="left"/>
            </w:pPr>
            <w:r>
              <w:rPr>
                <w:rFonts w:ascii="仿宋_GB2312" w:hAnsi="仿宋_GB2312" w:eastAsia="仿宋_GB2312"/>
                <w:b w:val="0"/>
                <w:sz w:val="20"/>
              </w:rPr>
              <w:t>立即停止危险操作，按规程切断物料和热源，报警、隔离、撤离并服从应急指挥。</w:t>
            </w:r>
          </w:p>
        </w:tc>
      </w:tr>
      <w:tr w14:paraId="64CE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9" w:type="dxa"/>
            <w:tcMar>
              <w:top w:w="80" w:type="dxa"/>
              <w:left w:w="90" w:type="dxa"/>
              <w:bottom w:w="80" w:type="dxa"/>
              <w:right w:w="90" w:type="dxa"/>
            </w:tcMar>
            <w:vAlign w:val="center"/>
          </w:tcPr>
          <w:p w14:paraId="3CCB6B2F">
            <w:pPr>
              <w:spacing w:before="0" w:after="0" w:line="288" w:lineRule="auto"/>
              <w:jc w:val="left"/>
            </w:pPr>
            <w:r>
              <w:rPr>
                <w:rFonts w:ascii="仿宋_GB2312" w:hAnsi="仿宋_GB2312" w:eastAsia="仿宋_GB2312"/>
                <w:b w:val="0"/>
                <w:sz w:val="20"/>
              </w:rPr>
              <w:t>2. 为什么禁止盲目进入受限空间救人？</w:t>
            </w:r>
          </w:p>
        </w:tc>
        <w:tc>
          <w:tcPr>
            <w:tcW w:w="5102" w:type="dxa"/>
            <w:tcMar>
              <w:top w:w="80" w:type="dxa"/>
              <w:left w:w="90" w:type="dxa"/>
              <w:bottom w:w="80" w:type="dxa"/>
              <w:right w:w="90" w:type="dxa"/>
            </w:tcMar>
            <w:vAlign w:val="center"/>
          </w:tcPr>
          <w:p w14:paraId="2BB8F82E">
            <w:pPr>
              <w:spacing w:before="0" w:after="0" w:line="288" w:lineRule="auto"/>
              <w:jc w:val="left"/>
            </w:pPr>
            <w:r>
              <w:rPr>
                <w:rFonts w:ascii="仿宋_GB2312" w:hAnsi="仿宋_GB2312" w:eastAsia="仿宋_GB2312"/>
                <w:b w:val="0"/>
                <w:sz w:val="20"/>
              </w:rPr>
              <w:t>可能存在缺氧、有毒或可燃环境，无防护救援会造成伤亡扩大。</w:t>
            </w:r>
          </w:p>
        </w:tc>
      </w:tr>
      <w:tr w14:paraId="6F0E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9" w:type="dxa"/>
            <w:tcMar>
              <w:top w:w="80" w:type="dxa"/>
              <w:left w:w="90" w:type="dxa"/>
              <w:bottom w:w="80" w:type="dxa"/>
              <w:right w:w="90" w:type="dxa"/>
            </w:tcMar>
            <w:vAlign w:val="center"/>
          </w:tcPr>
          <w:p w14:paraId="0BD6E462">
            <w:pPr>
              <w:spacing w:before="0" w:after="0" w:line="288" w:lineRule="auto"/>
              <w:jc w:val="left"/>
            </w:pPr>
            <w:r>
              <w:rPr>
                <w:rFonts w:ascii="仿宋_GB2312" w:hAnsi="仿宋_GB2312" w:eastAsia="仿宋_GB2312"/>
                <w:b w:val="0"/>
                <w:sz w:val="20"/>
              </w:rPr>
              <w:t>3. 交接班至少应交清哪些内容？</w:t>
            </w:r>
          </w:p>
        </w:tc>
        <w:tc>
          <w:tcPr>
            <w:tcW w:w="5102" w:type="dxa"/>
            <w:tcMar>
              <w:top w:w="80" w:type="dxa"/>
              <w:left w:w="90" w:type="dxa"/>
              <w:bottom w:w="80" w:type="dxa"/>
              <w:right w:w="90" w:type="dxa"/>
            </w:tcMar>
            <w:vAlign w:val="center"/>
          </w:tcPr>
          <w:p w14:paraId="35F1946D">
            <w:pPr>
              <w:spacing w:before="0" w:after="0" w:line="288" w:lineRule="auto"/>
              <w:jc w:val="left"/>
            </w:pPr>
            <w:r>
              <w:rPr>
                <w:rFonts w:ascii="仿宋_GB2312" w:hAnsi="仿宋_GB2312" w:eastAsia="仿宋_GB2312"/>
                <w:b w:val="0"/>
                <w:sz w:val="20"/>
              </w:rPr>
              <w:t>生产负荷、参数、设备缺陷、报警联锁、特殊作业、隔离点、异常和未完成事项。</w:t>
            </w:r>
          </w:p>
        </w:tc>
      </w:tr>
      <w:tr w14:paraId="64E08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9" w:type="dxa"/>
            <w:tcMar>
              <w:top w:w="80" w:type="dxa"/>
              <w:left w:w="90" w:type="dxa"/>
              <w:bottom w:w="80" w:type="dxa"/>
              <w:right w:w="90" w:type="dxa"/>
            </w:tcMar>
            <w:vAlign w:val="center"/>
          </w:tcPr>
          <w:p w14:paraId="0D9D3A0A">
            <w:pPr>
              <w:spacing w:before="0" w:after="0" w:line="288" w:lineRule="auto"/>
              <w:jc w:val="left"/>
            </w:pPr>
            <w:r>
              <w:rPr>
                <w:rFonts w:ascii="仿宋_GB2312" w:hAnsi="仿宋_GB2312" w:eastAsia="仿宋_GB2312"/>
                <w:b w:val="0"/>
                <w:sz w:val="20"/>
              </w:rPr>
              <w:t>4. 变更管理适用于哪些变化？</w:t>
            </w:r>
          </w:p>
        </w:tc>
        <w:tc>
          <w:tcPr>
            <w:tcW w:w="5102" w:type="dxa"/>
            <w:tcMar>
              <w:top w:w="80" w:type="dxa"/>
              <w:left w:w="90" w:type="dxa"/>
              <w:bottom w:w="80" w:type="dxa"/>
              <w:right w:w="90" w:type="dxa"/>
            </w:tcMar>
            <w:vAlign w:val="center"/>
          </w:tcPr>
          <w:p w14:paraId="143346CC">
            <w:pPr>
              <w:spacing w:before="0" w:after="0" w:line="288" w:lineRule="auto"/>
              <w:jc w:val="left"/>
            </w:pPr>
            <w:r>
              <w:rPr>
                <w:rFonts w:ascii="仿宋_GB2312" w:hAnsi="仿宋_GB2312" w:eastAsia="仿宋_GB2312"/>
                <w:b w:val="0"/>
                <w:sz w:val="20"/>
              </w:rPr>
              <w:t>工艺、原料、设备、仪表、参数、操作方法、组织人员和临时措施等变化。</w:t>
            </w:r>
          </w:p>
        </w:tc>
      </w:tr>
      <w:tr w14:paraId="3801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9" w:type="dxa"/>
            <w:tcMar>
              <w:top w:w="80" w:type="dxa"/>
              <w:left w:w="90" w:type="dxa"/>
              <w:bottom w:w="80" w:type="dxa"/>
              <w:right w:w="90" w:type="dxa"/>
            </w:tcMar>
            <w:vAlign w:val="center"/>
          </w:tcPr>
          <w:p w14:paraId="7ED74A9F">
            <w:pPr>
              <w:spacing w:before="0" w:after="0" w:line="288" w:lineRule="auto"/>
              <w:jc w:val="left"/>
            </w:pPr>
            <w:r>
              <w:rPr>
                <w:rFonts w:ascii="仿宋_GB2312" w:hAnsi="仿宋_GB2312" w:eastAsia="仿宋_GB2312"/>
                <w:b w:val="0"/>
                <w:sz w:val="20"/>
              </w:rPr>
              <w:t>5. 员工发现违章指挥时有哪些权利和义务？</w:t>
            </w:r>
          </w:p>
        </w:tc>
        <w:tc>
          <w:tcPr>
            <w:tcW w:w="5102" w:type="dxa"/>
            <w:tcMar>
              <w:top w:w="80" w:type="dxa"/>
              <w:left w:w="90" w:type="dxa"/>
              <w:bottom w:w="80" w:type="dxa"/>
              <w:right w:w="90" w:type="dxa"/>
            </w:tcMar>
            <w:vAlign w:val="center"/>
          </w:tcPr>
          <w:p w14:paraId="7F3ED667">
            <w:pPr>
              <w:spacing w:before="0" w:after="0" w:line="288" w:lineRule="auto"/>
              <w:jc w:val="left"/>
            </w:pPr>
            <w:r>
              <w:rPr>
                <w:rFonts w:ascii="仿宋_GB2312" w:hAnsi="仿宋_GB2312" w:eastAsia="仿宋_GB2312"/>
                <w:b w:val="0"/>
                <w:sz w:val="20"/>
              </w:rPr>
              <w:t>有权拒绝冒险作业，并应制止、报告和保护相关人员安全。</w:t>
            </w:r>
          </w:p>
        </w:tc>
      </w:tr>
    </w:tbl>
    <w:p w14:paraId="04257899">
      <w:pPr>
        <w:spacing w:after="0"/>
      </w:pPr>
    </w:p>
    <w:p w14:paraId="60E3D466">
      <w:pPr>
        <w:pStyle w:val="3"/>
        <w:keepNext/>
        <w:pageBreakBefore/>
        <w:spacing w:before="0" w:after="200" w:line="360" w:lineRule="auto"/>
        <w:jc w:val="center"/>
      </w:pPr>
      <w:r>
        <w:rPr>
          <w:rFonts w:ascii="方正小标宋简体" w:hAnsi="方正小标宋简体" w:eastAsia="方正小标宋简体"/>
          <w:b/>
          <w:sz w:val="36"/>
        </w:rPr>
        <w:t>附录十二  培训与考核记录表</w:t>
      </w:r>
    </w:p>
    <w:p w14:paraId="570DFCBF">
      <w:pPr>
        <w:spacing w:before="0" w:after="0" w:line="360" w:lineRule="auto"/>
        <w:jc w:val="both"/>
      </w:pPr>
      <w:r>
        <w:rPr>
          <w:rFonts w:ascii="仿宋_GB2312" w:hAnsi="仿宋_GB2312" w:eastAsia="仿宋_GB2312"/>
          <w:b w:val="0"/>
          <w:sz w:val="24"/>
        </w:rPr>
        <w:t>培训主题：精细化工企业全员应知应会安全手册</w:t>
      </w:r>
    </w:p>
    <w:p w14:paraId="63D0E046">
      <w:pPr>
        <w:spacing w:before="0" w:after="0" w:line="360" w:lineRule="auto"/>
        <w:jc w:val="both"/>
      </w:pPr>
      <w:r>
        <w:rPr>
          <w:rFonts w:ascii="仿宋_GB2312" w:hAnsi="仿宋_GB2312" w:eastAsia="仿宋_GB2312"/>
          <w:b w:val="0"/>
          <w:sz w:val="24"/>
        </w:rPr>
        <w:t>培训日期：____年__月__日    培训地点：____________    授课人：____________</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1296"/>
        <w:gridCol w:w="1296"/>
        <w:gridCol w:w="1296"/>
        <w:gridCol w:w="1296"/>
        <w:gridCol w:w="1296"/>
        <w:gridCol w:w="1296"/>
      </w:tblGrid>
      <w:tr w14:paraId="179C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24" w:type="dxa"/>
            <w:shd w:val="clear" w:color="auto" w:fill="D9EAF7"/>
            <w:tcMar>
              <w:top w:w="80" w:type="dxa"/>
              <w:left w:w="90" w:type="dxa"/>
              <w:bottom w:w="80" w:type="dxa"/>
              <w:right w:w="90" w:type="dxa"/>
            </w:tcMar>
            <w:vAlign w:val="center"/>
          </w:tcPr>
          <w:p w14:paraId="5417883A">
            <w:pPr>
              <w:spacing w:before="0" w:after="0" w:line="288" w:lineRule="auto"/>
              <w:jc w:val="center"/>
            </w:pPr>
            <w:r>
              <w:rPr>
                <w:rFonts w:ascii="仿宋_GB2312" w:hAnsi="仿宋_GB2312" w:eastAsia="仿宋_GB2312"/>
                <w:b/>
                <w:sz w:val="19"/>
              </w:rPr>
              <w:t>序号</w:t>
            </w:r>
          </w:p>
        </w:tc>
        <w:tc>
          <w:tcPr>
            <w:tcW w:w="1361" w:type="dxa"/>
            <w:shd w:val="clear" w:color="auto" w:fill="D9EAF7"/>
            <w:tcMar>
              <w:top w:w="80" w:type="dxa"/>
              <w:left w:w="90" w:type="dxa"/>
              <w:bottom w:w="80" w:type="dxa"/>
              <w:right w:w="90" w:type="dxa"/>
            </w:tcMar>
            <w:vAlign w:val="center"/>
          </w:tcPr>
          <w:p w14:paraId="0B369BF6">
            <w:pPr>
              <w:spacing w:before="0" w:after="0" w:line="288" w:lineRule="auto"/>
              <w:jc w:val="center"/>
            </w:pPr>
            <w:r>
              <w:rPr>
                <w:rFonts w:ascii="仿宋_GB2312" w:hAnsi="仿宋_GB2312" w:eastAsia="仿宋_GB2312"/>
                <w:b/>
                <w:sz w:val="19"/>
              </w:rPr>
              <w:t>姓名</w:t>
            </w:r>
          </w:p>
        </w:tc>
        <w:tc>
          <w:tcPr>
            <w:tcW w:w="1871" w:type="dxa"/>
            <w:shd w:val="clear" w:color="auto" w:fill="D9EAF7"/>
            <w:tcMar>
              <w:top w:w="80" w:type="dxa"/>
              <w:left w:w="90" w:type="dxa"/>
              <w:bottom w:w="80" w:type="dxa"/>
              <w:right w:w="90" w:type="dxa"/>
            </w:tcMar>
            <w:vAlign w:val="center"/>
          </w:tcPr>
          <w:p w14:paraId="6936920E">
            <w:pPr>
              <w:spacing w:before="0" w:after="0" w:line="288" w:lineRule="auto"/>
              <w:jc w:val="center"/>
            </w:pPr>
            <w:r>
              <w:rPr>
                <w:rFonts w:ascii="仿宋_GB2312" w:hAnsi="仿宋_GB2312" w:eastAsia="仿宋_GB2312"/>
                <w:b/>
                <w:sz w:val="19"/>
              </w:rPr>
              <w:t>部门/岗位</w:t>
            </w:r>
          </w:p>
        </w:tc>
        <w:tc>
          <w:tcPr>
            <w:tcW w:w="1474" w:type="dxa"/>
            <w:shd w:val="clear" w:color="auto" w:fill="D9EAF7"/>
            <w:tcMar>
              <w:top w:w="80" w:type="dxa"/>
              <w:left w:w="90" w:type="dxa"/>
              <w:bottom w:w="80" w:type="dxa"/>
              <w:right w:w="90" w:type="dxa"/>
            </w:tcMar>
            <w:vAlign w:val="center"/>
          </w:tcPr>
          <w:p w14:paraId="7280BBDB">
            <w:pPr>
              <w:spacing w:before="0" w:after="0" w:line="288" w:lineRule="auto"/>
              <w:jc w:val="center"/>
            </w:pPr>
            <w:r>
              <w:rPr>
                <w:rFonts w:ascii="仿宋_GB2312" w:hAnsi="仿宋_GB2312" w:eastAsia="仿宋_GB2312"/>
                <w:b/>
                <w:sz w:val="19"/>
              </w:rPr>
              <w:t>培训方式</w:t>
            </w:r>
          </w:p>
        </w:tc>
        <w:tc>
          <w:tcPr>
            <w:tcW w:w="1247" w:type="dxa"/>
            <w:shd w:val="clear" w:color="auto" w:fill="D9EAF7"/>
            <w:tcMar>
              <w:top w:w="80" w:type="dxa"/>
              <w:left w:w="90" w:type="dxa"/>
              <w:bottom w:w="80" w:type="dxa"/>
              <w:right w:w="90" w:type="dxa"/>
            </w:tcMar>
            <w:vAlign w:val="center"/>
          </w:tcPr>
          <w:p w14:paraId="1841D8FC">
            <w:pPr>
              <w:spacing w:before="0" w:after="0" w:line="288" w:lineRule="auto"/>
              <w:jc w:val="center"/>
            </w:pPr>
            <w:r>
              <w:rPr>
                <w:rFonts w:ascii="仿宋_GB2312" w:hAnsi="仿宋_GB2312" w:eastAsia="仿宋_GB2312"/>
                <w:b/>
                <w:sz w:val="19"/>
              </w:rPr>
              <w:t>考核成绩</w:t>
            </w:r>
          </w:p>
        </w:tc>
        <w:tc>
          <w:tcPr>
            <w:tcW w:w="1247" w:type="dxa"/>
            <w:shd w:val="clear" w:color="auto" w:fill="D9EAF7"/>
            <w:tcMar>
              <w:top w:w="80" w:type="dxa"/>
              <w:left w:w="90" w:type="dxa"/>
              <w:bottom w:w="80" w:type="dxa"/>
              <w:right w:w="90" w:type="dxa"/>
            </w:tcMar>
            <w:vAlign w:val="center"/>
          </w:tcPr>
          <w:p w14:paraId="54D46D15">
            <w:pPr>
              <w:spacing w:before="0" w:after="0" w:line="288" w:lineRule="auto"/>
              <w:jc w:val="center"/>
            </w:pPr>
            <w:r>
              <w:rPr>
                <w:rFonts w:ascii="仿宋_GB2312" w:hAnsi="仿宋_GB2312" w:eastAsia="仿宋_GB2312"/>
                <w:b/>
                <w:sz w:val="19"/>
              </w:rPr>
              <w:t>是否合格</w:t>
            </w:r>
          </w:p>
        </w:tc>
        <w:tc>
          <w:tcPr>
            <w:tcW w:w="1247" w:type="dxa"/>
            <w:shd w:val="clear" w:color="auto" w:fill="D9EAF7"/>
            <w:tcMar>
              <w:top w:w="80" w:type="dxa"/>
              <w:left w:w="90" w:type="dxa"/>
              <w:bottom w:w="80" w:type="dxa"/>
              <w:right w:w="90" w:type="dxa"/>
            </w:tcMar>
            <w:vAlign w:val="center"/>
          </w:tcPr>
          <w:p w14:paraId="21B71BDB">
            <w:pPr>
              <w:spacing w:before="0" w:after="0" w:line="288" w:lineRule="auto"/>
              <w:jc w:val="center"/>
            </w:pPr>
            <w:r>
              <w:rPr>
                <w:rFonts w:ascii="仿宋_GB2312" w:hAnsi="仿宋_GB2312" w:eastAsia="仿宋_GB2312"/>
                <w:b/>
                <w:sz w:val="19"/>
              </w:rPr>
              <w:t>本人签字</w:t>
            </w:r>
          </w:p>
        </w:tc>
      </w:tr>
      <w:tr w14:paraId="2D3E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657D1E72">
            <w:pPr>
              <w:spacing w:before="0" w:after="0" w:line="288" w:lineRule="auto"/>
              <w:jc w:val="center"/>
            </w:pPr>
          </w:p>
        </w:tc>
        <w:tc>
          <w:tcPr>
            <w:tcW w:w="1361" w:type="dxa"/>
            <w:tcMar>
              <w:top w:w="80" w:type="dxa"/>
              <w:left w:w="90" w:type="dxa"/>
              <w:bottom w:w="80" w:type="dxa"/>
              <w:right w:w="90" w:type="dxa"/>
            </w:tcMar>
            <w:vAlign w:val="center"/>
          </w:tcPr>
          <w:p w14:paraId="335036B1">
            <w:pPr>
              <w:spacing w:before="0" w:after="0" w:line="288" w:lineRule="auto"/>
              <w:jc w:val="center"/>
            </w:pPr>
          </w:p>
        </w:tc>
        <w:tc>
          <w:tcPr>
            <w:tcW w:w="1871" w:type="dxa"/>
            <w:tcMar>
              <w:top w:w="80" w:type="dxa"/>
              <w:left w:w="90" w:type="dxa"/>
              <w:bottom w:w="80" w:type="dxa"/>
              <w:right w:w="90" w:type="dxa"/>
            </w:tcMar>
            <w:vAlign w:val="center"/>
          </w:tcPr>
          <w:p w14:paraId="16E863C7">
            <w:pPr>
              <w:spacing w:before="0" w:after="0" w:line="288" w:lineRule="auto"/>
              <w:jc w:val="center"/>
            </w:pPr>
          </w:p>
        </w:tc>
        <w:tc>
          <w:tcPr>
            <w:tcW w:w="1474" w:type="dxa"/>
            <w:tcMar>
              <w:top w:w="80" w:type="dxa"/>
              <w:left w:w="90" w:type="dxa"/>
              <w:bottom w:w="80" w:type="dxa"/>
              <w:right w:w="90" w:type="dxa"/>
            </w:tcMar>
            <w:vAlign w:val="center"/>
          </w:tcPr>
          <w:p w14:paraId="5D9FEEF5">
            <w:pPr>
              <w:spacing w:before="0" w:after="0" w:line="288" w:lineRule="auto"/>
              <w:jc w:val="center"/>
            </w:pPr>
          </w:p>
        </w:tc>
        <w:tc>
          <w:tcPr>
            <w:tcW w:w="1247" w:type="dxa"/>
            <w:tcMar>
              <w:top w:w="80" w:type="dxa"/>
              <w:left w:w="90" w:type="dxa"/>
              <w:bottom w:w="80" w:type="dxa"/>
              <w:right w:w="90" w:type="dxa"/>
            </w:tcMar>
            <w:vAlign w:val="center"/>
          </w:tcPr>
          <w:p w14:paraId="400BE82C">
            <w:pPr>
              <w:spacing w:before="0" w:after="0" w:line="288" w:lineRule="auto"/>
              <w:jc w:val="center"/>
            </w:pPr>
          </w:p>
        </w:tc>
        <w:tc>
          <w:tcPr>
            <w:tcW w:w="1247" w:type="dxa"/>
            <w:tcMar>
              <w:top w:w="80" w:type="dxa"/>
              <w:left w:w="90" w:type="dxa"/>
              <w:bottom w:w="80" w:type="dxa"/>
              <w:right w:w="90" w:type="dxa"/>
            </w:tcMar>
            <w:vAlign w:val="center"/>
          </w:tcPr>
          <w:p w14:paraId="39AB7A66">
            <w:pPr>
              <w:spacing w:before="0" w:after="0" w:line="288" w:lineRule="auto"/>
              <w:jc w:val="center"/>
            </w:pPr>
          </w:p>
        </w:tc>
        <w:tc>
          <w:tcPr>
            <w:tcW w:w="1247" w:type="dxa"/>
            <w:tcMar>
              <w:top w:w="80" w:type="dxa"/>
              <w:left w:w="90" w:type="dxa"/>
              <w:bottom w:w="80" w:type="dxa"/>
              <w:right w:w="90" w:type="dxa"/>
            </w:tcMar>
            <w:vAlign w:val="center"/>
          </w:tcPr>
          <w:p w14:paraId="1E5DF3B4">
            <w:pPr>
              <w:spacing w:before="0" w:after="0" w:line="288" w:lineRule="auto"/>
              <w:jc w:val="center"/>
            </w:pPr>
          </w:p>
        </w:tc>
      </w:tr>
      <w:tr w14:paraId="6E78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4472540F">
            <w:pPr>
              <w:spacing w:before="0" w:after="0" w:line="288" w:lineRule="auto"/>
              <w:jc w:val="center"/>
            </w:pPr>
          </w:p>
        </w:tc>
        <w:tc>
          <w:tcPr>
            <w:tcW w:w="1361" w:type="dxa"/>
            <w:tcMar>
              <w:top w:w="80" w:type="dxa"/>
              <w:left w:w="90" w:type="dxa"/>
              <w:bottom w:w="80" w:type="dxa"/>
              <w:right w:w="90" w:type="dxa"/>
            </w:tcMar>
            <w:vAlign w:val="center"/>
          </w:tcPr>
          <w:p w14:paraId="543AD59F">
            <w:pPr>
              <w:spacing w:before="0" w:after="0" w:line="288" w:lineRule="auto"/>
              <w:jc w:val="center"/>
            </w:pPr>
          </w:p>
        </w:tc>
        <w:tc>
          <w:tcPr>
            <w:tcW w:w="1871" w:type="dxa"/>
            <w:tcMar>
              <w:top w:w="80" w:type="dxa"/>
              <w:left w:w="90" w:type="dxa"/>
              <w:bottom w:w="80" w:type="dxa"/>
              <w:right w:w="90" w:type="dxa"/>
            </w:tcMar>
            <w:vAlign w:val="center"/>
          </w:tcPr>
          <w:p w14:paraId="1DD31A8D">
            <w:pPr>
              <w:spacing w:before="0" w:after="0" w:line="288" w:lineRule="auto"/>
              <w:jc w:val="center"/>
            </w:pPr>
          </w:p>
        </w:tc>
        <w:tc>
          <w:tcPr>
            <w:tcW w:w="1474" w:type="dxa"/>
            <w:tcMar>
              <w:top w:w="80" w:type="dxa"/>
              <w:left w:w="90" w:type="dxa"/>
              <w:bottom w:w="80" w:type="dxa"/>
              <w:right w:w="90" w:type="dxa"/>
            </w:tcMar>
            <w:vAlign w:val="center"/>
          </w:tcPr>
          <w:p w14:paraId="72E1DFF1">
            <w:pPr>
              <w:spacing w:before="0" w:after="0" w:line="288" w:lineRule="auto"/>
              <w:jc w:val="center"/>
            </w:pPr>
          </w:p>
        </w:tc>
        <w:tc>
          <w:tcPr>
            <w:tcW w:w="1247" w:type="dxa"/>
            <w:tcMar>
              <w:top w:w="80" w:type="dxa"/>
              <w:left w:w="90" w:type="dxa"/>
              <w:bottom w:w="80" w:type="dxa"/>
              <w:right w:w="90" w:type="dxa"/>
            </w:tcMar>
            <w:vAlign w:val="center"/>
          </w:tcPr>
          <w:p w14:paraId="06341467">
            <w:pPr>
              <w:spacing w:before="0" w:after="0" w:line="288" w:lineRule="auto"/>
              <w:jc w:val="center"/>
            </w:pPr>
          </w:p>
        </w:tc>
        <w:tc>
          <w:tcPr>
            <w:tcW w:w="1247" w:type="dxa"/>
            <w:tcMar>
              <w:top w:w="80" w:type="dxa"/>
              <w:left w:w="90" w:type="dxa"/>
              <w:bottom w:w="80" w:type="dxa"/>
              <w:right w:w="90" w:type="dxa"/>
            </w:tcMar>
            <w:vAlign w:val="center"/>
          </w:tcPr>
          <w:p w14:paraId="219F7579">
            <w:pPr>
              <w:spacing w:before="0" w:after="0" w:line="288" w:lineRule="auto"/>
              <w:jc w:val="center"/>
            </w:pPr>
          </w:p>
        </w:tc>
        <w:tc>
          <w:tcPr>
            <w:tcW w:w="1247" w:type="dxa"/>
            <w:tcMar>
              <w:top w:w="80" w:type="dxa"/>
              <w:left w:w="90" w:type="dxa"/>
              <w:bottom w:w="80" w:type="dxa"/>
              <w:right w:w="90" w:type="dxa"/>
            </w:tcMar>
            <w:vAlign w:val="center"/>
          </w:tcPr>
          <w:p w14:paraId="2A49D764">
            <w:pPr>
              <w:spacing w:before="0" w:after="0" w:line="288" w:lineRule="auto"/>
              <w:jc w:val="center"/>
            </w:pPr>
          </w:p>
        </w:tc>
      </w:tr>
      <w:tr w14:paraId="2FFD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65D66124">
            <w:pPr>
              <w:spacing w:before="0" w:after="0" w:line="288" w:lineRule="auto"/>
              <w:jc w:val="center"/>
            </w:pPr>
          </w:p>
        </w:tc>
        <w:tc>
          <w:tcPr>
            <w:tcW w:w="1361" w:type="dxa"/>
            <w:tcMar>
              <w:top w:w="80" w:type="dxa"/>
              <w:left w:w="90" w:type="dxa"/>
              <w:bottom w:w="80" w:type="dxa"/>
              <w:right w:w="90" w:type="dxa"/>
            </w:tcMar>
            <w:vAlign w:val="center"/>
          </w:tcPr>
          <w:p w14:paraId="0ADAB68F">
            <w:pPr>
              <w:spacing w:before="0" w:after="0" w:line="288" w:lineRule="auto"/>
              <w:jc w:val="center"/>
            </w:pPr>
          </w:p>
        </w:tc>
        <w:tc>
          <w:tcPr>
            <w:tcW w:w="1871" w:type="dxa"/>
            <w:tcMar>
              <w:top w:w="80" w:type="dxa"/>
              <w:left w:w="90" w:type="dxa"/>
              <w:bottom w:w="80" w:type="dxa"/>
              <w:right w:w="90" w:type="dxa"/>
            </w:tcMar>
            <w:vAlign w:val="center"/>
          </w:tcPr>
          <w:p w14:paraId="4F85850B">
            <w:pPr>
              <w:spacing w:before="0" w:after="0" w:line="288" w:lineRule="auto"/>
              <w:jc w:val="center"/>
            </w:pPr>
          </w:p>
        </w:tc>
        <w:tc>
          <w:tcPr>
            <w:tcW w:w="1474" w:type="dxa"/>
            <w:tcMar>
              <w:top w:w="80" w:type="dxa"/>
              <w:left w:w="90" w:type="dxa"/>
              <w:bottom w:w="80" w:type="dxa"/>
              <w:right w:w="90" w:type="dxa"/>
            </w:tcMar>
            <w:vAlign w:val="center"/>
          </w:tcPr>
          <w:p w14:paraId="71B60BDE">
            <w:pPr>
              <w:spacing w:before="0" w:after="0" w:line="288" w:lineRule="auto"/>
              <w:jc w:val="center"/>
            </w:pPr>
          </w:p>
        </w:tc>
        <w:tc>
          <w:tcPr>
            <w:tcW w:w="1247" w:type="dxa"/>
            <w:tcMar>
              <w:top w:w="80" w:type="dxa"/>
              <w:left w:w="90" w:type="dxa"/>
              <w:bottom w:w="80" w:type="dxa"/>
              <w:right w:w="90" w:type="dxa"/>
            </w:tcMar>
            <w:vAlign w:val="center"/>
          </w:tcPr>
          <w:p w14:paraId="45280C09">
            <w:pPr>
              <w:spacing w:before="0" w:after="0" w:line="288" w:lineRule="auto"/>
              <w:jc w:val="center"/>
            </w:pPr>
          </w:p>
        </w:tc>
        <w:tc>
          <w:tcPr>
            <w:tcW w:w="1247" w:type="dxa"/>
            <w:tcMar>
              <w:top w:w="80" w:type="dxa"/>
              <w:left w:w="90" w:type="dxa"/>
              <w:bottom w:w="80" w:type="dxa"/>
              <w:right w:w="90" w:type="dxa"/>
            </w:tcMar>
            <w:vAlign w:val="center"/>
          </w:tcPr>
          <w:p w14:paraId="47F2FD96">
            <w:pPr>
              <w:spacing w:before="0" w:after="0" w:line="288" w:lineRule="auto"/>
              <w:jc w:val="center"/>
            </w:pPr>
          </w:p>
        </w:tc>
        <w:tc>
          <w:tcPr>
            <w:tcW w:w="1247" w:type="dxa"/>
            <w:tcMar>
              <w:top w:w="80" w:type="dxa"/>
              <w:left w:w="90" w:type="dxa"/>
              <w:bottom w:w="80" w:type="dxa"/>
              <w:right w:w="90" w:type="dxa"/>
            </w:tcMar>
            <w:vAlign w:val="center"/>
          </w:tcPr>
          <w:p w14:paraId="3F32A5D4">
            <w:pPr>
              <w:spacing w:before="0" w:after="0" w:line="288" w:lineRule="auto"/>
              <w:jc w:val="center"/>
            </w:pPr>
          </w:p>
        </w:tc>
      </w:tr>
      <w:tr w14:paraId="1BE4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27535995">
            <w:pPr>
              <w:spacing w:before="0" w:after="0" w:line="288" w:lineRule="auto"/>
              <w:jc w:val="center"/>
            </w:pPr>
          </w:p>
        </w:tc>
        <w:tc>
          <w:tcPr>
            <w:tcW w:w="1361" w:type="dxa"/>
            <w:tcMar>
              <w:top w:w="80" w:type="dxa"/>
              <w:left w:w="90" w:type="dxa"/>
              <w:bottom w:w="80" w:type="dxa"/>
              <w:right w:w="90" w:type="dxa"/>
            </w:tcMar>
            <w:vAlign w:val="center"/>
          </w:tcPr>
          <w:p w14:paraId="782AFD37">
            <w:pPr>
              <w:spacing w:before="0" w:after="0" w:line="288" w:lineRule="auto"/>
              <w:jc w:val="center"/>
            </w:pPr>
          </w:p>
        </w:tc>
        <w:tc>
          <w:tcPr>
            <w:tcW w:w="1871" w:type="dxa"/>
            <w:tcMar>
              <w:top w:w="80" w:type="dxa"/>
              <w:left w:w="90" w:type="dxa"/>
              <w:bottom w:w="80" w:type="dxa"/>
              <w:right w:w="90" w:type="dxa"/>
            </w:tcMar>
            <w:vAlign w:val="center"/>
          </w:tcPr>
          <w:p w14:paraId="7EC4A24F">
            <w:pPr>
              <w:spacing w:before="0" w:after="0" w:line="288" w:lineRule="auto"/>
              <w:jc w:val="center"/>
            </w:pPr>
          </w:p>
        </w:tc>
        <w:tc>
          <w:tcPr>
            <w:tcW w:w="1474" w:type="dxa"/>
            <w:tcMar>
              <w:top w:w="80" w:type="dxa"/>
              <w:left w:w="90" w:type="dxa"/>
              <w:bottom w:w="80" w:type="dxa"/>
              <w:right w:w="90" w:type="dxa"/>
            </w:tcMar>
            <w:vAlign w:val="center"/>
          </w:tcPr>
          <w:p w14:paraId="7172CAF3">
            <w:pPr>
              <w:spacing w:before="0" w:after="0" w:line="288" w:lineRule="auto"/>
              <w:jc w:val="center"/>
            </w:pPr>
          </w:p>
        </w:tc>
        <w:tc>
          <w:tcPr>
            <w:tcW w:w="1247" w:type="dxa"/>
            <w:tcMar>
              <w:top w:w="80" w:type="dxa"/>
              <w:left w:w="90" w:type="dxa"/>
              <w:bottom w:w="80" w:type="dxa"/>
              <w:right w:w="90" w:type="dxa"/>
            </w:tcMar>
            <w:vAlign w:val="center"/>
          </w:tcPr>
          <w:p w14:paraId="4FE900E2">
            <w:pPr>
              <w:spacing w:before="0" w:after="0" w:line="288" w:lineRule="auto"/>
              <w:jc w:val="center"/>
            </w:pPr>
          </w:p>
        </w:tc>
        <w:tc>
          <w:tcPr>
            <w:tcW w:w="1247" w:type="dxa"/>
            <w:tcMar>
              <w:top w:w="80" w:type="dxa"/>
              <w:left w:w="90" w:type="dxa"/>
              <w:bottom w:w="80" w:type="dxa"/>
              <w:right w:w="90" w:type="dxa"/>
            </w:tcMar>
            <w:vAlign w:val="center"/>
          </w:tcPr>
          <w:p w14:paraId="65CF9EBC">
            <w:pPr>
              <w:spacing w:before="0" w:after="0" w:line="288" w:lineRule="auto"/>
              <w:jc w:val="center"/>
            </w:pPr>
          </w:p>
        </w:tc>
        <w:tc>
          <w:tcPr>
            <w:tcW w:w="1247" w:type="dxa"/>
            <w:tcMar>
              <w:top w:w="80" w:type="dxa"/>
              <w:left w:w="90" w:type="dxa"/>
              <w:bottom w:w="80" w:type="dxa"/>
              <w:right w:w="90" w:type="dxa"/>
            </w:tcMar>
            <w:vAlign w:val="center"/>
          </w:tcPr>
          <w:p w14:paraId="63D57439">
            <w:pPr>
              <w:spacing w:before="0" w:after="0" w:line="288" w:lineRule="auto"/>
              <w:jc w:val="center"/>
            </w:pPr>
          </w:p>
        </w:tc>
      </w:tr>
      <w:tr w14:paraId="6BEB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20EA26C2">
            <w:pPr>
              <w:spacing w:before="0" w:after="0" w:line="288" w:lineRule="auto"/>
              <w:jc w:val="center"/>
            </w:pPr>
          </w:p>
        </w:tc>
        <w:tc>
          <w:tcPr>
            <w:tcW w:w="1361" w:type="dxa"/>
            <w:tcMar>
              <w:top w:w="80" w:type="dxa"/>
              <w:left w:w="90" w:type="dxa"/>
              <w:bottom w:w="80" w:type="dxa"/>
              <w:right w:w="90" w:type="dxa"/>
            </w:tcMar>
            <w:vAlign w:val="center"/>
          </w:tcPr>
          <w:p w14:paraId="02DD4EED">
            <w:pPr>
              <w:spacing w:before="0" w:after="0" w:line="288" w:lineRule="auto"/>
              <w:jc w:val="center"/>
            </w:pPr>
          </w:p>
        </w:tc>
        <w:tc>
          <w:tcPr>
            <w:tcW w:w="1871" w:type="dxa"/>
            <w:tcMar>
              <w:top w:w="80" w:type="dxa"/>
              <w:left w:w="90" w:type="dxa"/>
              <w:bottom w:w="80" w:type="dxa"/>
              <w:right w:w="90" w:type="dxa"/>
            </w:tcMar>
            <w:vAlign w:val="center"/>
          </w:tcPr>
          <w:p w14:paraId="122ED764">
            <w:pPr>
              <w:spacing w:before="0" w:after="0" w:line="288" w:lineRule="auto"/>
              <w:jc w:val="center"/>
            </w:pPr>
          </w:p>
        </w:tc>
        <w:tc>
          <w:tcPr>
            <w:tcW w:w="1474" w:type="dxa"/>
            <w:tcMar>
              <w:top w:w="80" w:type="dxa"/>
              <w:left w:w="90" w:type="dxa"/>
              <w:bottom w:w="80" w:type="dxa"/>
              <w:right w:w="90" w:type="dxa"/>
            </w:tcMar>
            <w:vAlign w:val="center"/>
          </w:tcPr>
          <w:p w14:paraId="473EB467">
            <w:pPr>
              <w:spacing w:before="0" w:after="0" w:line="288" w:lineRule="auto"/>
              <w:jc w:val="center"/>
            </w:pPr>
          </w:p>
        </w:tc>
        <w:tc>
          <w:tcPr>
            <w:tcW w:w="1247" w:type="dxa"/>
            <w:tcMar>
              <w:top w:w="80" w:type="dxa"/>
              <w:left w:w="90" w:type="dxa"/>
              <w:bottom w:w="80" w:type="dxa"/>
              <w:right w:w="90" w:type="dxa"/>
            </w:tcMar>
            <w:vAlign w:val="center"/>
          </w:tcPr>
          <w:p w14:paraId="6180EC8C">
            <w:pPr>
              <w:spacing w:before="0" w:after="0" w:line="288" w:lineRule="auto"/>
              <w:jc w:val="center"/>
            </w:pPr>
          </w:p>
        </w:tc>
        <w:tc>
          <w:tcPr>
            <w:tcW w:w="1247" w:type="dxa"/>
            <w:tcMar>
              <w:top w:w="80" w:type="dxa"/>
              <w:left w:w="90" w:type="dxa"/>
              <w:bottom w:w="80" w:type="dxa"/>
              <w:right w:w="90" w:type="dxa"/>
            </w:tcMar>
            <w:vAlign w:val="center"/>
          </w:tcPr>
          <w:p w14:paraId="6864FD59">
            <w:pPr>
              <w:spacing w:before="0" w:after="0" w:line="288" w:lineRule="auto"/>
              <w:jc w:val="center"/>
            </w:pPr>
          </w:p>
        </w:tc>
        <w:tc>
          <w:tcPr>
            <w:tcW w:w="1247" w:type="dxa"/>
            <w:tcMar>
              <w:top w:w="80" w:type="dxa"/>
              <w:left w:w="90" w:type="dxa"/>
              <w:bottom w:w="80" w:type="dxa"/>
              <w:right w:w="90" w:type="dxa"/>
            </w:tcMar>
            <w:vAlign w:val="center"/>
          </w:tcPr>
          <w:p w14:paraId="4A2B574A">
            <w:pPr>
              <w:spacing w:before="0" w:after="0" w:line="288" w:lineRule="auto"/>
              <w:jc w:val="center"/>
            </w:pPr>
          </w:p>
        </w:tc>
      </w:tr>
      <w:tr w14:paraId="2053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660DFFF3">
            <w:pPr>
              <w:spacing w:before="0" w:after="0" w:line="288" w:lineRule="auto"/>
              <w:jc w:val="center"/>
            </w:pPr>
          </w:p>
        </w:tc>
        <w:tc>
          <w:tcPr>
            <w:tcW w:w="1361" w:type="dxa"/>
            <w:tcMar>
              <w:top w:w="80" w:type="dxa"/>
              <w:left w:w="90" w:type="dxa"/>
              <w:bottom w:w="80" w:type="dxa"/>
              <w:right w:w="90" w:type="dxa"/>
            </w:tcMar>
            <w:vAlign w:val="center"/>
          </w:tcPr>
          <w:p w14:paraId="0ED7993E">
            <w:pPr>
              <w:spacing w:before="0" w:after="0" w:line="288" w:lineRule="auto"/>
              <w:jc w:val="center"/>
            </w:pPr>
          </w:p>
        </w:tc>
        <w:tc>
          <w:tcPr>
            <w:tcW w:w="1871" w:type="dxa"/>
            <w:tcMar>
              <w:top w:w="80" w:type="dxa"/>
              <w:left w:w="90" w:type="dxa"/>
              <w:bottom w:w="80" w:type="dxa"/>
              <w:right w:w="90" w:type="dxa"/>
            </w:tcMar>
            <w:vAlign w:val="center"/>
          </w:tcPr>
          <w:p w14:paraId="21270E5E">
            <w:pPr>
              <w:spacing w:before="0" w:after="0" w:line="288" w:lineRule="auto"/>
              <w:jc w:val="center"/>
            </w:pPr>
          </w:p>
        </w:tc>
        <w:tc>
          <w:tcPr>
            <w:tcW w:w="1474" w:type="dxa"/>
            <w:tcMar>
              <w:top w:w="80" w:type="dxa"/>
              <w:left w:w="90" w:type="dxa"/>
              <w:bottom w:w="80" w:type="dxa"/>
              <w:right w:w="90" w:type="dxa"/>
            </w:tcMar>
            <w:vAlign w:val="center"/>
          </w:tcPr>
          <w:p w14:paraId="4211A523">
            <w:pPr>
              <w:spacing w:before="0" w:after="0" w:line="288" w:lineRule="auto"/>
              <w:jc w:val="center"/>
            </w:pPr>
          </w:p>
        </w:tc>
        <w:tc>
          <w:tcPr>
            <w:tcW w:w="1247" w:type="dxa"/>
            <w:tcMar>
              <w:top w:w="80" w:type="dxa"/>
              <w:left w:w="90" w:type="dxa"/>
              <w:bottom w:w="80" w:type="dxa"/>
              <w:right w:w="90" w:type="dxa"/>
            </w:tcMar>
            <w:vAlign w:val="center"/>
          </w:tcPr>
          <w:p w14:paraId="7AF5CC3F">
            <w:pPr>
              <w:spacing w:before="0" w:after="0" w:line="288" w:lineRule="auto"/>
              <w:jc w:val="center"/>
            </w:pPr>
          </w:p>
        </w:tc>
        <w:tc>
          <w:tcPr>
            <w:tcW w:w="1247" w:type="dxa"/>
            <w:tcMar>
              <w:top w:w="80" w:type="dxa"/>
              <w:left w:w="90" w:type="dxa"/>
              <w:bottom w:w="80" w:type="dxa"/>
              <w:right w:w="90" w:type="dxa"/>
            </w:tcMar>
            <w:vAlign w:val="center"/>
          </w:tcPr>
          <w:p w14:paraId="2FFDF030">
            <w:pPr>
              <w:spacing w:before="0" w:after="0" w:line="288" w:lineRule="auto"/>
              <w:jc w:val="center"/>
            </w:pPr>
          </w:p>
        </w:tc>
        <w:tc>
          <w:tcPr>
            <w:tcW w:w="1247" w:type="dxa"/>
            <w:tcMar>
              <w:top w:w="80" w:type="dxa"/>
              <w:left w:w="90" w:type="dxa"/>
              <w:bottom w:w="80" w:type="dxa"/>
              <w:right w:w="90" w:type="dxa"/>
            </w:tcMar>
            <w:vAlign w:val="center"/>
          </w:tcPr>
          <w:p w14:paraId="541F8261">
            <w:pPr>
              <w:spacing w:before="0" w:after="0" w:line="288" w:lineRule="auto"/>
              <w:jc w:val="center"/>
            </w:pPr>
          </w:p>
        </w:tc>
      </w:tr>
      <w:tr w14:paraId="500A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04960581">
            <w:pPr>
              <w:spacing w:before="0" w:after="0" w:line="288" w:lineRule="auto"/>
              <w:jc w:val="center"/>
            </w:pPr>
          </w:p>
        </w:tc>
        <w:tc>
          <w:tcPr>
            <w:tcW w:w="1361" w:type="dxa"/>
            <w:tcMar>
              <w:top w:w="80" w:type="dxa"/>
              <w:left w:w="90" w:type="dxa"/>
              <w:bottom w:w="80" w:type="dxa"/>
              <w:right w:w="90" w:type="dxa"/>
            </w:tcMar>
            <w:vAlign w:val="center"/>
          </w:tcPr>
          <w:p w14:paraId="520D4521">
            <w:pPr>
              <w:spacing w:before="0" w:after="0" w:line="288" w:lineRule="auto"/>
              <w:jc w:val="center"/>
            </w:pPr>
          </w:p>
        </w:tc>
        <w:tc>
          <w:tcPr>
            <w:tcW w:w="1871" w:type="dxa"/>
            <w:tcMar>
              <w:top w:w="80" w:type="dxa"/>
              <w:left w:w="90" w:type="dxa"/>
              <w:bottom w:w="80" w:type="dxa"/>
              <w:right w:w="90" w:type="dxa"/>
            </w:tcMar>
            <w:vAlign w:val="center"/>
          </w:tcPr>
          <w:p w14:paraId="532D6A62">
            <w:pPr>
              <w:spacing w:before="0" w:after="0" w:line="288" w:lineRule="auto"/>
              <w:jc w:val="center"/>
            </w:pPr>
          </w:p>
        </w:tc>
        <w:tc>
          <w:tcPr>
            <w:tcW w:w="1474" w:type="dxa"/>
            <w:tcMar>
              <w:top w:w="80" w:type="dxa"/>
              <w:left w:w="90" w:type="dxa"/>
              <w:bottom w:w="80" w:type="dxa"/>
              <w:right w:w="90" w:type="dxa"/>
            </w:tcMar>
            <w:vAlign w:val="center"/>
          </w:tcPr>
          <w:p w14:paraId="1280E70F">
            <w:pPr>
              <w:spacing w:before="0" w:after="0" w:line="288" w:lineRule="auto"/>
              <w:jc w:val="center"/>
            </w:pPr>
          </w:p>
        </w:tc>
        <w:tc>
          <w:tcPr>
            <w:tcW w:w="1247" w:type="dxa"/>
            <w:tcMar>
              <w:top w:w="80" w:type="dxa"/>
              <w:left w:w="90" w:type="dxa"/>
              <w:bottom w:w="80" w:type="dxa"/>
              <w:right w:w="90" w:type="dxa"/>
            </w:tcMar>
            <w:vAlign w:val="center"/>
          </w:tcPr>
          <w:p w14:paraId="5A171DB6">
            <w:pPr>
              <w:spacing w:before="0" w:after="0" w:line="288" w:lineRule="auto"/>
              <w:jc w:val="center"/>
            </w:pPr>
          </w:p>
        </w:tc>
        <w:tc>
          <w:tcPr>
            <w:tcW w:w="1247" w:type="dxa"/>
            <w:tcMar>
              <w:top w:w="80" w:type="dxa"/>
              <w:left w:w="90" w:type="dxa"/>
              <w:bottom w:w="80" w:type="dxa"/>
              <w:right w:w="90" w:type="dxa"/>
            </w:tcMar>
            <w:vAlign w:val="center"/>
          </w:tcPr>
          <w:p w14:paraId="148509D7">
            <w:pPr>
              <w:spacing w:before="0" w:after="0" w:line="288" w:lineRule="auto"/>
              <w:jc w:val="center"/>
            </w:pPr>
          </w:p>
        </w:tc>
        <w:tc>
          <w:tcPr>
            <w:tcW w:w="1247" w:type="dxa"/>
            <w:tcMar>
              <w:top w:w="80" w:type="dxa"/>
              <w:left w:w="90" w:type="dxa"/>
              <w:bottom w:w="80" w:type="dxa"/>
              <w:right w:w="90" w:type="dxa"/>
            </w:tcMar>
            <w:vAlign w:val="center"/>
          </w:tcPr>
          <w:p w14:paraId="380DCEDB">
            <w:pPr>
              <w:spacing w:before="0" w:after="0" w:line="288" w:lineRule="auto"/>
              <w:jc w:val="center"/>
            </w:pPr>
          </w:p>
        </w:tc>
      </w:tr>
      <w:tr w14:paraId="4C83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3FED97FF">
            <w:pPr>
              <w:spacing w:before="0" w:after="0" w:line="288" w:lineRule="auto"/>
              <w:jc w:val="center"/>
            </w:pPr>
          </w:p>
        </w:tc>
        <w:tc>
          <w:tcPr>
            <w:tcW w:w="1361" w:type="dxa"/>
            <w:tcMar>
              <w:top w:w="80" w:type="dxa"/>
              <w:left w:w="90" w:type="dxa"/>
              <w:bottom w:w="80" w:type="dxa"/>
              <w:right w:w="90" w:type="dxa"/>
            </w:tcMar>
            <w:vAlign w:val="center"/>
          </w:tcPr>
          <w:p w14:paraId="1137EC6A">
            <w:pPr>
              <w:spacing w:before="0" w:after="0" w:line="288" w:lineRule="auto"/>
              <w:jc w:val="center"/>
            </w:pPr>
          </w:p>
        </w:tc>
        <w:tc>
          <w:tcPr>
            <w:tcW w:w="1871" w:type="dxa"/>
            <w:tcMar>
              <w:top w:w="80" w:type="dxa"/>
              <w:left w:w="90" w:type="dxa"/>
              <w:bottom w:w="80" w:type="dxa"/>
              <w:right w:w="90" w:type="dxa"/>
            </w:tcMar>
            <w:vAlign w:val="center"/>
          </w:tcPr>
          <w:p w14:paraId="3BE1A034">
            <w:pPr>
              <w:spacing w:before="0" w:after="0" w:line="288" w:lineRule="auto"/>
              <w:jc w:val="center"/>
            </w:pPr>
          </w:p>
        </w:tc>
        <w:tc>
          <w:tcPr>
            <w:tcW w:w="1474" w:type="dxa"/>
            <w:tcMar>
              <w:top w:w="80" w:type="dxa"/>
              <w:left w:w="90" w:type="dxa"/>
              <w:bottom w:w="80" w:type="dxa"/>
              <w:right w:w="90" w:type="dxa"/>
            </w:tcMar>
            <w:vAlign w:val="center"/>
          </w:tcPr>
          <w:p w14:paraId="58A19A2D">
            <w:pPr>
              <w:spacing w:before="0" w:after="0" w:line="288" w:lineRule="auto"/>
              <w:jc w:val="center"/>
            </w:pPr>
          </w:p>
        </w:tc>
        <w:tc>
          <w:tcPr>
            <w:tcW w:w="1247" w:type="dxa"/>
            <w:tcMar>
              <w:top w:w="80" w:type="dxa"/>
              <w:left w:w="90" w:type="dxa"/>
              <w:bottom w:w="80" w:type="dxa"/>
              <w:right w:w="90" w:type="dxa"/>
            </w:tcMar>
            <w:vAlign w:val="center"/>
          </w:tcPr>
          <w:p w14:paraId="0E5146B5">
            <w:pPr>
              <w:spacing w:before="0" w:after="0" w:line="288" w:lineRule="auto"/>
              <w:jc w:val="center"/>
            </w:pPr>
          </w:p>
        </w:tc>
        <w:tc>
          <w:tcPr>
            <w:tcW w:w="1247" w:type="dxa"/>
            <w:tcMar>
              <w:top w:w="80" w:type="dxa"/>
              <w:left w:w="90" w:type="dxa"/>
              <w:bottom w:w="80" w:type="dxa"/>
              <w:right w:w="90" w:type="dxa"/>
            </w:tcMar>
            <w:vAlign w:val="center"/>
          </w:tcPr>
          <w:p w14:paraId="42BEFA67">
            <w:pPr>
              <w:spacing w:before="0" w:after="0" w:line="288" w:lineRule="auto"/>
              <w:jc w:val="center"/>
            </w:pPr>
          </w:p>
        </w:tc>
        <w:tc>
          <w:tcPr>
            <w:tcW w:w="1247" w:type="dxa"/>
            <w:tcMar>
              <w:top w:w="80" w:type="dxa"/>
              <w:left w:w="90" w:type="dxa"/>
              <w:bottom w:w="80" w:type="dxa"/>
              <w:right w:w="90" w:type="dxa"/>
            </w:tcMar>
            <w:vAlign w:val="center"/>
          </w:tcPr>
          <w:p w14:paraId="37AF2987">
            <w:pPr>
              <w:spacing w:before="0" w:after="0" w:line="288" w:lineRule="auto"/>
              <w:jc w:val="center"/>
            </w:pPr>
          </w:p>
        </w:tc>
      </w:tr>
      <w:tr w14:paraId="163A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602D0707">
            <w:pPr>
              <w:spacing w:before="0" w:after="0" w:line="288" w:lineRule="auto"/>
              <w:jc w:val="center"/>
            </w:pPr>
          </w:p>
        </w:tc>
        <w:tc>
          <w:tcPr>
            <w:tcW w:w="1361" w:type="dxa"/>
            <w:tcMar>
              <w:top w:w="80" w:type="dxa"/>
              <w:left w:w="90" w:type="dxa"/>
              <w:bottom w:w="80" w:type="dxa"/>
              <w:right w:w="90" w:type="dxa"/>
            </w:tcMar>
            <w:vAlign w:val="center"/>
          </w:tcPr>
          <w:p w14:paraId="6E24C801">
            <w:pPr>
              <w:spacing w:before="0" w:after="0" w:line="288" w:lineRule="auto"/>
              <w:jc w:val="center"/>
            </w:pPr>
          </w:p>
        </w:tc>
        <w:tc>
          <w:tcPr>
            <w:tcW w:w="1871" w:type="dxa"/>
            <w:tcMar>
              <w:top w:w="80" w:type="dxa"/>
              <w:left w:w="90" w:type="dxa"/>
              <w:bottom w:w="80" w:type="dxa"/>
              <w:right w:w="90" w:type="dxa"/>
            </w:tcMar>
            <w:vAlign w:val="center"/>
          </w:tcPr>
          <w:p w14:paraId="777D2176">
            <w:pPr>
              <w:spacing w:before="0" w:after="0" w:line="288" w:lineRule="auto"/>
              <w:jc w:val="center"/>
            </w:pPr>
          </w:p>
        </w:tc>
        <w:tc>
          <w:tcPr>
            <w:tcW w:w="1474" w:type="dxa"/>
            <w:tcMar>
              <w:top w:w="80" w:type="dxa"/>
              <w:left w:w="90" w:type="dxa"/>
              <w:bottom w:w="80" w:type="dxa"/>
              <w:right w:w="90" w:type="dxa"/>
            </w:tcMar>
            <w:vAlign w:val="center"/>
          </w:tcPr>
          <w:p w14:paraId="775D664B">
            <w:pPr>
              <w:spacing w:before="0" w:after="0" w:line="288" w:lineRule="auto"/>
              <w:jc w:val="center"/>
            </w:pPr>
          </w:p>
        </w:tc>
        <w:tc>
          <w:tcPr>
            <w:tcW w:w="1247" w:type="dxa"/>
            <w:tcMar>
              <w:top w:w="80" w:type="dxa"/>
              <w:left w:w="90" w:type="dxa"/>
              <w:bottom w:w="80" w:type="dxa"/>
              <w:right w:w="90" w:type="dxa"/>
            </w:tcMar>
            <w:vAlign w:val="center"/>
          </w:tcPr>
          <w:p w14:paraId="13C83B37">
            <w:pPr>
              <w:spacing w:before="0" w:after="0" w:line="288" w:lineRule="auto"/>
              <w:jc w:val="center"/>
            </w:pPr>
          </w:p>
        </w:tc>
        <w:tc>
          <w:tcPr>
            <w:tcW w:w="1247" w:type="dxa"/>
            <w:tcMar>
              <w:top w:w="80" w:type="dxa"/>
              <w:left w:w="90" w:type="dxa"/>
              <w:bottom w:w="80" w:type="dxa"/>
              <w:right w:w="90" w:type="dxa"/>
            </w:tcMar>
            <w:vAlign w:val="center"/>
          </w:tcPr>
          <w:p w14:paraId="6CE88575">
            <w:pPr>
              <w:spacing w:before="0" w:after="0" w:line="288" w:lineRule="auto"/>
              <w:jc w:val="center"/>
            </w:pPr>
          </w:p>
        </w:tc>
        <w:tc>
          <w:tcPr>
            <w:tcW w:w="1247" w:type="dxa"/>
            <w:tcMar>
              <w:top w:w="80" w:type="dxa"/>
              <w:left w:w="90" w:type="dxa"/>
              <w:bottom w:w="80" w:type="dxa"/>
              <w:right w:w="90" w:type="dxa"/>
            </w:tcMar>
            <w:vAlign w:val="center"/>
          </w:tcPr>
          <w:p w14:paraId="23485B75">
            <w:pPr>
              <w:spacing w:before="0" w:after="0" w:line="288" w:lineRule="auto"/>
              <w:jc w:val="center"/>
            </w:pPr>
          </w:p>
        </w:tc>
      </w:tr>
      <w:tr w14:paraId="6DC0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3507FE85">
            <w:pPr>
              <w:spacing w:before="0" w:after="0" w:line="288" w:lineRule="auto"/>
              <w:jc w:val="center"/>
            </w:pPr>
          </w:p>
        </w:tc>
        <w:tc>
          <w:tcPr>
            <w:tcW w:w="1361" w:type="dxa"/>
            <w:tcMar>
              <w:top w:w="80" w:type="dxa"/>
              <w:left w:w="90" w:type="dxa"/>
              <w:bottom w:w="80" w:type="dxa"/>
              <w:right w:w="90" w:type="dxa"/>
            </w:tcMar>
            <w:vAlign w:val="center"/>
          </w:tcPr>
          <w:p w14:paraId="7ED85E50">
            <w:pPr>
              <w:spacing w:before="0" w:after="0" w:line="288" w:lineRule="auto"/>
              <w:jc w:val="center"/>
            </w:pPr>
          </w:p>
        </w:tc>
        <w:tc>
          <w:tcPr>
            <w:tcW w:w="1871" w:type="dxa"/>
            <w:tcMar>
              <w:top w:w="80" w:type="dxa"/>
              <w:left w:w="90" w:type="dxa"/>
              <w:bottom w:w="80" w:type="dxa"/>
              <w:right w:w="90" w:type="dxa"/>
            </w:tcMar>
            <w:vAlign w:val="center"/>
          </w:tcPr>
          <w:p w14:paraId="25726792">
            <w:pPr>
              <w:spacing w:before="0" w:after="0" w:line="288" w:lineRule="auto"/>
              <w:jc w:val="center"/>
            </w:pPr>
          </w:p>
        </w:tc>
        <w:tc>
          <w:tcPr>
            <w:tcW w:w="1474" w:type="dxa"/>
            <w:tcMar>
              <w:top w:w="80" w:type="dxa"/>
              <w:left w:w="90" w:type="dxa"/>
              <w:bottom w:w="80" w:type="dxa"/>
              <w:right w:w="90" w:type="dxa"/>
            </w:tcMar>
            <w:vAlign w:val="center"/>
          </w:tcPr>
          <w:p w14:paraId="4D9597DE">
            <w:pPr>
              <w:spacing w:before="0" w:after="0" w:line="288" w:lineRule="auto"/>
              <w:jc w:val="center"/>
            </w:pPr>
          </w:p>
        </w:tc>
        <w:tc>
          <w:tcPr>
            <w:tcW w:w="1247" w:type="dxa"/>
            <w:tcMar>
              <w:top w:w="80" w:type="dxa"/>
              <w:left w:w="90" w:type="dxa"/>
              <w:bottom w:w="80" w:type="dxa"/>
              <w:right w:w="90" w:type="dxa"/>
            </w:tcMar>
            <w:vAlign w:val="center"/>
          </w:tcPr>
          <w:p w14:paraId="34322FF3">
            <w:pPr>
              <w:spacing w:before="0" w:after="0" w:line="288" w:lineRule="auto"/>
              <w:jc w:val="center"/>
            </w:pPr>
          </w:p>
        </w:tc>
        <w:tc>
          <w:tcPr>
            <w:tcW w:w="1247" w:type="dxa"/>
            <w:tcMar>
              <w:top w:w="80" w:type="dxa"/>
              <w:left w:w="90" w:type="dxa"/>
              <w:bottom w:w="80" w:type="dxa"/>
              <w:right w:w="90" w:type="dxa"/>
            </w:tcMar>
            <w:vAlign w:val="center"/>
          </w:tcPr>
          <w:p w14:paraId="3CAB93BD">
            <w:pPr>
              <w:spacing w:before="0" w:after="0" w:line="288" w:lineRule="auto"/>
              <w:jc w:val="center"/>
            </w:pPr>
          </w:p>
        </w:tc>
        <w:tc>
          <w:tcPr>
            <w:tcW w:w="1247" w:type="dxa"/>
            <w:tcMar>
              <w:top w:w="80" w:type="dxa"/>
              <w:left w:w="90" w:type="dxa"/>
              <w:bottom w:w="80" w:type="dxa"/>
              <w:right w:w="90" w:type="dxa"/>
            </w:tcMar>
            <w:vAlign w:val="center"/>
          </w:tcPr>
          <w:p w14:paraId="676B4452">
            <w:pPr>
              <w:spacing w:before="0" w:after="0" w:line="288" w:lineRule="auto"/>
              <w:jc w:val="center"/>
            </w:pPr>
          </w:p>
        </w:tc>
      </w:tr>
      <w:tr w14:paraId="6EC8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00A6A6BE">
            <w:pPr>
              <w:spacing w:before="0" w:after="0" w:line="288" w:lineRule="auto"/>
              <w:jc w:val="center"/>
            </w:pPr>
          </w:p>
        </w:tc>
        <w:tc>
          <w:tcPr>
            <w:tcW w:w="1361" w:type="dxa"/>
            <w:tcMar>
              <w:top w:w="80" w:type="dxa"/>
              <w:left w:w="90" w:type="dxa"/>
              <w:bottom w:w="80" w:type="dxa"/>
              <w:right w:w="90" w:type="dxa"/>
            </w:tcMar>
            <w:vAlign w:val="center"/>
          </w:tcPr>
          <w:p w14:paraId="1AAFCE33">
            <w:pPr>
              <w:spacing w:before="0" w:after="0" w:line="288" w:lineRule="auto"/>
              <w:jc w:val="center"/>
            </w:pPr>
          </w:p>
        </w:tc>
        <w:tc>
          <w:tcPr>
            <w:tcW w:w="1871" w:type="dxa"/>
            <w:tcMar>
              <w:top w:w="80" w:type="dxa"/>
              <w:left w:w="90" w:type="dxa"/>
              <w:bottom w:w="80" w:type="dxa"/>
              <w:right w:w="90" w:type="dxa"/>
            </w:tcMar>
            <w:vAlign w:val="center"/>
          </w:tcPr>
          <w:p w14:paraId="203ABAA0">
            <w:pPr>
              <w:spacing w:before="0" w:after="0" w:line="288" w:lineRule="auto"/>
              <w:jc w:val="center"/>
            </w:pPr>
          </w:p>
        </w:tc>
        <w:tc>
          <w:tcPr>
            <w:tcW w:w="1474" w:type="dxa"/>
            <w:tcMar>
              <w:top w:w="80" w:type="dxa"/>
              <w:left w:w="90" w:type="dxa"/>
              <w:bottom w:w="80" w:type="dxa"/>
              <w:right w:w="90" w:type="dxa"/>
            </w:tcMar>
            <w:vAlign w:val="center"/>
          </w:tcPr>
          <w:p w14:paraId="017B761F">
            <w:pPr>
              <w:spacing w:before="0" w:after="0" w:line="288" w:lineRule="auto"/>
              <w:jc w:val="center"/>
            </w:pPr>
          </w:p>
        </w:tc>
        <w:tc>
          <w:tcPr>
            <w:tcW w:w="1247" w:type="dxa"/>
            <w:tcMar>
              <w:top w:w="80" w:type="dxa"/>
              <w:left w:w="90" w:type="dxa"/>
              <w:bottom w:w="80" w:type="dxa"/>
              <w:right w:w="90" w:type="dxa"/>
            </w:tcMar>
            <w:vAlign w:val="center"/>
          </w:tcPr>
          <w:p w14:paraId="1475141A">
            <w:pPr>
              <w:spacing w:before="0" w:after="0" w:line="288" w:lineRule="auto"/>
              <w:jc w:val="center"/>
            </w:pPr>
          </w:p>
        </w:tc>
        <w:tc>
          <w:tcPr>
            <w:tcW w:w="1247" w:type="dxa"/>
            <w:tcMar>
              <w:top w:w="80" w:type="dxa"/>
              <w:left w:w="90" w:type="dxa"/>
              <w:bottom w:w="80" w:type="dxa"/>
              <w:right w:w="90" w:type="dxa"/>
            </w:tcMar>
            <w:vAlign w:val="center"/>
          </w:tcPr>
          <w:p w14:paraId="7CC4EFBD">
            <w:pPr>
              <w:spacing w:before="0" w:after="0" w:line="288" w:lineRule="auto"/>
              <w:jc w:val="center"/>
            </w:pPr>
          </w:p>
        </w:tc>
        <w:tc>
          <w:tcPr>
            <w:tcW w:w="1247" w:type="dxa"/>
            <w:tcMar>
              <w:top w:w="80" w:type="dxa"/>
              <w:left w:w="90" w:type="dxa"/>
              <w:bottom w:w="80" w:type="dxa"/>
              <w:right w:w="90" w:type="dxa"/>
            </w:tcMar>
            <w:vAlign w:val="center"/>
          </w:tcPr>
          <w:p w14:paraId="652671DA">
            <w:pPr>
              <w:spacing w:before="0" w:after="0" w:line="288" w:lineRule="auto"/>
              <w:jc w:val="center"/>
            </w:pPr>
          </w:p>
        </w:tc>
      </w:tr>
      <w:tr w14:paraId="7133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698E997B">
            <w:pPr>
              <w:spacing w:before="0" w:after="0" w:line="288" w:lineRule="auto"/>
              <w:jc w:val="center"/>
            </w:pPr>
          </w:p>
        </w:tc>
        <w:tc>
          <w:tcPr>
            <w:tcW w:w="1361" w:type="dxa"/>
            <w:tcMar>
              <w:top w:w="80" w:type="dxa"/>
              <w:left w:w="90" w:type="dxa"/>
              <w:bottom w:w="80" w:type="dxa"/>
              <w:right w:w="90" w:type="dxa"/>
            </w:tcMar>
            <w:vAlign w:val="center"/>
          </w:tcPr>
          <w:p w14:paraId="3EFB1954">
            <w:pPr>
              <w:spacing w:before="0" w:after="0" w:line="288" w:lineRule="auto"/>
              <w:jc w:val="center"/>
            </w:pPr>
          </w:p>
        </w:tc>
        <w:tc>
          <w:tcPr>
            <w:tcW w:w="1871" w:type="dxa"/>
            <w:tcMar>
              <w:top w:w="80" w:type="dxa"/>
              <w:left w:w="90" w:type="dxa"/>
              <w:bottom w:w="80" w:type="dxa"/>
              <w:right w:w="90" w:type="dxa"/>
            </w:tcMar>
            <w:vAlign w:val="center"/>
          </w:tcPr>
          <w:p w14:paraId="54F753ED">
            <w:pPr>
              <w:spacing w:before="0" w:after="0" w:line="288" w:lineRule="auto"/>
              <w:jc w:val="center"/>
            </w:pPr>
          </w:p>
        </w:tc>
        <w:tc>
          <w:tcPr>
            <w:tcW w:w="1474" w:type="dxa"/>
            <w:tcMar>
              <w:top w:w="80" w:type="dxa"/>
              <w:left w:w="90" w:type="dxa"/>
              <w:bottom w:w="80" w:type="dxa"/>
              <w:right w:w="90" w:type="dxa"/>
            </w:tcMar>
            <w:vAlign w:val="center"/>
          </w:tcPr>
          <w:p w14:paraId="4CC2AA2C">
            <w:pPr>
              <w:spacing w:before="0" w:after="0" w:line="288" w:lineRule="auto"/>
              <w:jc w:val="center"/>
            </w:pPr>
          </w:p>
        </w:tc>
        <w:tc>
          <w:tcPr>
            <w:tcW w:w="1247" w:type="dxa"/>
            <w:tcMar>
              <w:top w:w="80" w:type="dxa"/>
              <w:left w:w="90" w:type="dxa"/>
              <w:bottom w:w="80" w:type="dxa"/>
              <w:right w:w="90" w:type="dxa"/>
            </w:tcMar>
            <w:vAlign w:val="center"/>
          </w:tcPr>
          <w:p w14:paraId="38F5230A">
            <w:pPr>
              <w:spacing w:before="0" w:after="0" w:line="288" w:lineRule="auto"/>
              <w:jc w:val="center"/>
            </w:pPr>
          </w:p>
        </w:tc>
        <w:tc>
          <w:tcPr>
            <w:tcW w:w="1247" w:type="dxa"/>
            <w:tcMar>
              <w:top w:w="80" w:type="dxa"/>
              <w:left w:w="90" w:type="dxa"/>
              <w:bottom w:w="80" w:type="dxa"/>
              <w:right w:w="90" w:type="dxa"/>
            </w:tcMar>
            <w:vAlign w:val="center"/>
          </w:tcPr>
          <w:p w14:paraId="43B58CA8">
            <w:pPr>
              <w:spacing w:before="0" w:after="0" w:line="288" w:lineRule="auto"/>
              <w:jc w:val="center"/>
            </w:pPr>
          </w:p>
        </w:tc>
        <w:tc>
          <w:tcPr>
            <w:tcW w:w="1247" w:type="dxa"/>
            <w:tcMar>
              <w:top w:w="80" w:type="dxa"/>
              <w:left w:w="90" w:type="dxa"/>
              <w:bottom w:w="80" w:type="dxa"/>
              <w:right w:w="90" w:type="dxa"/>
            </w:tcMar>
            <w:vAlign w:val="center"/>
          </w:tcPr>
          <w:p w14:paraId="01F45508">
            <w:pPr>
              <w:spacing w:before="0" w:after="0" w:line="288" w:lineRule="auto"/>
              <w:jc w:val="center"/>
            </w:pPr>
          </w:p>
        </w:tc>
      </w:tr>
      <w:tr w14:paraId="6BD8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1342575B">
            <w:pPr>
              <w:spacing w:before="0" w:after="0" w:line="288" w:lineRule="auto"/>
              <w:jc w:val="center"/>
            </w:pPr>
          </w:p>
        </w:tc>
        <w:tc>
          <w:tcPr>
            <w:tcW w:w="1361" w:type="dxa"/>
            <w:tcMar>
              <w:top w:w="80" w:type="dxa"/>
              <w:left w:w="90" w:type="dxa"/>
              <w:bottom w:w="80" w:type="dxa"/>
              <w:right w:w="90" w:type="dxa"/>
            </w:tcMar>
            <w:vAlign w:val="center"/>
          </w:tcPr>
          <w:p w14:paraId="5D065373">
            <w:pPr>
              <w:spacing w:before="0" w:after="0" w:line="288" w:lineRule="auto"/>
              <w:jc w:val="center"/>
            </w:pPr>
          </w:p>
        </w:tc>
        <w:tc>
          <w:tcPr>
            <w:tcW w:w="1871" w:type="dxa"/>
            <w:tcMar>
              <w:top w:w="80" w:type="dxa"/>
              <w:left w:w="90" w:type="dxa"/>
              <w:bottom w:w="80" w:type="dxa"/>
              <w:right w:w="90" w:type="dxa"/>
            </w:tcMar>
            <w:vAlign w:val="center"/>
          </w:tcPr>
          <w:p w14:paraId="7D7C109D">
            <w:pPr>
              <w:spacing w:before="0" w:after="0" w:line="288" w:lineRule="auto"/>
              <w:jc w:val="center"/>
            </w:pPr>
          </w:p>
        </w:tc>
        <w:tc>
          <w:tcPr>
            <w:tcW w:w="1474" w:type="dxa"/>
            <w:tcMar>
              <w:top w:w="80" w:type="dxa"/>
              <w:left w:w="90" w:type="dxa"/>
              <w:bottom w:w="80" w:type="dxa"/>
              <w:right w:w="90" w:type="dxa"/>
            </w:tcMar>
            <w:vAlign w:val="center"/>
          </w:tcPr>
          <w:p w14:paraId="7A8911B9">
            <w:pPr>
              <w:spacing w:before="0" w:after="0" w:line="288" w:lineRule="auto"/>
              <w:jc w:val="center"/>
            </w:pPr>
          </w:p>
        </w:tc>
        <w:tc>
          <w:tcPr>
            <w:tcW w:w="1247" w:type="dxa"/>
            <w:tcMar>
              <w:top w:w="80" w:type="dxa"/>
              <w:left w:w="90" w:type="dxa"/>
              <w:bottom w:w="80" w:type="dxa"/>
              <w:right w:w="90" w:type="dxa"/>
            </w:tcMar>
            <w:vAlign w:val="center"/>
          </w:tcPr>
          <w:p w14:paraId="73E92A86">
            <w:pPr>
              <w:spacing w:before="0" w:after="0" w:line="288" w:lineRule="auto"/>
              <w:jc w:val="center"/>
            </w:pPr>
          </w:p>
        </w:tc>
        <w:tc>
          <w:tcPr>
            <w:tcW w:w="1247" w:type="dxa"/>
            <w:tcMar>
              <w:top w:w="80" w:type="dxa"/>
              <w:left w:w="90" w:type="dxa"/>
              <w:bottom w:w="80" w:type="dxa"/>
              <w:right w:w="90" w:type="dxa"/>
            </w:tcMar>
            <w:vAlign w:val="center"/>
          </w:tcPr>
          <w:p w14:paraId="384DB3AA">
            <w:pPr>
              <w:spacing w:before="0" w:after="0" w:line="288" w:lineRule="auto"/>
              <w:jc w:val="center"/>
            </w:pPr>
          </w:p>
        </w:tc>
        <w:tc>
          <w:tcPr>
            <w:tcW w:w="1247" w:type="dxa"/>
            <w:tcMar>
              <w:top w:w="80" w:type="dxa"/>
              <w:left w:w="90" w:type="dxa"/>
              <w:bottom w:w="80" w:type="dxa"/>
              <w:right w:w="90" w:type="dxa"/>
            </w:tcMar>
            <w:vAlign w:val="center"/>
          </w:tcPr>
          <w:p w14:paraId="3DCF001D">
            <w:pPr>
              <w:spacing w:before="0" w:after="0" w:line="288" w:lineRule="auto"/>
              <w:jc w:val="center"/>
            </w:pPr>
          </w:p>
        </w:tc>
      </w:tr>
      <w:tr w14:paraId="68B5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6193A9A4">
            <w:pPr>
              <w:spacing w:before="0" w:after="0" w:line="288" w:lineRule="auto"/>
              <w:jc w:val="center"/>
            </w:pPr>
          </w:p>
        </w:tc>
        <w:tc>
          <w:tcPr>
            <w:tcW w:w="1361" w:type="dxa"/>
            <w:tcMar>
              <w:top w:w="80" w:type="dxa"/>
              <w:left w:w="90" w:type="dxa"/>
              <w:bottom w:w="80" w:type="dxa"/>
              <w:right w:w="90" w:type="dxa"/>
            </w:tcMar>
            <w:vAlign w:val="center"/>
          </w:tcPr>
          <w:p w14:paraId="201C8B8A">
            <w:pPr>
              <w:spacing w:before="0" w:after="0" w:line="288" w:lineRule="auto"/>
              <w:jc w:val="center"/>
            </w:pPr>
          </w:p>
        </w:tc>
        <w:tc>
          <w:tcPr>
            <w:tcW w:w="1871" w:type="dxa"/>
            <w:tcMar>
              <w:top w:w="80" w:type="dxa"/>
              <w:left w:w="90" w:type="dxa"/>
              <w:bottom w:w="80" w:type="dxa"/>
              <w:right w:w="90" w:type="dxa"/>
            </w:tcMar>
            <w:vAlign w:val="center"/>
          </w:tcPr>
          <w:p w14:paraId="01149EBA">
            <w:pPr>
              <w:spacing w:before="0" w:after="0" w:line="288" w:lineRule="auto"/>
              <w:jc w:val="center"/>
            </w:pPr>
          </w:p>
        </w:tc>
        <w:tc>
          <w:tcPr>
            <w:tcW w:w="1474" w:type="dxa"/>
            <w:tcMar>
              <w:top w:w="80" w:type="dxa"/>
              <w:left w:w="90" w:type="dxa"/>
              <w:bottom w:w="80" w:type="dxa"/>
              <w:right w:w="90" w:type="dxa"/>
            </w:tcMar>
            <w:vAlign w:val="center"/>
          </w:tcPr>
          <w:p w14:paraId="2436B9C9">
            <w:pPr>
              <w:spacing w:before="0" w:after="0" w:line="288" w:lineRule="auto"/>
              <w:jc w:val="center"/>
            </w:pPr>
          </w:p>
        </w:tc>
        <w:tc>
          <w:tcPr>
            <w:tcW w:w="1247" w:type="dxa"/>
            <w:tcMar>
              <w:top w:w="80" w:type="dxa"/>
              <w:left w:w="90" w:type="dxa"/>
              <w:bottom w:w="80" w:type="dxa"/>
              <w:right w:w="90" w:type="dxa"/>
            </w:tcMar>
            <w:vAlign w:val="center"/>
          </w:tcPr>
          <w:p w14:paraId="7596CE85">
            <w:pPr>
              <w:spacing w:before="0" w:after="0" w:line="288" w:lineRule="auto"/>
              <w:jc w:val="center"/>
            </w:pPr>
          </w:p>
        </w:tc>
        <w:tc>
          <w:tcPr>
            <w:tcW w:w="1247" w:type="dxa"/>
            <w:tcMar>
              <w:top w:w="80" w:type="dxa"/>
              <w:left w:w="90" w:type="dxa"/>
              <w:bottom w:w="80" w:type="dxa"/>
              <w:right w:w="90" w:type="dxa"/>
            </w:tcMar>
            <w:vAlign w:val="center"/>
          </w:tcPr>
          <w:p w14:paraId="0AE4EA06">
            <w:pPr>
              <w:spacing w:before="0" w:after="0" w:line="288" w:lineRule="auto"/>
              <w:jc w:val="center"/>
            </w:pPr>
          </w:p>
        </w:tc>
        <w:tc>
          <w:tcPr>
            <w:tcW w:w="1247" w:type="dxa"/>
            <w:tcMar>
              <w:top w:w="80" w:type="dxa"/>
              <w:left w:w="90" w:type="dxa"/>
              <w:bottom w:w="80" w:type="dxa"/>
              <w:right w:w="90" w:type="dxa"/>
            </w:tcMar>
            <w:vAlign w:val="center"/>
          </w:tcPr>
          <w:p w14:paraId="58ADFFBE">
            <w:pPr>
              <w:spacing w:before="0" w:after="0" w:line="288" w:lineRule="auto"/>
              <w:jc w:val="center"/>
            </w:pPr>
          </w:p>
        </w:tc>
      </w:tr>
      <w:tr w14:paraId="78EC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619F0F6D">
            <w:pPr>
              <w:spacing w:before="0" w:after="0" w:line="288" w:lineRule="auto"/>
              <w:jc w:val="center"/>
            </w:pPr>
          </w:p>
        </w:tc>
        <w:tc>
          <w:tcPr>
            <w:tcW w:w="1361" w:type="dxa"/>
            <w:tcMar>
              <w:top w:w="80" w:type="dxa"/>
              <w:left w:w="90" w:type="dxa"/>
              <w:bottom w:w="80" w:type="dxa"/>
              <w:right w:w="90" w:type="dxa"/>
            </w:tcMar>
            <w:vAlign w:val="center"/>
          </w:tcPr>
          <w:p w14:paraId="4DE835D3">
            <w:pPr>
              <w:spacing w:before="0" w:after="0" w:line="288" w:lineRule="auto"/>
              <w:jc w:val="center"/>
            </w:pPr>
          </w:p>
        </w:tc>
        <w:tc>
          <w:tcPr>
            <w:tcW w:w="1871" w:type="dxa"/>
            <w:tcMar>
              <w:top w:w="80" w:type="dxa"/>
              <w:left w:w="90" w:type="dxa"/>
              <w:bottom w:w="80" w:type="dxa"/>
              <w:right w:w="90" w:type="dxa"/>
            </w:tcMar>
            <w:vAlign w:val="center"/>
          </w:tcPr>
          <w:p w14:paraId="264A3D42">
            <w:pPr>
              <w:spacing w:before="0" w:after="0" w:line="288" w:lineRule="auto"/>
              <w:jc w:val="center"/>
            </w:pPr>
          </w:p>
        </w:tc>
        <w:tc>
          <w:tcPr>
            <w:tcW w:w="1474" w:type="dxa"/>
            <w:tcMar>
              <w:top w:w="80" w:type="dxa"/>
              <w:left w:w="90" w:type="dxa"/>
              <w:bottom w:w="80" w:type="dxa"/>
              <w:right w:w="90" w:type="dxa"/>
            </w:tcMar>
            <w:vAlign w:val="center"/>
          </w:tcPr>
          <w:p w14:paraId="7D5D9281">
            <w:pPr>
              <w:spacing w:before="0" w:after="0" w:line="288" w:lineRule="auto"/>
              <w:jc w:val="center"/>
            </w:pPr>
          </w:p>
        </w:tc>
        <w:tc>
          <w:tcPr>
            <w:tcW w:w="1247" w:type="dxa"/>
            <w:tcMar>
              <w:top w:w="80" w:type="dxa"/>
              <w:left w:w="90" w:type="dxa"/>
              <w:bottom w:w="80" w:type="dxa"/>
              <w:right w:w="90" w:type="dxa"/>
            </w:tcMar>
            <w:vAlign w:val="center"/>
          </w:tcPr>
          <w:p w14:paraId="7A17E100">
            <w:pPr>
              <w:spacing w:before="0" w:after="0" w:line="288" w:lineRule="auto"/>
              <w:jc w:val="center"/>
            </w:pPr>
          </w:p>
        </w:tc>
        <w:tc>
          <w:tcPr>
            <w:tcW w:w="1247" w:type="dxa"/>
            <w:tcMar>
              <w:top w:w="80" w:type="dxa"/>
              <w:left w:w="90" w:type="dxa"/>
              <w:bottom w:w="80" w:type="dxa"/>
              <w:right w:w="90" w:type="dxa"/>
            </w:tcMar>
            <w:vAlign w:val="center"/>
          </w:tcPr>
          <w:p w14:paraId="11652748">
            <w:pPr>
              <w:spacing w:before="0" w:after="0" w:line="288" w:lineRule="auto"/>
              <w:jc w:val="center"/>
            </w:pPr>
          </w:p>
        </w:tc>
        <w:tc>
          <w:tcPr>
            <w:tcW w:w="1247" w:type="dxa"/>
            <w:tcMar>
              <w:top w:w="80" w:type="dxa"/>
              <w:left w:w="90" w:type="dxa"/>
              <w:bottom w:w="80" w:type="dxa"/>
              <w:right w:w="90" w:type="dxa"/>
            </w:tcMar>
            <w:vAlign w:val="center"/>
          </w:tcPr>
          <w:p w14:paraId="3AD893B9">
            <w:pPr>
              <w:spacing w:before="0" w:after="0" w:line="288" w:lineRule="auto"/>
              <w:jc w:val="center"/>
            </w:pPr>
          </w:p>
        </w:tc>
      </w:tr>
      <w:tr w14:paraId="2FBE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tcMar>
              <w:top w:w="80" w:type="dxa"/>
              <w:left w:w="90" w:type="dxa"/>
              <w:bottom w:w="80" w:type="dxa"/>
              <w:right w:w="90" w:type="dxa"/>
            </w:tcMar>
            <w:vAlign w:val="center"/>
          </w:tcPr>
          <w:p w14:paraId="41374D41">
            <w:pPr>
              <w:spacing w:before="0" w:after="0" w:line="288" w:lineRule="auto"/>
              <w:jc w:val="center"/>
            </w:pPr>
          </w:p>
        </w:tc>
        <w:tc>
          <w:tcPr>
            <w:tcW w:w="1361" w:type="dxa"/>
            <w:tcMar>
              <w:top w:w="80" w:type="dxa"/>
              <w:left w:w="90" w:type="dxa"/>
              <w:bottom w:w="80" w:type="dxa"/>
              <w:right w:w="90" w:type="dxa"/>
            </w:tcMar>
            <w:vAlign w:val="center"/>
          </w:tcPr>
          <w:p w14:paraId="23943797">
            <w:pPr>
              <w:spacing w:before="0" w:after="0" w:line="288" w:lineRule="auto"/>
              <w:jc w:val="center"/>
            </w:pPr>
          </w:p>
        </w:tc>
        <w:tc>
          <w:tcPr>
            <w:tcW w:w="1871" w:type="dxa"/>
            <w:tcMar>
              <w:top w:w="80" w:type="dxa"/>
              <w:left w:w="90" w:type="dxa"/>
              <w:bottom w:w="80" w:type="dxa"/>
              <w:right w:w="90" w:type="dxa"/>
            </w:tcMar>
            <w:vAlign w:val="center"/>
          </w:tcPr>
          <w:p w14:paraId="61401BE3">
            <w:pPr>
              <w:spacing w:before="0" w:after="0" w:line="288" w:lineRule="auto"/>
              <w:jc w:val="center"/>
            </w:pPr>
          </w:p>
        </w:tc>
        <w:tc>
          <w:tcPr>
            <w:tcW w:w="1474" w:type="dxa"/>
            <w:tcMar>
              <w:top w:w="80" w:type="dxa"/>
              <w:left w:w="90" w:type="dxa"/>
              <w:bottom w:w="80" w:type="dxa"/>
              <w:right w:w="90" w:type="dxa"/>
            </w:tcMar>
            <w:vAlign w:val="center"/>
          </w:tcPr>
          <w:p w14:paraId="7462D7D3">
            <w:pPr>
              <w:spacing w:before="0" w:after="0" w:line="288" w:lineRule="auto"/>
              <w:jc w:val="center"/>
            </w:pPr>
          </w:p>
        </w:tc>
        <w:tc>
          <w:tcPr>
            <w:tcW w:w="1247" w:type="dxa"/>
            <w:tcMar>
              <w:top w:w="80" w:type="dxa"/>
              <w:left w:w="90" w:type="dxa"/>
              <w:bottom w:w="80" w:type="dxa"/>
              <w:right w:w="90" w:type="dxa"/>
            </w:tcMar>
            <w:vAlign w:val="center"/>
          </w:tcPr>
          <w:p w14:paraId="7229CC93">
            <w:pPr>
              <w:spacing w:before="0" w:after="0" w:line="288" w:lineRule="auto"/>
              <w:jc w:val="center"/>
            </w:pPr>
          </w:p>
        </w:tc>
        <w:tc>
          <w:tcPr>
            <w:tcW w:w="1247" w:type="dxa"/>
            <w:tcMar>
              <w:top w:w="80" w:type="dxa"/>
              <w:left w:w="90" w:type="dxa"/>
              <w:bottom w:w="80" w:type="dxa"/>
              <w:right w:w="90" w:type="dxa"/>
            </w:tcMar>
            <w:vAlign w:val="center"/>
          </w:tcPr>
          <w:p w14:paraId="7FD97018">
            <w:pPr>
              <w:spacing w:before="0" w:after="0" w:line="288" w:lineRule="auto"/>
              <w:jc w:val="center"/>
            </w:pPr>
          </w:p>
        </w:tc>
        <w:tc>
          <w:tcPr>
            <w:tcW w:w="1247" w:type="dxa"/>
            <w:tcMar>
              <w:top w:w="80" w:type="dxa"/>
              <w:left w:w="90" w:type="dxa"/>
              <w:bottom w:w="80" w:type="dxa"/>
              <w:right w:w="90" w:type="dxa"/>
            </w:tcMar>
            <w:vAlign w:val="center"/>
          </w:tcPr>
          <w:p w14:paraId="3C0E4506">
            <w:pPr>
              <w:spacing w:before="0" w:after="0" w:line="288" w:lineRule="auto"/>
              <w:jc w:val="center"/>
            </w:pPr>
          </w:p>
        </w:tc>
      </w:tr>
    </w:tbl>
    <w:p w14:paraId="372019A9">
      <w:pPr>
        <w:spacing w:after="0"/>
      </w:pPr>
    </w:p>
    <w:p w14:paraId="3B55C83F">
      <w:pPr>
        <w:spacing w:before="0" w:after="0" w:line="360" w:lineRule="auto"/>
        <w:jc w:val="both"/>
      </w:pPr>
      <w:r>
        <w:rPr>
          <w:rFonts w:ascii="仿宋_GB2312" w:hAnsi="仿宋_GB2312" w:eastAsia="仿宋_GB2312"/>
          <w:b/>
          <w:sz w:val="24"/>
        </w:rPr>
        <w:t>培训效果评价及改进意见：</w:t>
      </w:r>
    </w:p>
    <w:p w14:paraId="2DE34BAD">
      <w:pPr>
        <w:spacing w:before="0" w:after="0" w:line="360" w:lineRule="auto"/>
        <w:jc w:val="both"/>
      </w:pPr>
      <w:r>
        <w:rPr>
          <w:rFonts w:ascii="仿宋_GB2312" w:hAnsi="仿宋_GB2312" w:eastAsia="仿宋_GB2312"/>
          <w:b w:val="0"/>
          <w:sz w:val="24"/>
        </w:rPr>
        <w:t>________________________________________________________________________________</w:t>
      </w:r>
    </w:p>
    <w:p w14:paraId="1A744796">
      <w:pPr>
        <w:spacing w:before="0" w:after="0" w:line="360" w:lineRule="auto"/>
        <w:jc w:val="both"/>
      </w:pPr>
      <w:r>
        <w:rPr>
          <w:rFonts w:ascii="仿宋_GB2312" w:hAnsi="仿宋_GB2312" w:eastAsia="仿宋_GB2312"/>
          <w:b w:val="0"/>
          <w:sz w:val="24"/>
        </w:rPr>
        <w:t>________________________________________________________________________________</w:t>
      </w:r>
    </w:p>
    <w:p w14:paraId="6FC7E3B5">
      <w:pPr>
        <w:spacing w:before="0" w:after="0" w:line="360" w:lineRule="auto"/>
        <w:jc w:val="both"/>
      </w:pPr>
      <w:r>
        <w:rPr>
          <w:rFonts w:ascii="仿宋_GB2312" w:hAnsi="仿宋_GB2312" w:eastAsia="仿宋_GB2312"/>
          <w:b w:val="0"/>
          <w:sz w:val="24"/>
        </w:rPr>
        <w:t>________________________________________________________________________________</w:t>
      </w:r>
    </w:p>
    <w:p w14:paraId="1F65AC8F">
      <w:pPr>
        <w:spacing w:before="0" w:after="0" w:line="360" w:lineRule="auto"/>
        <w:jc w:val="both"/>
      </w:pPr>
      <w:r>
        <w:rPr>
          <w:rFonts w:ascii="仿宋_GB2312" w:hAnsi="仿宋_GB2312" w:eastAsia="仿宋_GB2312"/>
          <w:b w:val="0"/>
          <w:sz w:val="24"/>
        </w:rPr>
        <w:t>________________________________________________________________________________</w:t>
      </w:r>
    </w:p>
    <w:p w14:paraId="438E7835">
      <w:pPr>
        <w:spacing w:before="0" w:after="0" w:line="360" w:lineRule="auto"/>
        <w:jc w:val="both"/>
      </w:pPr>
      <w:r>
        <w:rPr>
          <w:rFonts w:ascii="仿宋_GB2312" w:hAnsi="仿宋_GB2312" w:eastAsia="仿宋_GB2312"/>
          <w:b w:val="0"/>
          <w:sz w:val="24"/>
        </w:rPr>
        <w:t>评价人：________________    日期：____年__月__日</w:t>
      </w:r>
    </w:p>
    <w:p w14:paraId="50097CCB">
      <w:pPr>
        <w:pStyle w:val="3"/>
        <w:keepNext/>
        <w:pageBreakBefore/>
        <w:spacing w:before="0" w:after="200" w:line="360" w:lineRule="auto"/>
        <w:jc w:val="center"/>
      </w:pPr>
      <w:r>
        <w:rPr>
          <w:rFonts w:ascii="方正小标宋简体" w:hAnsi="方正小标宋简体" w:eastAsia="方正小标宋简体"/>
          <w:b/>
          <w:sz w:val="36"/>
        </w:rPr>
        <w:t>手册实施声明</w:t>
      </w:r>
    </w:p>
    <w:p w14:paraId="4DCE0D22">
      <w:pPr>
        <w:spacing w:before="0" w:after="0" w:line="360" w:lineRule="auto"/>
        <w:ind w:firstLine="480"/>
        <w:jc w:val="both"/>
      </w:pPr>
      <w:r>
        <w:rPr>
          <w:rFonts w:ascii="仿宋_GB2312" w:hAnsi="仿宋_GB2312" w:eastAsia="仿宋_GB2312"/>
          <w:b w:val="0"/>
          <w:sz w:val="24"/>
        </w:rPr>
        <w:t>本手册经主要负责人批准后实施，是本单位安全教育培训、岗位应知应会考核和现场行为管理的基础文件之一。各部门应结合岗位风险将相关内容纳入班前会、年度复训、转岗培训、承包商教育和应急演练。</w:t>
      </w:r>
    </w:p>
    <w:p w14:paraId="3C510958">
      <w:pPr>
        <w:spacing w:before="0" w:after="0" w:line="360" w:lineRule="auto"/>
        <w:ind w:firstLine="480"/>
        <w:jc w:val="both"/>
      </w:pPr>
      <w:r>
        <w:rPr>
          <w:rFonts w:ascii="仿宋_GB2312" w:hAnsi="仿宋_GB2312" w:eastAsia="仿宋_GB2312"/>
          <w:b w:val="0"/>
          <w:sz w:val="24"/>
        </w:rPr>
        <w:t>所有员工应签署学习确认，理解并遵守本手册要求。对不适用于本单位的内容，由安全生产管理部门组织评估后标注；对本单位存在但本手册未覆盖的风险，应补充专用章节、岗位卡和处置卡，不得因手册未列明而降低安全责任。</w:t>
      </w:r>
    </w:p>
    <w:p w14:paraId="07B2D113">
      <w:pPr>
        <w:spacing w:before="0" w:after="0" w:line="360" w:lineRule="auto"/>
        <w:ind w:firstLine="480"/>
        <w:jc w:val="both"/>
      </w:pPr>
      <w:r>
        <w:rPr>
          <w:rFonts w:ascii="仿宋_GB2312" w:hAnsi="仿宋_GB2312" w:eastAsia="仿宋_GB2312"/>
          <w:b w:val="0"/>
          <w:sz w:val="24"/>
        </w:rPr>
        <w:t>本手册自____年__月__日起实施。</w:t>
      </w:r>
    </w:p>
    <w:p w14:paraId="6C684F6C">
      <w:pPr>
        <w:spacing w:before="0" w:after="0" w:line="360" w:lineRule="auto"/>
        <w:jc w:val="right"/>
      </w:pPr>
      <w:r>
        <w:rPr>
          <w:rFonts w:ascii="仿宋_GB2312" w:hAnsi="仿宋_GB2312" w:eastAsia="仿宋_GB2312"/>
          <w:b/>
          <w:sz w:val="24"/>
        </w:rPr>
        <w:t>批准人：____________________</w:t>
      </w:r>
    </w:p>
    <w:p w14:paraId="6EA2A156">
      <w:pPr>
        <w:spacing w:before="0" w:after="0" w:line="360" w:lineRule="auto"/>
        <w:jc w:val="right"/>
      </w:pPr>
      <w:r>
        <w:rPr>
          <w:rFonts w:ascii="仿宋_GB2312" w:hAnsi="仿宋_GB2312" w:eastAsia="仿宋_GB2312"/>
          <w:b/>
          <w:sz w:val="24"/>
        </w:rPr>
        <w:t>批准日期：____年__月__日</w:t>
      </w:r>
    </w:p>
    <w:sectPr>
      <w:headerReference r:id="rId7" w:type="default"/>
      <w:footerReference r:id="rId8" w:type="default"/>
      <w:pgSz w:w="11906" w:h="16838"/>
      <w:pgMar w:top="1361" w:right="1417" w:bottom="1361" w:left="1417" w:header="794" w:footer="794" w:gutter="0"/>
      <w:pgBorders w:offsetFrom="page">
        <w:top w:val="dotted" w:color="auto" w:sz="4" w:space="1"/>
        <w:left w:val="dotted" w:color="auto" w:sz="4" w:space="1"/>
        <w:bottom w:val="dotted" w:color="auto" w:sz="4" w:space="1"/>
        <w:right w:val="dotted" w:color="auto" w:sz="4" w:space="1"/>
      </w:pgBorders>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615232A7-DD9F-46A7-AAF3-094E64EBAC1F}"/>
  </w:font>
  <w:font w:name="ＭＳ 明朝">
    <w:altName w:val="Yu Gothic"/>
    <w:panose1 w:val="00000000000000000000"/>
    <w:charset w:val="80"/>
    <w:family w:val="roman"/>
    <w:pitch w:val="default"/>
    <w:sig w:usb0="00000000" w:usb1="00000000" w:usb2="00000010" w:usb3="00000000" w:csb0="00020000" w:csb1="00000000"/>
  </w:font>
  <w:font w:name="Hiragino Sans">
    <w:altName w:val="Yu Gothic UI Light"/>
    <w:panose1 w:val="020B0300000000000000"/>
    <w:charset w:val="80"/>
    <w:family w:val="auto"/>
    <w:pitch w:val="default"/>
    <w:sig w:usb0="00000000" w:usb1="00000000" w:usb2="00000012" w:usb3="00000000" w:csb0="0002000D" w:csb1="00000000"/>
  </w:font>
  <w:font w:name="ＭＳ 明朝">
    <w:altName w:val="宋体"/>
    <w:panose1 w:val="00000000000000000000"/>
    <w:charset w:val="86"/>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embedRegular r:id="rId2" w:fontKey="{B6B5C3AE-29C6-4705-8FDC-CEDC5D38C706}"/>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苹方-简">
    <w:altName w:val="宋体"/>
    <w:panose1 w:val="020B0400000000000000"/>
    <w:charset w:val="86"/>
    <w:family w:val="auto"/>
    <w:pitch w:val="default"/>
    <w:sig w:usb0="00000000" w:usb1="00000000" w:usb2="00000017"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C9BFC6C2-BD1E-4515-AD42-E8C941378EEC}"/>
  </w:font>
  <w:font w:name="ＭＳ 明朝">
    <w:altName w:val="FFont-Family"/>
    <w:panose1 w:val="00000000000000000000"/>
    <w:charset w:val="00"/>
    <w:family w:val="auto"/>
    <w:pitch w:val="default"/>
    <w:sig w:usb0="00000000" w:usb1="00000000" w:usb2="00000000" w:usb3="00000000" w:csb0="00000000" w:csb1="00000000"/>
    <w:embedRegular r:id="rId4" w:fontKey="{05DF8198-95B4-4EBF-A319-0735D64F63D3}"/>
  </w:font>
  <w:font w:name="FFont-Family">
    <w:panose1 w:val="02000509000000000000"/>
    <w:charset w:val="00"/>
    <w:family w:val="auto"/>
    <w:pitch w:val="default"/>
    <w:sig w:usb0="00000001"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 w:name="Yu Gothic UI Light">
    <w:panose1 w:val="020B03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1BE33">
    <w:pPr>
      <w:pStyle w:val="24"/>
      <w:spacing w:before="0" w:after="0" w:line="240" w:lineRule="auto"/>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EB9E9">
    <w:pPr>
      <w:jc w:val="center"/>
    </w:pPr>
    <w:r>
      <w:rPr>
        <w:rFonts w:ascii="仿宋_GB2312" w:hAnsi="仿宋_GB2312" w:eastAsia="仿宋_GB2312"/>
        <w:sz w:val="21"/>
      </w:rPr>
      <w:t xml:space="preserve">第 </w:t>
    </w:r>
    <w:r>
      <w:fldChar w:fldCharType="begin"/>
    </w:r>
    <w:r>
      <w:instrText xml:space="preserve"> PAGE </w:instrText>
    </w:r>
    <w:r>
      <w:fldChar w:fldCharType="end"/>
    </w:r>
    <w:r>
      <w:rPr>
        <w:rFonts w:ascii="仿宋_GB2312" w:hAnsi="仿宋_GB2312" w:eastAsia="仿宋_GB2312"/>
        <w:sz w:val="21"/>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011A1">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0E69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CB734CD"/>
    <w:rsid w:val="DDFF9088"/>
    <w:rsid w:val="FABB214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ind w:firstLine="480"/>
    </w:pPr>
    <w:rPr>
      <w:rFonts w:ascii="仿宋_GB2312" w:hAnsi="仿宋_GB2312" w:eastAsia="仿宋_GB2312"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4"/>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50</Pages>
  <Words>663</Words>
  <Characters>713</Characters>
  <DocSecurity>0</DocSecurity>
  <Lines>0</Lines>
  <Paragraphs>0</Paragraphs>
  <ScaleCrop>false</ScaleCrop>
  <LinksUpToDate>false</LinksUpToDate>
  <CharactersWithSpaces>821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terms:modified xsi:type="dcterms:W3CDTF">2026-08-24T01:52:06Z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D1245FACC18053965527676AD1493D50_42</vt:lpwstr>
  </property>
  <property fmtid="{D5CDD505-2E9C-101B-9397-08002B2CF9AE}" pid="4" name="KSOTemplateDocerSaveRecord">
    <vt:lpwstr>eyJoZGlkIjoiMTQ2ZTdhMmZiM2ZjYWE5ZDYzNzJhNzA4MGQzZDk0MDQiLCJ1c2VySWQiOiIyNTkzNDc3MTkifQ==</vt:lpwstr>
  </property>
</Properties>
</file>