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69452" w14:textId="77777777" w:rsidR="00F922B6" w:rsidRPr="00F922B6" w:rsidRDefault="00F922B6" w:rsidP="00F922B6">
      <w:pPr>
        <w:widowControl/>
        <w:shd w:val="clear" w:color="auto" w:fill="FFFFFF"/>
        <w:spacing w:after="0" w:line="240" w:lineRule="auto"/>
        <w:jc w:val="both"/>
        <w:rPr>
          <w:rFonts w:ascii="Microsoft YaHei UI" w:eastAsia="Microsoft YaHei UI" w:hAnsi="Microsoft YaHei UI" w:cs="宋体"/>
          <w:spacing w:val="8"/>
          <w:kern w:val="0"/>
          <w:sz w:val="26"/>
          <w:szCs w:val="26"/>
          <w14:ligatures w14:val="none"/>
        </w:rPr>
      </w:pPr>
      <w:r w:rsidRPr="00F922B6">
        <w:rPr>
          <w:rFonts w:ascii="Microsoft YaHei UI" w:eastAsia="Microsoft YaHei UI" w:hAnsi="Microsoft YaHei UI" w:cs="宋体" w:hint="eastAsia"/>
          <w:spacing w:val="8"/>
          <w:kern w:val="0"/>
          <w:sz w:val="24"/>
          <w14:ligatures w14:val="none"/>
        </w:rPr>
        <w:t>AQ 3067-2026《化工和危险化学品生产经营企业重大生产安全事故隐患判定准则》9月30日生效！重大隐患判定标准20条增至53条！</w:t>
      </w:r>
    </w:p>
    <w:p w14:paraId="7FA4D68A" w14:textId="77777777" w:rsidR="00F922B6" w:rsidRPr="00F922B6" w:rsidRDefault="00F922B6" w:rsidP="00F922B6">
      <w:pPr>
        <w:widowControl/>
        <w:spacing w:after="0" w:line="240" w:lineRule="auto"/>
        <w:jc w:val="center"/>
        <w:outlineLvl w:val="0"/>
        <w:rPr>
          <w:rFonts w:ascii="宋体" w:eastAsia="宋体" w:hAnsi="宋体" w:cs="宋体" w:hint="eastAsia"/>
          <w:kern w:val="36"/>
          <w:sz w:val="35"/>
          <w:szCs w:val="35"/>
          <w14:ligatures w14:val="none"/>
        </w:rPr>
      </w:pPr>
      <w:r w:rsidRPr="00F922B6">
        <w:rPr>
          <w:rFonts w:ascii="宋体" w:eastAsia="宋体" w:hAnsi="宋体" w:cs="宋体"/>
          <w:b/>
          <w:bCs/>
          <w:kern w:val="36"/>
          <w:sz w:val="27"/>
          <w:szCs w:val="27"/>
          <w14:ligatures w14:val="none"/>
        </w:rPr>
        <w:t>53 项判定条款 · 争议度与尺度速查表</w:t>
      </w:r>
    </w:p>
    <w:p w14:paraId="71C77AA5" w14:textId="77777777" w:rsidR="00F922B6" w:rsidRPr="00F922B6" w:rsidRDefault="00F922B6" w:rsidP="00F922B6">
      <w:pPr>
        <w:widowControl/>
        <w:spacing w:after="0" w:line="240" w:lineRule="auto"/>
        <w:rPr>
          <w:rFonts w:ascii="宋体" w:eastAsia="宋体" w:hAnsi="宋体" w:cs="宋体"/>
          <w:color w:val="5F5E5A"/>
          <w:kern w:val="0"/>
          <w:sz w:val="23"/>
          <w:szCs w:val="23"/>
          <w14:ligatures w14:val="none"/>
        </w:rPr>
      </w:pPr>
      <w:r w:rsidRPr="00F922B6">
        <w:rPr>
          <w:rFonts w:ascii="宋体" w:eastAsia="宋体" w:hAnsi="宋体" w:cs="宋体"/>
          <w:color w:val="5F5E5A"/>
          <w:kern w:val="0"/>
          <w:sz w:val="23"/>
          <w:szCs w:val="23"/>
          <w14:ligatures w14:val="none"/>
        </w:rPr>
        <w:t>2026-03-09 发布  ·  </w:t>
      </w:r>
      <w:r w:rsidRPr="00F922B6">
        <w:rPr>
          <w:rFonts w:ascii="宋体" w:eastAsia="宋体" w:hAnsi="宋体" w:cs="宋体"/>
          <w:b/>
          <w:bCs/>
          <w:color w:val="26251F"/>
          <w:kern w:val="0"/>
          <w:sz w:val="23"/>
          <w:szCs w:val="23"/>
          <w14:ligatures w14:val="none"/>
        </w:rPr>
        <w:t>2026-09-30 实施</w:t>
      </w:r>
      <w:r w:rsidRPr="00F922B6">
        <w:rPr>
          <w:rFonts w:ascii="宋体" w:eastAsia="宋体" w:hAnsi="宋体" w:cs="宋体"/>
          <w:color w:val="5F5E5A"/>
          <w:kern w:val="0"/>
          <w:sz w:val="23"/>
          <w:szCs w:val="23"/>
          <w14:ligatures w14:val="none"/>
        </w:rPr>
        <w:t>  ·  </w:t>
      </w:r>
      <w:r w:rsidRPr="00F922B6">
        <w:rPr>
          <w:rFonts w:ascii="宋体" w:eastAsia="宋体" w:hAnsi="宋体" w:cs="宋体"/>
          <w:color w:val="FF0000"/>
          <w:kern w:val="0"/>
          <w:sz w:val="23"/>
          <w:szCs w:val="23"/>
          <w14:ligatures w14:val="none"/>
        </w:rPr>
        <w:t>强制性行业标准</w:t>
      </w:r>
      <w:r w:rsidRPr="00F922B6">
        <w:rPr>
          <w:rFonts w:ascii="宋体" w:eastAsia="宋体" w:hAnsi="宋体" w:cs="宋体"/>
          <w:color w:val="5F5E5A"/>
          <w:kern w:val="0"/>
          <w:sz w:val="23"/>
          <w:szCs w:val="23"/>
          <w14:ligatures w14:val="none"/>
        </w:rPr>
        <w:t>，全部技术内容强制  ·  代替安监总管三〔2017〕121号（原 20 项）</w:t>
      </w:r>
    </w:p>
    <w:p w14:paraId="0CB8F85E"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color w:val="26251F"/>
          <w:kern w:val="0"/>
          <w:sz w:val="24"/>
          <w14:ligatures w14:val="none"/>
        </w:rPr>
        <w:t>分级口径。</w:t>
      </w:r>
      <w:r w:rsidRPr="00F922B6">
        <w:rPr>
          <w:rFonts w:ascii="宋体" w:eastAsia="宋体" w:hAnsi="宋体" w:cs="宋体"/>
          <w:kern w:val="0"/>
          <w:sz w:val="24"/>
          <w14:ligatures w14:val="none"/>
        </w:rPr>
        <w:t>本表按"条款在实际自查与执法中产生分歧的可能性"分为三级：</w:t>
      </w:r>
      <w:r w:rsidRPr="00F922B6">
        <w:rPr>
          <w:rFonts w:ascii="宋体" w:eastAsia="宋体" w:hAnsi="宋体" w:cs="宋体"/>
          <w:b/>
          <w:bCs/>
          <w:color w:val="26251F"/>
          <w:kern w:val="0"/>
          <w:sz w:val="24"/>
          <w14:ligatures w14:val="none"/>
        </w:rPr>
        <w:t>高争议</w:t>
      </w:r>
      <w:r w:rsidRPr="00F922B6">
        <w:rPr>
          <w:rFonts w:ascii="宋体" w:eastAsia="宋体" w:hAnsi="宋体" w:cs="宋体"/>
          <w:kern w:val="0"/>
          <w:sz w:val="24"/>
          <w14:ligatures w14:val="none"/>
        </w:rPr>
        <w:t>——条款含主观判断词（如"严重失实""即时响应""满足安全要求""产品聚集场所"），或无量化边界、须依赖专业数据与工程判断，同一现场不同人可能得出相反结论；</w:t>
      </w:r>
      <w:r w:rsidRPr="00F922B6">
        <w:rPr>
          <w:rFonts w:ascii="宋体" w:eastAsia="宋体" w:hAnsi="宋体" w:cs="宋体"/>
          <w:b/>
          <w:bCs/>
          <w:color w:val="26251F"/>
          <w:kern w:val="0"/>
          <w:sz w:val="24"/>
          <w14:ligatures w14:val="none"/>
        </w:rPr>
        <w:t>中等争议</w:t>
      </w:r>
      <w:r w:rsidRPr="00F922B6">
        <w:rPr>
          <w:rFonts w:ascii="宋体" w:eastAsia="宋体" w:hAnsi="宋体" w:cs="宋体"/>
          <w:kern w:val="0"/>
          <w:sz w:val="24"/>
          <w14:ligatures w14:val="none"/>
        </w:rPr>
        <w:t>——客观条件基本清楚，但适用范围、统计口径、举证方式存在分歧，或整改难度大导致执法宽严不一；</w:t>
      </w:r>
      <w:r w:rsidRPr="00F922B6">
        <w:rPr>
          <w:rFonts w:ascii="宋体" w:eastAsia="宋体" w:hAnsi="宋体" w:cs="宋体"/>
          <w:b/>
          <w:bCs/>
          <w:color w:val="26251F"/>
          <w:kern w:val="0"/>
          <w:sz w:val="24"/>
          <w14:ligatures w14:val="none"/>
        </w:rPr>
        <w:t>相对客观</w:t>
      </w:r>
      <w:r w:rsidRPr="00F922B6">
        <w:rPr>
          <w:rFonts w:ascii="宋体" w:eastAsia="宋体" w:hAnsi="宋体" w:cs="宋体"/>
          <w:kern w:val="0"/>
          <w:sz w:val="24"/>
          <w14:ligatures w14:val="none"/>
        </w:rPr>
        <w:t>——可按标准、目录、许可证逐项比对。另需注意：</w:t>
      </w:r>
      <w:r w:rsidRPr="00F922B6">
        <w:rPr>
          <w:rFonts w:ascii="宋体" w:eastAsia="宋体" w:hAnsi="宋体" w:cs="宋体"/>
          <w:b/>
          <w:bCs/>
          <w:color w:val="26251F"/>
          <w:kern w:val="0"/>
          <w:sz w:val="24"/>
          <w14:ligatures w14:val="none"/>
        </w:rPr>
        <w:t>2017 版解读中大量"不判定为重大隐患"的除外情形，在 AQ 3067 正文中并未保留</w:t>
      </w:r>
      <w:r w:rsidRPr="00F922B6">
        <w:rPr>
          <w:rFonts w:ascii="宋体" w:eastAsia="宋体" w:hAnsi="宋体" w:cs="宋体"/>
          <w:kern w:val="0"/>
          <w:sz w:val="24"/>
          <w14:ligatures w14:val="none"/>
        </w:rPr>
        <w:t>，这是尺度争议最主要的制度性来源。高争议</w:t>
      </w:r>
      <w:r w:rsidRPr="00F922B6">
        <w:rPr>
          <w:rFonts w:ascii="宋体" w:eastAsia="宋体" w:hAnsi="宋体" w:cs="宋体"/>
          <w:b/>
          <w:bCs/>
          <w:kern w:val="0"/>
          <w:sz w:val="24"/>
          <w14:ligatures w14:val="none"/>
        </w:rPr>
        <w:t>21 项</w:t>
      </w:r>
      <w:r w:rsidRPr="00F922B6">
        <w:rPr>
          <w:rFonts w:ascii="宋体" w:eastAsia="宋体" w:hAnsi="宋体" w:cs="宋体"/>
          <w:kern w:val="0"/>
          <w:sz w:val="24"/>
          <w14:ligatures w14:val="none"/>
        </w:rPr>
        <w:t>中等争议</w:t>
      </w:r>
      <w:r w:rsidRPr="00F922B6">
        <w:rPr>
          <w:rFonts w:ascii="宋体" w:eastAsia="宋体" w:hAnsi="宋体" w:cs="宋体"/>
          <w:b/>
          <w:bCs/>
          <w:kern w:val="0"/>
          <w:sz w:val="24"/>
          <w14:ligatures w14:val="none"/>
        </w:rPr>
        <w:t>22 项</w:t>
      </w:r>
      <w:r w:rsidRPr="00F922B6">
        <w:rPr>
          <w:rFonts w:ascii="宋体" w:eastAsia="宋体" w:hAnsi="宋体" w:cs="宋体"/>
          <w:kern w:val="0"/>
          <w:sz w:val="24"/>
          <w14:ligatures w14:val="none"/>
        </w:rPr>
        <w:t>相对客观</w:t>
      </w:r>
      <w:r w:rsidRPr="00F922B6">
        <w:rPr>
          <w:rFonts w:ascii="宋体" w:eastAsia="宋体" w:hAnsi="宋体" w:cs="宋体"/>
          <w:b/>
          <w:bCs/>
          <w:kern w:val="0"/>
          <w:sz w:val="24"/>
          <w14:ligatures w14:val="none"/>
        </w:rPr>
        <w:t>10 项</w:t>
      </w:r>
      <w:r w:rsidRPr="00F922B6">
        <w:rPr>
          <w:rFonts w:ascii="宋体" w:eastAsia="宋体" w:hAnsi="宋体" w:cs="宋体"/>
          <w:kern w:val="0"/>
          <w:sz w:val="24"/>
          <w14:ligatures w14:val="none"/>
        </w:rPr>
        <w:t>条款总数</w:t>
      </w:r>
      <w:r w:rsidRPr="00F922B6">
        <w:rPr>
          <w:rFonts w:ascii="宋体" w:eastAsia="宋体" w:hAnsi="宋体" w:cs="宋体"/>
          <w:b/>
          <w:bCs/>
          <w:kern w:val="0"/>
          <w:sz w:val="24"/>
          <w14:ligatures w14:val="none"/>
        </w:rPr>
        <w:t>53 项</w:t>
      </w:r>
    </w:p>
    <w:p w14:paraId="2F1CDB55"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5.1 </w:t>
      </w:r>
      <w:r w:rsidRPr="00F922B6">
        <w:rPr>
          <w:rFonts w:ascii="Segoe UI" w:eastAsia="宋体" w:hAnsi="Segoe UI" w:cs="Segoe UI"/>
          <w:b/>
          <w:bCs/>
          <w:color w:val="26251F"/>
          <w:spacing w:val="8"/>
          <w:kern w:val="0"/>
          <w:sz w:val="24"/>
          <w14:ligatures w14:val="none"/>
        </w:rPr>
        <w:t>重点从业人员</w:t>
      </w:r>
      <w:r w:rsidRPr="00F922B6">
        <w:rPr>
          <w:rFonts w:ascii="Segoe UI" w:eastAsia="宋体" w:hAnsi="Segoe UI" w:cs="Segoe UI"/>
          <w:b/>
          <w:bCs/>
          <w:color w:val="888780"/>
          <w:spacing w:val="8"/>
          <w:kern w:val="0"/>
          <w:sz w:val="18"/>
          <w:szCs w:val="18"/>
          <w14:ligatures w14:val="none"/>
        </w:rPr>
        <w:t xml:space="preserve">5 </w:t>
      </w:r>
      <w:r w:rsidRPr="00F922B6">
        <w:rPr>
          <w:rFonts w:ascii="Segoe UI" w:eastAsia="宋体" w:hAnsi="Segoe UI" w:cs="Segoe UI"/>
          <w:b/>
          <w:bCs/>
          <w:color w:val="888780"/>
          <w:spacing w:val="8"/>
          <w:kern w:val="0"/>
          <w:sz w:val="18"/>
          <w:szCs w:val="18"/>
          <w14:ligatures w14:val="none"/>
        </w:rPr>
        <w:t>项</w:t>
      </w:r>
    </w:p>
    <w:p w14:paraId="011713A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5.1.1</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6D5A14A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危险化学品生产、经营企业主要负责人、专职安全生产管理人员未依法经考核合格。</w:t>
      </w:r>
    </w:p>
    <w:p w14:paraId="33D852B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以"任职之日起 6 个月未考核合格"为客观节点，争议小。边缘分歧在于股权多层、委托经营企业中"主要负责人"（法定代表人/实际控制人/实际负责人）的认定。</w:t>
      </w:r>
    </w:p>
    <w:p w14:paraId="0CE942DF"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5.1.2</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6BB70E1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两重点一重大"生产装置或储存设施的企业（加油站除外）主要负责人，主管生产、设备、技术、安全的负责人，专职安全生产管理人员不具备化学、化工、安全等相关专业大专及以上学历，且不具备化工类中级及以上职称。</w:t>
      </w:r>
    </w:p>
    <w:p w14:paraId="68A3B70E"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"等相关专业"的外延（安全工程、机械、自动化、材料是否算）；成人教育、网络教育学历的认可；应急危化二〔2021〕1 号历史人员豁免条件的适用尺度；"主管生产、设备、技术、安全的负责人"是否覆盖车间主任层级。注意本款为"且"关系——学历与职称二者都不满足才判定。</w:t>
      </w:r>
    </w:p>
    <w:p w14:paraId="6BB2914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5.1.3</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3C7CB1BA"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重大危险源或重点监管的危险化工工艺生产装置、储存设施操作人员，不具备高中及以上学历且未达到化工类中等及以上职业教育水平；涉及爆炸危险性化学品的生产装置或储存设施的操作人员，不具备化工类大专及以上学历。</w:t>
      </w:r>
    </w:p>
    <w:p w14:paraId="16BB1180"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操作人员"边界——外操、巡检、罐区装卸、化验、仓储、维保、承包商派驻人员是否计入，企业与执法方理解差异极大；②"化工类中等及以上职业教育水平"由谁认定（化工中职、技校、企业内训、网络课程）；③爆炸危险性化学品岗位硬性要求化工类大专，行业存量达标率极低，客观形成"法不责众"局面，导致执法选择性适用、同类企业待遇不一。</w:t>
      </w:r>
    </w:p>
    <w:p w14:paraId="219B28AE"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5.1.4</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5874522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lastRenderedPageBreak/>
        <w:t>特种作业人员未持证上岗。</w:t>
      </w:r>
    </w:p>
    <w:p w14:paraId="017FC1AA"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岗位范围界定——官方解读要求危险化工工艺作业、化工自动化控制仪表作业岗位的班组长、内操、外操均须取证，企业在"是否属于特种作业岗位"上争议较多；临时顶岗、代岗人员持证情况；证书过期即视同未取证。</w:t>
      </w:r>
    </w:p>
    <w:p w14:paraId="1D354C09"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5.1.5</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20B2AE5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重大危险源主要负责人、技术负责人、操作负责人未按照 AQ 3072 的要求履责。</w:t>
      </w:r>
    </w:p>
    <w:p w14:paraId="01D81ADD"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典型的"过程与结果之争"。排查频次差一次算不算未履责？排查表填写完整但未发现问题算不算？履职记录缺失、只有签字无支撑材料算不算？AQ 3072 规定主要负责人每半年、技术负责人每季度、操作负责人每周至少一次排查，但"履责"缺量化验收标准；涉及重大危险源的建设项目自试生产起未同步落实包保责任即判重大隐患，起点认定也易起分歧。</w:t>
      </w:r>
    </w:p>
    <w:p w14:paraId="5A8B4FC9"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5.2 </w:t>
      </w:r>
      <w:r w:rsidRPr="00F922B6">
        <w:rPr>
          <w:rFonts w:ascii="Segoe UI" w:eastAsia="宋体" w:hAnsi="Segoe UI" w:cs="Segoe UI"/>
          <w:b/>
          <w:bCs/>
          <w:color w:val="26251F"/>
          <w:spacing w:val="8"/>
          <w:kern w:val="0"/>
          <w:sz w:val="24"/>
          <w14:ligatures w14:val="none"/>
        </w:rPr>
        <w:t>设计与规划</w:t>
      </w:r>
      <w:r w:rsidRPr="00F922B6">
        <w:rPr>
          <w:rFonts w:ascii="Segoe UI" w:eastAsia="宋体" w:hAnsi="Segoe UI" w:cs="Segoe UI"/>
          <w:b/>
          <w:bCs/>
          <w:color w:val="888780"/>
          <w:spacing w:val="8"/>
          <w:kern w:val="0"/>
          <w:sz w:val="18"/>
          <w:szCs w:val="18"/>
          <w14:ligatures w14:val="none"/>
        </w:rPr>
        <w:t xml:space="preserve">10 </w:t>
      </w:r>
      <w:r w:rsidRPr="00F922B6">
        <w:rPr>
          <w:rFonts w:ascii="Segoe UI" w:eastAsia="宋体" w:hAnsi="Segoe UI" w:cs="Segoe UI"/>
          <w:b/>
          <w:bCs/>
          <w:color w:val="888780"/>
          <w:spacing w:val="8"/>
          <w:kern w:val="0"/>
          <w:sz w:val="18"/>
          <w:szCs w:val="18"/>
          <w14:ligatures w14:val="none"/>
        </w:rPr>
        <w:t>项</w:t>
      </w:r>
    </w:p>
    <w:p w14:paraId="2D80BCC2"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5.2.1</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3ED63266"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化工生产装置或储存设施未经正规设计且未按照要求开展安全设计诊断；建设项目周边条件、主要技术、工艺路线、产品方案或者装置规模发生重大变化未重新进行安全设施设计；设计单位资质不满足相关规定要求。</w:t>
      </w:r>
    </w:p>
    <w:p w14:paraId="3A583751"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①"重大变化"无量化阈值——产能提高 5% 还是 30% 算重大？更换催化剂、增加一个中间罐算不算？这是老企业技术改造中最常见的分歧；②"正规设计"的认定标准（有图纸但设计单位当时无相应资质如何定性）；③在役二三十年的老装置按当年有效标准设计，是否需按现行标准追溯；④"设计单位资质满足相关规定"对应文件分散，判定依据不统一。</w:t>
      </w:r>
    </w:p>
    <w:p w14:paraId="654EE41B"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5.2.2</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1E91DD2A"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涉及"两重点一重大"的生产装置或储存设施外部安全防护距离不符合 GB 36894、GB/T 37243 的要求。</w:t>
      </w:r>
    </w:p>
    <w:p w14:paraId="5CDE69AD"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定量风险评估的模型选择、失效频率取值、气象参数可被质疑，同一装置不同评估机构结论可能不同；厂外新增居民区、学校等敏感目标后是否必须重新评估、责任如何划分；"两重点一重大"的识别范围。</w:t>
      </w:r>
    </w:p>
    <w:p w14:paraId="5B88EE62"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5.2.3</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2F2E0BF4"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输送甲、乙类火灾危险性，急性毒性（类别 1、类别 2）的物料管线或全厂性的公共管廊穿（跨）越与其无关的生产装置、储罐组。</w:t>
      </w:r>
    </w:p>
    <w:p w14:paraId="148D6E21"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与其无关"如何界定——为被穿越装置供料/出料的专用管线可豁免，但配套公用工程管线、惰性介质管线的定性易起争论；②"全厂性公共管廊"的定义；③老厂总图受历史布局限制，符合性改造往往需要大范围停车，实际属"判得出、改不动"，各地执法宽严差别显著。</w:t>
      </w:r>
    </w:p>
    <w:p w14:paraId="10C69D57"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5.2.4</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2E8ED2AC"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光气、氯气、硫化氢气体管道穿（跨）越厂区（包括化工园区、工业园区）外的公共区域。</w:t>
      </w:r>
    </w:p>
    <w:p w14:paraId="3834CF93"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可对照管道走向图核查。边缘分歧在于化工园区内部公共道路、公共管廊是否属于"厂区外公共区域"。</w:t>
      </w:r>
    </w:p>
    <w:p w14:paraId="5D0C11FE"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lastRenderedPageBreak/>
        <w:t>5.2.5</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331B2413"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地区架空电力线路穿越生产区且不符合标准规范要求。</w:t>
      </w:r>
    </w:p>
    <w:p w14:paraId="3343CED6"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"生产区"范围（装置区、储存区、还是包含办公生活区的全厂区）；"不符合标准规范要求"的具体判据需查多部规范；整改依赖电力部门外部协调，企业难以单方完成。</w:t>
      </w:r>
    </w:p>
    <w:p w14:paraId="4B62AAB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5.2.6</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233C8A3F"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涉及爆炸危险性化学品的生产装置控制室、交接班室布置在装置区（厂房）内；涉及甲、乙类火灾危险性的生产装置（厂房）控制室、交接班室未按照要求布置，或布置在装置区内时未按照 GB/T 50779 的要求进行抗爆设计、建设。</w:t>
      </w:r>
    </w:p>
    <w:p w14:paraId="64906335"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"布置在装置区（厂房）内"的边界——与装置贴邻、位于装置界区边缘算不算；GB/T 50779 本为推荐性标准，被规范性引用后如何转化为强制判定，抗爆能力是否"符合要求"需专业复核；在役控制室整改缺乏可操作路径（搬迁还是加固），各地把握不一。</w:t>
      </w:r>
    </w:p>
    <w:p w14:paraId="123ADDAB"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5.2.7</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7756B4CC"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涉及甲、乙类火灾危险性、爆炸危险性、急性毒性（类别 1、类别 2）化学品或构成爆炸性粉尘环境的厂房（含装置或车间）或仓库内设置办公室、休息室、外操室（含人员固定操作岗位）、巡检室等人员聚集场所。</w:t>
      </w:r>
    </w:p>
    <w:p w14:paraId="5462E17B"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53 项中概念边界最模糊的条款之一。①"人员聚集场所"与"人员固定操作岗位"如何区分，单人长期值守算不算；②"外操室"在实践中名称五花八门——值班室、休息点、工具间、班组活动室、更衣间，只要有人长期停留就可能被认定；③"巡检室"是长期驻点还是巡检签到点，判断口径不同结论相反；④相邻的化验室、质检室、中控室是否纳入；⑤抗爆墙分隔能否豁免、分隔到什么程度算合格，标准未给出可操作的判定方法。</w:t>
      </w:r>
    </w:p>
    <w:p w14:paraId="707110C2"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5.2.8</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3C9CE3F4"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涉及硝酸铵的企业未按照 GB 44022 的要求核算硝酸铵最大储存量；固体硝酸铵仓库周边 50 m 内存放易燃易爆物品或建有涉及易燃易爆物品的生产装置或储存设施。</w:t>
      </w:r>
    </w:p>
    <w:p w14:paraId="69E1DCAF"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50 m 为量化红线，可现场实测。边缘分歧："易燃易爆物品"的范围（包装物、润滑油脂、可燃杂物是否计入）。</w:t>
      </w:r>
    </w:p>
    <w:p w14:paraId="18DC05A3"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5.2.9</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4BD0EC7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液化烃储罐区的液化烃专用泵布置在管廊下，不符合 AQ 3059 的要求。</w:t>
      </w:r>
    </w:p>
    <w:p w14:paraId="290BAE07"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现场可核查。边缘分歧："管廊下"投影范围的界定（管廊本体投影还是含安全通道）。在役泵多需评估后增设泄漏检测、喷淋等防护措施并制定搬迁计划。</w:t>
      </w:r>
    </w:p>
    <w:p w14:paraId="40200980"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5.2.10</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28194DD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硝化工艺装置未按照 AQ 3062 的要求实现全流程自动化控制；硝化反应器未设置紧急冷却系统（绝热硝化、微通道反应器除外）；热媒温度超过物料 T</w:t>
      </w:r>
      <w:r w:rsidRPr="00F922B6">
        <w:rPr>
          <w:rFonts w:ascii="宋体" w:eastAsia="宋体" w:hAnsi="宋体" w:cs="宋体"/>
          <w:color w:val="26251F"/>
          <w:kern w:val="0"/>
          <w:sz w:val="20"/>
          <w:szCs w:val="20"/>
          <w:vertAlign w:val="subscript"/>
          <w14:ligatures w14:val="none"/>
        </w:rPr>
        <w:t>D24</w:t>
      </w:r>
      <w:r w:rsidRPr="00F922B6">
        <w:rPr>
          <w:rFonts w:ascii="宋体" w:eastAsia="宋体" w:hAnsi="宋体" w:cs="宋体"/>
          <w:color w:val="26251F"/>
          <w:kern w:val="0"/>
          <w:sz w:val="20"/>
          <w:szCs w:val="20"/>
          <w14:ligatures w14:val="none"/>
        </w:rPr>
        <w:t> 的，涉及硝化物的蒸馏（精馏）釜、蒸馏（精馏）塔再沸器未配备紧急冷却系统。</w:t>
      </w:r>
    </w:p>
    <w:p w14:paraId="6DCCF35F"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技术判定权归属易起分歧。①"全流程"边界——从投料到产品分离精制，公用工程、包装单元是否计入；②"绝热硝化"的认定口径；③T</w:t>
      </w:r>
      <w:r w:rsidRPr="00F922B6">
        <w:rPr>
          <w:rFonts w:ascii="宋体" w:eastAsia="宋体" w:hAnsi="宋体" w:cs="宋体"/>
          <w:color w:val="5F5E5A"/>
          <w:kern w:val="0"/>
          <w:sz w:val="20"/>
          <w:szCs w:val="20"/>
          <w:vertAlign w:val="subscript"/>
          <w14:ligatures w14:val="none"/>
        </w:rPr>
        <w:t>D24</w:t>
      </w:r>
      <w:r w:rsidRPr="00F922B6">
        <w:rPr>
          <w:rFonts w:ascii="宋体" w:eastAsia="宋体" w:hAnsi="宋体" w:cs="宋体"/>
          <w:color w:val="5F5E5A"/>
          <w:kern w:val="0"/>
          <w:sz w:val="20"/>
          <w:szCs w:val="20"/>
          <w14:ligatures w14:val="none"/>
        </w:rPr>
        <w:t> 数据的来源、测试方法与取值认可；④</w:t>
      </w:r>
      <w:r w:rsidRPr="00F922B6">
        <w:rPr>
          <w:rFonts w:ascii="宋体" w:eastAsia="宋体" w:hAnsi="宋体" w:cs="宋体"/>
          <w:color w:val="5F5E5A"/>
          <w:kern w:val="0"/>
          <w:sz w:val="20"/>
          <w:szCs w:val="20"/>
          <w14:ligatures w14:val="none"/>
        </w:rPr>
        <w:lastRenderedPageBreak/>
        <w:t>热媒温度是否超过 T</w:t>
      </w:r>
      <w:r w:rsidRPr="00F922B6">
        <w:rPr>
          <w:rFonts w:ascii="宋体" w:eastAsia="宋体" w:hAnsi="宋体" w:cs="宋体"/>
          <w:color w:val="5F5E5A"/>
          <w:kern w:val="0"/>
          <w:sz w:val="20"/>
          <w:szCs w:val="20"/>
          <w:vertAlign w:val="subscript"/>
          <w14:ligatures w14:val="none"/>
        </w:rPr>
        <w:t>D24</w:t>
      </w:r>
      <w:r w:rsidRPr="00F922B6">
        <w:rPr>
          <w:rFonts w:ascii="宋体" w:eastAsia="宋体" w:hAnsi="宋体" w:cs="宋体"/>
          <w:color w:val="5F5E5A"/>
          <w:kern w:val="0"/>
          <w:sz w:val="20"/>
          <w:szCs w:val="20"/>
          <w14:ligatures w14:val="none"/>
        </w:rPr>
        <w:t> 需实测数据与工艺包支撑，双方对同一数据可能有不同解读；⑤主体为硝化企业，专业性强，判定高度依赖专家意见。</w:t>
      </w:r>
    </w:p>
    <w:p w14:paraId="6AA1666A"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5.3 </w:t>
      </w:r>
      <w:r w:rsidRPr="00F922B6">
        <w:rPr>
          <w:rFonts w:ascii="Segoe UI" w:eastAsia="宋体" w:hAnsi="Segoe UI" w:cs="Segoe UI"/>
          <w:b/>
          <w:bCs/>
          <w:color w:val="26251F"/>
          <w:spacing w:val="8"/>
          <w:kern w:val="0"/>
          <w:sz w:val="24"/>
          <w14:ligatures w14:val="none"/>
        </w:rPr>
        <w:t>工艺技术</w:t>
      </w:r>
      <w:r w:rsidRPr="00F922B6">
        <w:rPr>
          <w:rFonts w:ascii="Segoe UI" w:eastAsia="宋体" w:hAnsi="Segoe UI" w:cs="Segoe UI"/>
          <w:b/>
          <w:bCs/>
          <w:color w:val="888780"/>
          <w:spacing w:val="8"/>
          <w:kern w:val="0"/>
          <w:sz w:val="18"/>
          <w:szCs w:val="18"/>
          <w14:ligatures w14:val="none"/>
        </w:rPr>
        <w:t xml:space="preserve">6 </w:t>
      </w:r>
      <w:r w:rsidRPr="00F922B6">
        <w:rPr>
          <w:rFonts w:ascii="Segoe UI" w:eastAsia="宋体" w:hAnsi="Segoe UI" w:cs="Segoe UI"/>
          <w:b/>
          <w:bCs/>
          <w:color w:val="888780"/>
          <w:spacing w:val="8"/>
          <w:kern w:val="0"/>
          <w:sz w:val="18"/>
          <w:szCs w:val="18"/>
          <w14:ligatures w14:val="none"/>
        </w:rPr>
        <w:t>项</w:t>
      </w:r>
    </w:p>
    <w:p w14:paraId="4CE2E7B8"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5.3.1</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37E0574F"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使用淘汰落后安全生产工艺技术设备目录中的工艺、技术、设施、设备。</w:t>
      </w:r>
    </w:p>
    <w:p w14:paraId="348246E5"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可对照应急厅〔2020〕38 号、应急厅〔2024〕86 号两批目录逐项比对。需注意部分淘汰项设有改造过渡期，过渡期内不构成重大隐患。</w:t>
      </w:r>
    </w:p>
    <w:p w14:paraId="04E686D4"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5.3.2</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1ACF190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新开发的化工工艺未按照要求进行小试、中试、工业化试验，直接进行工业化应用；采用中试、工业化试验装置作为工业化生产装置；国内首次使用的化工工艺未经过省级人民政府有关部门组织的安全可靠性论证。</w:t>
      </w:r>
    </w:p>
    <w:p w14:paraId="15FF18BA"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采用中试、工业化试验装置作为工业化生产装置"边界最难把握——如何区分"放大量产试验"与"正常生产"？产能规模？连续运行时长？是否领取许可？现实中不少企业长期以中试装置做小批量商业化生产，定性与不定性之间缺乏客观标尺；②"新开发"的界定（改配方、换溶剂、调工艺参数是否算新开发）；③"国内首次使用"的判定主体、程序与举证责任。</w:t>
      </w:r>
    </w:p>
    <w:p w14:paraId="7664577B"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5.3.3</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027D0791"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工艺技术来源不明；国外引进或国内转让的生产工艺技术，未提供工艺技术的设计基础、工艺说明、工艺设备清单、工艺控制方式、控制参数以及过程危险性分析报告等工艺技术资料。</w:t>
      </w:r>
    </w:p>
    <w:p w14:paraId="1197FF26"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来源不明"是主观判断，自主开发工艺如何自证来源合法，举证标准不清；②"等工艺技术资料"为开放式列举，缺哪一份算缺失、缺到什么程度算"未提供"，尺度难统一；③技术转让方的商业保密要求与技术资料交付之间存在现实张力，保密内容是否可豁免未明确；④该款极易被用作"资料合规性检查"，把资料管理瑕疵直接拔高为重大隐患，是基层反映最强烈的争议点之一。</w:t>
      </w:r>
    </w:p>
    <w:p w14:paraId="0F241480"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5.3.4</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763325BF"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硝化装置生产过程涉及的化学物料危险特性、热稳定性数据以及工艺、设备等安全信息缺失。</w:t>
      </w:r>
    </w:p>
    <w:p w14:paraId="233C19E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物料范围很宽（原料、辅料、中间产品、产品、副产物、换热介质、密封液以及"工艺条件偏差产生的物料"），后者边界极其模糊，实际很难穷尽；"缺失"的颗粒度——有 MSDS 但无起始分解温度、分解热数据算不算？测试报告出具机构的资质与报告时效如何认可，各地把握不一致。</w:t>
      </w:r>
    </w:p>
    <w:p w14:paraId="53B9B291"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5.3.5</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160438C0"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精细化工装置未按照要求开展反应安全风险评估，或反应安全风险评估条件与实际工况不相符；未按照 AQ 3062 的要求获得各相关物料的热分解起始分解温度、分解热等热稳定性数据；工艺控制指标发生变更且超出设计范围、原辅料发生变更或投料顺序发生改变未重新开展反应安全风险评估；未按照反应安全风险评估结论和建议落实安全风险管控措施。</w:t>
      </w:r>
    </w:p>
    <w:p w14:paraId="3B01C995"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①"评估条件与实际工况不相符"——工况漂移多少算不相符，缺少判定阈值；②"未按照评估结论和建议落实安全风险管控措施"——建议分轻重缓急，部分落实、替代落实、以管理</w:t>
      </w:r>
      <w:r w:rsidRPr="00F922B6">
        <w:rPr>
          <w:rFonts w:ascii="宋体" w:eastAsia="宋体" w:hAnsi="宋体" w:cs="宋体"/>
          <w:color w:val="5F5E5A"/>
          <w:kern w:val="0"/>
          <w:sz w:val="20"/>
          <w:szCs w:val="20"/>
          <w14:ligatures w14:val="none"/>
        </w:rPr>
        <w:lastRenderedPageBreak/>
        <w:t>措施替代工程措施算不算落实？这一句裁量空间极大；③"精细化工装置"的企业适用范围需要逐一界定；④评估报告的审核方与数据真实性核查方式未明确。</w:t>
      </w:r>
    </w:p>
    <w:p w14:paraId="4E9F3CEF"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5.3.6</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4DF17491"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硝基化合物、有机过氧化物、重氮化合物等涉及爆炸危险性风险的固体物料摩擦感度、撞击感度不明确，且未采取防控措施。</w:t>
      </w:r>
    </w:p>
    <w:p w14:paraId="4311AD0D"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①"不明确"的举证责任——能否以文献数据、类比推断或理论分析替代实测感度试验；②"防控措施"是否有效的判定尺度；③"等涉及爆炸危险性风险的固体物料"为开放列举，纳入清单由谁确定。</w:t>
      </w:r>
    </w:p>
    <w:p w14:paraId="1828A56A"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5.4 </w:t>
      </w:r>
      <w:r w:rsidRPr="00F922B6">
        <w:rPr>
          <w:rFonts w:ascii="Segoe UI" w:eastAsia="宋体" w:hAnsi="Segoe UI" w:cs="Segoe UI"/>
          <w:b/>
          <w:bCs/>
          <w:color w:val="26251F"/>
          <w:spacing w:val="8"/>
          <w:kern w:val="0"/>
          <w:sz w:val="24"/>
          <w14:ligatures w14:val="none"/>
        </w:rPr>
        <w:t>设备设施</w:t>
      </w:r>
      <w:r w:rsidRPr="00F922B6">
        <w:rPr>
          <w:rFonts w:ascii="Segoe UI" w:eastAsia="宋体" w:hAnsi="Segoe UI" w:cs="Segoe UI"/>
          <w:b/>
          <w:bCs/>
          <w:color w:val="888780"/>
          <w:spacing w:val="8"/>
          <w:kern w:val="0"/>
          <w:sz w:val="18"/>
          <w:szCs w:val="18"/>
          <w14:ligatures w14:val="none"/>
        </w:rPr>
        <w:t xml:space="preserve">9 </w:t>
      </w:r>
      <w:r w:rsidRPr="00F922B6">
        <w:rPr>
          <w:rFonts w:ascii="Segoe UI" w:eastAsia="宋体" w:hAnsi="Segoe UI" w:cs="Segoe UI"/>
          <w:b/>
          <w:bCs/>
          <w:color w:val="888780"/>
          <w:spacing w:val="8"/>
          <w:kern w:val="0"/>
          <w:sz w:val="18"/>
          <w:szCs w:val="18"/>
          <w14:ligatures w14:val="none"/>
        </w:rPr>
        <w:t>项</w:t>
      </w:r>
    </w:p>
    <w:p w14:paraId="6A5E973E"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5.4.1</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49DD0728"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化工生产装置未按照标准规范要求设置双重电源供电；BPCS、GDS 和 SIS 未设置 UPS。</w:t>
      </w:r>
    </w:p>
    <w:p w14:paraId="3F68570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"双重电源"引自 GB 50052—2009 中 2.0.2，双回路是否满足、何时可视为满足（官方解读曾列出三种可视为满足的情形），认识不统一；UPS 的容量、后备时间、覆盖范围未给量化要求；在役装置增配改造成本高，执行进度差异大。</w:t>
      </w:r>
    </w:p>
    <w:p w14:paraId="20DEBA86"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5.4.2</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1BA6758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存在可燃或有毒气体泄漏风险的场所未按照设计要求设置气体探测器或气体探测器功能失效；GDS 未投入使用。</w:t>
      </w:r>
    </w:p>
    <w:p w14:paraId="5BF6B2FF"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争议最集中的条款之一。①"功能失效"的判定单位——单台探测器故障、单台未通电，是否等同整个 GDS 未投用？还是须为系统性失效？②"未按照设计要求设置"遇到设计本身不合理（设计遗漏释放源）时如何定性；③2017 版解读曾明确"缺少声光报警装置""未发信号至有人值守场所""安装高度、报警值不符合要求""未实现连续记录""未定期检定但未发现明显问题"等情形不判重大隐患，AQ 3067 正文未保留这些除外情形，尺度必然收紧，但各地实际掌握的宽严差别很大；④检定、检修期间临时拆除是否有条件豁免，未见明确规定。</w:t>
      </w:r>
    </w:p>
    <w:p w14:paraId="223DD860"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5.4.3</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39A29864"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爆炸危险场所未按照标准规范要求安装使用防爆电气设备。</w:t>
      </w:r>
    </w:p>
    <w:p w14:paraId="2DBD130A"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①"爆炸危险场所"的划分依据 GB 50058，划分图本身可能存在偏差，边界区域（2 区边缘、附加 2 区）定性易起分歧；②纳入范围是否包含视频监控、应急照明、火灾探测器、报警器、对讲机、便携式气体检测仪等；③轻微缺陷（缺螺栓、缺封堵、进线口密封不良、隔爆面无损伤但间隙超标）是否直接判重大隐患——2017 版解读曾明确"因缺少螺栓、封堵等造成防爆功能暂时缺失"不判重大隐患，AQ 3067 正文无此表述，一线执法分歧最为突出。</w:t>
      </w:r>
    </w:p>
    <w:p w14:paraId="499030E3"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5.4.4</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3BB04E87"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液化烃、液氨、液氯、无水氟化氢的充装未使用万向管道充装系统；液化烃充装接头不具备锁定、防脱落和脱落自封闭功能。</w:t>
      </w:r>
    </w:p>
    <w:p w14:paraId="75C1779E"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特殊介质（如环氧乙烷按其他规范采用上装上卸方式）是否适用本款；"锁定、防脱落、脱落自封闭功能"的现场判定与验证方法；存量装卸臂的改造范围界定。</w:t>
      </w:r>
    </w:p>
    <w:p w14:paraId="1A16DBC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lastRenderedPageBreak/>
        <w:t>5.4.5</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79FAA3BB"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易挥发性可燃液体物料储罐罐顶的油气收集管道未设置阻爆轰型阻火器；混合后能发生化学反应的气体共用收集系统。</w:t>
      </w:r>
    </w:p>
    <w:p w14:paraId="1F68247D"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①"阻爆轰型"与"阻爆燃型"外观相近，现场辨识需专业能力与型式试验报告支撑；②"混合后能发生化学反应的气体"需要工艺与物料知识判断，检查方与企业可能各执一词；③"易挥发性可燃液体物料"（真实蒸气压 &gt; 7.9 kPa(A)）需逐罐核算，核算口径易生分歧。</w:t>
      </w:r>
    </w:p>
    <w:p w14:paraId="794C8415"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5.4.6</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07740E1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安全阀、爆破片未按照设计要求设置或未正常投用。</w:t>
      </w:r>
    </w:p>
    <w:p w14:paraId="0A4C868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"未正常投用"涵盖范围是分歧核心——上下游手动截止阀关闭、铅封缺失或损坏、超期未校验、整定压力超过设备设计压力、爆破片超期未更换、爆破片破损仍使用，哪些算、哪些不算？2017 版解读曾明确"上下游手动阀开启但未设铅封""铅封损坏但能提供有效校验报告""爆破片未定期更换"不判重大隐患；AQ 3067 正文删去了这类除外表述，新旧口径落差最大，也是企业反映最强烈的一条。</w:t>
      </w:r>
    </w:p>
    <w:p w14:paraId="34D0E505"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5.4.7</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4CEEC8B5"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全压力式液化烃球罐未按照 AQ 3059 要求设置注水设施。</w:t>
      </w:r>
    </w:p>
    <w:p w14:paraId="7F96A410"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现场可核查。边缘分歧：卧式全压力储罐是否适用（2017 版解读曾明确卧式储罐未设注水设施不判重大隐患）；注水水源、压力是否"充足"的验证方式。</w:t>
      </w:r>
    </w:p>
    <w:p w14:paraId="5120F19F"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5.4.8</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77E24BA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硝酸铵溶液储罐的热源温度和储罐溶液浓度、温度不符合 GB 44022 的要求；硝酸铵溶液储罐未实现硝酸铵溶液浓度在线监测功能。</w:t>
      </w:r>
    </w:p>
    <w:p w14:paraId="3F7E5A2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可对照 GB 44022 参数与在线监测系统逐项核查，客观性较强。</w:t>
      </w:r>
    </w:p>
    <w:p w14:paraId="6D549102"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5.4.9</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604BDE94"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液氯储罐厂房、瓶库、充装场所或气化间未采用封闭式结构；液氯罐式集装箱、罐式专用车辆槽罐作为固定储罐使用；事故氯吸收装置不具备 24 h 连续运行能力；碱液循环吸收罐不具备切换、备用和配液条件。</w:t>
      </w:r>
    </w:p>
    <w:p w14:paraId="59A6C07C"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①"封闭式结构"的定义与判定（半封闭、可开启顶盖是否算）；②"24 h 连续运行能力"如何验证——是否要求双电源、备用吸收液、冗余风机，缺少明确验收口径；③"具备切换、备用和配液条件"缺少量化指标，不同人核查结论可能不同。</w:t>
      </w:r>
    </w:p>
    <w:p w14:paraId="6D334463"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5.5 </w:t>
      </w:r>
      <w:r w:rsidRPr="00F922B6">
        <w:rPr>
          <w:rFonts w:ascii="Segoe UI" w:eastAsia="宋体" w:hAnsi="Segoe UI" w:cs="Segoe UI"/>
          <w:b/>
          <w:bCs/>
          <w:color w:val="26251F"/>
          <w:spacing w:val="8"/>
          <w:kern w:val="0"/>
          <w:sz w:val="24"/>
          <w14:ligatures w14:val="none"/>
        </w:rPr>
        <w:t>生产运行</w:t>
      </w:r>
      <w:r w:rsidRPr="00F922B6">
        <w:rPr>
          <w:rFonts w:ascii="Segoe UI" w:eastAsia="宋体" w:hAnsi="Segoe UI" w:cs="Segoe UI"/>
          <w:b/>
          <w:bCs/>
          <w:color w:val="888780"/>
          <w:spacing w:val="8"/>
          <w:kern w:val="0"/>
          <w:sz w:val="18"/>
          <w:szCs w:val="18"/>
          <w14:ligatures w14:val="none"/>
        </w:rPr>
        <w:t xml:space="preserve">12 </w:t>
      </w:r>
      <w:r w:rsidRPr="00F922B6">
        <w:rPr>
          <w:rFonts w:ascii="Segoe UI" w:eastAsia="宋体" w:hAnsi="Segoe UI" w:cs="Segoe UI"/>
          <w:b/>
          <w:bCs/>
          <w:color w:val="888780"/>
          <w:spacing w:val="8"/>
          <w:kern w:val="0"/>
          <w:sz w:val="18"/>
          <w:szCs w:val="18"/>
          <w14:ligatures w14:val="none"/>
        </w:rPr>
        <w:t>项</w:t>
      </w:r>
    </w:p>
    <w:p w14:paraId="62D38705"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5.5.1</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67EFAACC"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建设项目试生产前未完成"三查四定"；试生产方案未经审查；未进行 PSSR 即投料开车。</w:t>
      </w:r>
    </w:p>
    <w:p w14:paraId="70784819"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资料类条款，实践中容易出现"有签字无实质"。分歧在于：PSSR 清单不完整、发现问题未闭环是否构成"未进行 PSSR"；"三查四定"的完成标志是全部整改闭环还是台账建立；试生产方案审查的资料留存形式要求不明。</w:t>
      </w:r>
    </w:p>
    <w:p w14:paraId="5172C7D0"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lastRenderedPageBreak/>
        <w:t>5.5.2</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3B686395"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未制定操作规程和工艺控制指标；未按照操作规程即时响应和处置重要工艺报警或气体检测报警。</w:t>
      </w:r>
    </w:p>
    <w:p w14:paraId="2EC12FFC"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53 项中尺度最难把握的条款之一。"即时响应"没有时限定义——5 分钟还是 30 分钟算即时？"处置"没有标准动作清单；"重要工艺报警"由谁界定、范围多大；报警记录与处置记录的一致性能否作为判定依据；现实场景中 DCS 报警泛滥、单位时间报警数远超合理水平，企业客观上无法逐条处置，导致本条"一查一个准"，企业与执法方对合理性的认知差距极大。另有"操作规程非常笼统""工艺控制指标与实际不符"等定性表述，也容易产生分歧。</w:t>
      </w:r>
    </w:p>
    <w:p w14:paraId="445A9CC1"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5.5.3</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633C7985"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涉及重点监管的危险化工工艺生产装置、构成重大危险源的生产装置或储存设施未实现自动化控制；装备的自动化控制系统未投入使用或功能失效。</w:t>
      </w:r>
    </w:p>
    <w:p w14:paraId="220EC241"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"实现自动化控制"的颗粒度（部分回路手动是否构成未实现）；"功能失效"是个别回路还是系统级；在役装置自动化改造的过渡期如何认定；2017 版解读曾允许"正在进行自动化改造"的情形不判重大隐患，新标准未明确延续。</w:t>
      </w:r>
    </w:p>
    <w:p w14:paraId="2B3EF069"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5.5.4</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2899B9D9"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涉及重点监管的危险化工工艺生产装置未实现紧急停车功能；紧急停车系统未投入使用或功能失效。</w:t>
      </w:r>
    </w:p>
    <w:p w14:paraId="2C7B7B2C"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与 5.5.3 类似。"未投入使用"与"功能失效"的界线（长期切除、旁路阀打开、软硬件故障、强制赋值）；紧急停车按钮是否必须就位并可用的判定；功能测试记录的有无与真实性核查。</w:t>
      </w:r>
    </w:p>
    <w:p w14:paraId="18310973"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5.5.5</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2C4438AD"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涉及有毒气体、液化气体、剧毒液体的一级或二级重大危险源未按照标准规范要求配备 SIS。</w:t>
      </w:r>
    </w:p>
    <w:p w14:paraId="503F0BA7"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可对照重大危险源分级结果与 SIS 配置核查，相对客观；分歧主要在于 SIS 与 BPCS 独立性的判定（共用检测元件、共用最终元件是否算独立）。</w:t>
      </w:r>
    </w:p>
    <w:p w14:paraId="1DAEF876"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5.5.6</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5C7E84D5"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构成一级、二级重大危险源危险化学品罐区各储罐进、出液相物料管道未实现紧急切断功能或功能失效。</w:t>
      </w:r>
    </w:p>
    <w:p w14:paraId="7CBAC188"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①"功能失效"的判定（阀门故障、执行机构失电、气源中断）；②2017 版解读曾明确"同用途不同储罐间设置紧急切换方式可避免超液位超压""已开展 HAZOP、SIL 评估且结论符合安全要求"等情形不判重大隐患，AQ 3067 未保留该等除外情形，实际执行中企业与执法方口径易生冲突；③"各储罐分别设置"与"总切断阀+分支"是否等效。</w:t>
      </w:r>
    </w:p>
    <w:p w14:paraId="239F7CA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5.5.7</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387E3BC8"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重点监管的危险化工工艺生产装置、构成重大危险源的生产装置或储存设施的安全联锁摘除未履行审批手续或摘除后的联锁未按照审批要求恢复；涉及物料发生热分解失控风险的生产装置、储存设施的控制、联锁设施未投入使用或功能失效。</w:t>
      </w:r>
    </w:p>
    <w:p w14:paraId="5DC84012"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lastRenderedPageBreak/>
        <w:t>争议点：</w:t>
      </w:r>
      <w:r w:rsidRPr="00F922B6">
        <w:rPr>
          <w:rFonts w:ascii="宋体" w:eastAsia="宋体" w:hAnsi="宋体" w:cs="宋体"/>
          <w:color w:val="5F5E5A"/>
          <w:kern w:val="0"/>
          <w:sz w:val="20"/>
          <w:szCs w:val="20"/>
          <w14:ligatures w14:val="none"/>
        </w:rPr>
        <w:t>联锁管理是执法与自查冲突最多的一类。①"按照审批要求恢复"——审批单上写"检修结束后恢复"，延期 3 天算不算违规？缺时限硬约束；②2017 版解读曾以"有关联锁长时间切除（超过 1 个月以上，设备大检修期间及特殊原因除外）"作为判据，AQ 3067 正文未吸收该量化口径，"长时间"由谁界定成为焦点；③"功能失效"的情形界定（旁路阀打开、强制赋值使联锁失效、软硬件故障、人为屏蔽）；④大检修期间摘除联锁几乎无法避免，豁免边界不清。</w:t>
      </w:r>
    </w:p>
    <w:p w14:paraId="664ED944"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5.5.8</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79F1E0AA"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未按照 GB 15603 等标准规范要求分区分类储存危险化学品；超量、超品种储存危险化学品；相互禁配物质混放混存。</w:t>
      </w:r>
    </w:p>
    <w:p w14:paraId="4F44C73A"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执法分歧最大、处罚最频繁的条款之一。①"超量"的基准是什么——安全设计资料规定的储量、许可证核准量、还是仓库设计容量？三者不一致时以谁为准，标准未明确；②生产车间中间库、待检区、周转性临时堆放的物料是否计入"超量"；③GB 15603 配存表之外的组合如何判断"禁配"，需要专业化学知识；④"混放混存"的空间界限（同一防火分区、同一货架、相邻垛位）尺度不一；⑤生产现场与仓库的边界划分。</w:t>
      </w:r>
    </w:p>
    <w:p w14:paraId="1C9BE473"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5.5.9</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2397C43B"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生产现场违规存放爆炸危险性化学品。</w:t>
      </w:r>
    </w:p>
    <w:p w14:paraId="104FC49B"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整条没有可援引的量化依据——"违规"的判定标准是什么？多少量、多长时间、以何种包装、在什么位置存放构成"违规存放"？如何区分工艺必需的中间物料/在线物料与"违规存放"？停产待处理物料、检维修拆下的物料如何定性？实际执法中高度依赖检查人员主观判断，同一现场不同检查组的结论可能完全不同。</w:t>
      </w:r>
    </w:p>
    <w:p w14:paraId="5F36387C"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5.5.10</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3E21E68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涉及甲类、剧毒物料的压力管道、管道元件（弯头、法兰、变径等）采用打"卡具"等临时堵漏措施继续运行。</w:t>
      </w:r>
    </w:p>
    <w:p w14:paraId="3594CD90"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"临时"的时间界定；"卡具"的认定范围（夹具、抱箍、缠绕带、注胶堵漏）；本款限定于甲类与剧毒物料，非该范围物料打卡具是否属于重大隐患常被误用或漏判；"继续运行"是否含降量运行、隔离运行。</w:t>
      </w:r>
    </w:p>
    <w:p w14:paraId="289ED9F7"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5.5.11</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711CAB99"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可燃液体常压储罐未按照 AQ 3063 的要求，设置氮气密封保护系统或定期检测气相空间可燃气体浓度。</w:t>
      </w:r>
    </w:p>
    <w:p w14:paraId="73F008BC"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定期"没有周期规定——每月、每季度还是每年？检测记录的时间间隔由谁认定；氮气密封是否可由其他惰化方式或有组织收集系统等效替代；检测点位、频次、仪表型式与记录格式均无统一要求，导致同样的检测工作在甲地合规、在乙地不合规。</w:t>
      </w:r>
    </w:p>
    <w:p w14:paraId="5A8C13C0"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5.5.12</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4ADE858A"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内浮顶储罐的低低液位报警值未按照标准规范设置或正常运行时浮顶落底。</w:t>
      </w:r>
    </w:p>
    <w:p w14:paraId="55B5E256"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"浮顶落底"现场可观察，客观性较强；"低低液位报警值未按标准规范设置"需比对 AQ 3063 等规范中的具体数值，依据分散，核查前需先明确适用条款。</w:t>
      </w:r>
    </w:p>
    <w:p w14:paraId="3DB8E9F7"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5.6 </w:t>
      </w:r>
      <w:r w:rsidRPr="00F922B6">
        <w:rPr>
          <w:rFonts w:ascii="Segoe UI" w:eastAsia="宋体" w:hAnsi="Segoe UI" w:cs="Segoe UI"/>
          <w:b/>
          <w:bCs/>
          <w:color w:val="26251F"/>
          <w:spacing w:val="8"/>
          <w:kern w:val="0"/>
          <w:sz w:val="24"/>
          <w14:ligatures w14:val="none"/>
        </w:rPr>
        <w:t>作业安全</w:t>
      </w:r>
      <w:r w:rsidRPr="00F922B6">
        <w:rPr>
          <w:rFonts w:ascii="Segoe UI" w:eastAsia="宋体" w:hAnsi="Segoe UI" w:cs="Segoe UI"/>
          <w:b/>
          <w:bCs/>
          <w:color w:val="888780"/>
          <w:spacing w:val="8"/>
          <w:kern w:val="0"/>
          <w:sz w:val="18"/>
          <w:szCs w:val="18"/>
          <w14:ligatures w14:val="none"/>
        </w:rPr>
        <w:t xml:space="preserve">4 </w:t>
      </w:r>
      <w:r w:rsidRPr="00F922B6">
        <w:rPr>
          <w:rFonts w:ascii="Segoe UI" w:eastAsia="宋体" w:hAnsi="Segoe UI" w:cs="Segoe UI"/>
          <w:b/>
          <w:bCs/>
          <w:color w:val="888780"/>
          <w:spacing w:val="8"/>
          <w:kern w:val="0"/>
          <w:sz w:val="18"/>
          <w:szCs w:val="18"/>
          <w14:ligatures w14:val="none"/>
        </w:rPr>
        <w:t>项</w:t>
      </w:r>
    </w:p>
    <w:p w14:paraId="79F471B5"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lastRenderedPageBreak/>
        <w:t>5.6.1</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31BB29CF"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未履行审批手续开展特殊作业；动火作业未按照 GB 30871 的要求进行升级管理。</w:t>
      </w:r>
    </w:p>
    <w:p w14:paraId="743FCA2E"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①"特殊作业"的范围与作业分级（同一作业在不同企业定为不同级别）；②"升级管理"的落实尺度——动火级别定低、作业区域划分偏小、审批权限下放；③2017 版解读曾明确"作业许可证内容不健全、填写不规范"不判重大隐患，AQ 3067 正文无此除外表述，为避免"一票否决"而引发的争议较多。</w:t>
      </w:r>
    </w:p>
    <w:p w14:paraId="4E3C3AB3"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5.6.2</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77A4C5C2"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涉及易燃易爆或有毒有害介质的设备、管道动火作业前或受限空间作业前，未采取隔离措施或未确认设备、工艺处置结果满足安全作业要求。</w:t>
      </w:r>
    </w:p>
    <w:p w14:paraId="0743906D"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满足安全作业要求"是纯主观判断，缺少判据（是否要求可燃气浓度、氧含量、温度、液位的具体限值由企业自定还是另有规定）；②隔离措施的等效性——加盲板、双阀加丝堵、拆开管线、加装隔断，哪种可以接受、组合使用是否认可；③"未采取隔离措施"与"隔离不彻底"的界限（盲板规格不符、位置不当算不算"未采取"）。</w:t>
      </w:r>
    </w:p>
    <w:p w14:paraId="46085D45"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5.6.3</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49EEF855"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动火作业或受限空间作业未按照要求进行气体分析；受限空间作业未连续监测可燃气体、有毒气体及氧气浓度；特级动火作业未实现全过程视频监控。</w:t>
      </w:r>
    </w:p>
    <w:p w14:paraId="6FB9ADAB"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气体分析的点位选择、频次、取样代表性、间隔时间由谁界定；②"连续监测"对便携仪与固定式仪表的要求不同，是否必须配固定式监测；③"全过程"视频监控——中途断电、存储期不足、录像片段缺失、仅覆盖作业点不含辅助区域，是否构成判重大隐患的事实，缺少统一口径。</w:t>
      </w:r>
    </w:p>
    <w:p w14:paraId="41485C54"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5.6.4</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100AC8E0"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未对生产区作业人员进行入厂安全教育；作业前未对特殊作业人员进行安全交底；实施特殊作业时，企业未对作业实施管理和检查。</w:t>
      </w:r>
    </w:p>
    <w:p w14:paraId="08C9025C"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典型的"口袋条款"。"企业未对作业实施管理和检查"几乎没有边界——只要有作业在实施，企业总能被指"管理检查不到位"，缺少可被证伪的判定标准，极易成为判定重大隐患的兜底依据；入厂安全教育与安全交底的证据形式（签到表、试卷、录音、影像）无统一要求，企业举证方式与执法方认定标准不一致；承包商自身培训是否可替代企业培训也存在分歧。</w:t>
      </w:r>
    </w:p>
    <w:p w14:paraId="226C33C1" w14:textId="77777777" w:rsidR="00F922B6" w:rsidRPr="00F922B6" w:rsidRDefault="00F922B6" w:rsidP="00F922B6">
      <w:pPr>
        <w:widowControl/>
        <w:pBdr>
          <w:bottom w:val="single" w:sz="6" w:space="5" w:color="D3D1C7"/>
        </w:pBdr>
        <w:shd w:val="clear" w:color="auto" w:fill="F7F6F3"/>
        <w:spacing w:after="0" w:line="240" w:lineRule="auto"/>
        <w:jc w:val="both"/>
        <w:outlineLvl w:val="1"/>
        <w:rPr>
          <w:rFonts w:ascii="Segoe UI" w:eastAsia="宋体" w:hAnsi="Segoe UI" w:cs="Segoe UI"/>
          <w:color w:val="26251F"/>
          <w:spacing w:val="8"/>
          <w:kern w:val="0"/>
          <w:sz w:val="24"/>
          <w14:ligatures w14:val="none"/>
        </w:rPr>
      </w:pPr>
      <w:r w:rsidRPr="00F922B6">
        <w:rPr>
          <w:rFonts w:ascii="Segoe UI" w:eastAsia="宋体" w:hAnsi="Segoe UI" w:cs="Segoe UI"/>
          <w:b/>
          <w:bCs/>
          <w:color w:val="26251F"/>
          <w:spacing w:val="8"/>
          <w:kern w:val="0"/>
          <w:sz w:val="24"/>
          <w14:ligatures w14:val="none"/>
        </w:rPr>
        <w:t xml:space="preserve">5.7 </w:t>
      </w:r>
      <w:r w:rsidRPr="00F922B6">
        <w:rPr>
          <w:rFonts w:ascii="Segoe UI" w:eastAsia="宋体" w:hAnsi="Segoe UI" w:cs="Segoe UI"/>
          <w:b/>
          <w:bCs/>
          <w:color w:val="26251F"/>
          <w:spacing w:val="8"/>
          <w:kern w:val="0"/>
          <w:sz w:val="24"/>
          <w14:ligatures w14:val="none"/>
        </w:rPr>
        <w:t>安全管理</w:t>
      </w:r>
      <w:r w:rsidRPr="00F922B6">
        <w:rPr>
          <w:rFonts w:ascii="Segoe UI" w:eastAsia="宋体" w:hAnsi="Segoe UI" w:cs="Segoe UI"/>
          <w:b/>
          <w:bCs/>
          <w:color w:val="888780"/>
          <w:spacing w:val="8"/>
          <w:kern w:val="0"/>
          <w:sz w:val="18"/>
          <w:szCs w:val="18"/>
          <w14:ligatures w14:val="none"/>
        </w:rPr>
        <w:t xml:space="preserve">7 </w:t>
      </w:r>
      <w:r w:rsidRPr="00F922B6">
        <w:rPr>
          <w:rFonts w:ascii="Segoe UI" w:eastAsia="宋体" w:hAnsi="Segoe UI" w:cs="Segoe UI"/>
          <w:b/>
          <w:bCs/>
          <w:color w:val="888780"/>
          <w:spacing w:val="8"/>
          <w:kern w:val="0"/>
          <w:sz w:val="18"/>
          <w:szCs w:val="18"/>
          <w14:ligatures w14:val="none"/>
        </w:rPr>
        <w:t>项</w:t>
      </w:r>
    </w:p>
    <w:p w14:paraId="2C0A2CA9"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5.7.1</w:t>
      </w:r>
      <w:r w:rsidRPr="00F922B6">
        <w:rPr>
          <w:rFonts w:ascii="宋体" w:eastAsia="宋体" w:hAnsi="宋体" w:cs="宋体"/>
          <w:b/>
          <w:bCs/>
          <w:i/>
          <w:iCs/>
          <w:color w:val="888780"/>
          <w:kern w:val="0"/>
          <w:sz w:val="17"/>
          <w:szCs w:val="17"/>
          <w14:ligatures w14:val="none"/>
        </w:rPr>
        <w:t>相对客观</w:t>
      </w:r>
      <w:r w:rsidRPr="00F922B6">
        <w:rPr>
          <w:rFonts w:ascii="宋体" w:eastAsia="宋体" w:hAnsi="宋体" w:cs="宋体"/>
          <w:color w:val="444441"/>
          <w:kern w:val="0"/>
          <w:sz w:val="17"/>
          <w:szCs w:val="17"/>
          <w:bdr w:val="single" w:sz="6" w:space="2" w:color="B4B2A9" w:frame="1"/>
          <w14:ligatures w14:val="none"/>
        </w:rPr>
        <w:t>相对客观</w:t>
      </w:r>
    </w:p>
    <w:p w14:paraId="1D60160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生产、经营（有储存）、使用危险化学品品种未经许可或超许可范围。</w:t>
      </w:r>
    </w:p>
    <w:p w14:paraId="0A3AD594"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尺度：</w:t>
      </w:r>
      <w:r w:rsidRPr="00F922B6">
        <w:rPr>
          <w:rFonts w:ascii="宋体" w:eastAsia="宋体" w:hAnsi="宋体" w:cs="宋体"/>
          <w:color w:val="5F5E5A"/>
          <w:kern w:val="0"/>
          <w:sz w:val="20"/>
          <w:szCs w:val="20"/>
          <w14:ligatures w14:val="none"/>
        </w:rPr>
        <w:t>对照许可证载明的品种清单与实际台账核查，客观性较强。</w:t>
      </w:r>
    </w:p>
    <w:p w14:paraId="0E2054F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5.7.2</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0968B5DE"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未对物理危险性不明的化学品进行物理危险性鉴定与分类。</w:t>
      </w:r>
    </w:p>
    <w:p w14:paraId="1115BE39"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lastRenderedPageBreak/>
        <w:t>争议点：</w:t>
      </w:r>
      <w:r w:rsidRPr="00F922B6">
        <w:rPr>
          <w:rFonts w:ascii="宋体" w:eastAsia="宋体" w:hAnsi="宋体" w:cs="宋体"/>
          <w:color w:val="5F5E5A"/>
          <w:kern w:val="0"/>
          <w:sz w:val="20"/>
          <w:szCs w:val="20"/>
          <w14:ligatures w14:val="none"/>
        </w:rPr>
        <w:t>"物理危险性不明"由谁认定——企业自行判断"已知"但拿不出 GHS 分类数据是否成立；自研混合物是否必须送检；试验阶段新物料、样品、副产物的过渡期如何处理；鉴定分类报告的出具机构资质与接受范围。</w:t>
      </w:r>
    </w:p>
    <w:p w14:paraId="0A2F4982"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5.7.3</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5323A790"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涉及重大危险源、高危工艺的企业未投用具有人员聚集报警功能的人员定位系统；进入生产区的人员未携带定位终端；重大危险源安全监测监控数据未接入重大危险源安全风险监测预警系统。</w:t>
      </w:r>
    </w:p>
    <w:p w14:paraId="19E02704"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人员定位系统"缺少技术标准——定位精度、覆盖范围、聚集报警阈值、可靠性如何验证，验收无据；②终端覆盖人员范围（承包商、访客、检查人员是否必须佩戴）；③偶发未携带（终端没电、遗失、忘带）是否直接判重大隐患，与"未携带"的制度性缺失如何区分；④监测数据"接入"的判定（接口打通但数据中断算不算接入）。</w:t>
      </w:r>
    </w:p>
    <w:p w14:paraId="474586EA"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5.7.4</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51559D44"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异常工况现场处置时，同一装置区内超过 6 人或无关人员进入处置现场。涉及高危工艺和工艺危险度 4 级及以上的其他危险化工工艺的精细化工厂房（含装置）内同一时间现场人员超过 2 人。注：厂房（含装置）内采用符合抗爆设计的防爆墙分隔的，防爆墙两侧按照不同区域处理。</w:t>
      </w:r>
    </w:p>
    <w:p w14:paraId="5C7F26DF"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最典型的"数人头"条款，争议最集中。①"异常工况"本身如何界定——开停车、试车、检修、局部超温超压、泄漏处置、公用工程波动是否都算？边界不清则本条适用范围可大可小；②"同一装置区"的划分依据（工艺单元、防火分区、界区、还是防爆墙分隔的区域），划分方式直接决定是否超员；③"同一时间现场人员"的统计口径——是否包含承包商、监理、巡检、短时经过或进入取物的人员，含与不含结论可能相反；④"符合抗爆设计的防爆墙分隔"由谁认定、以何文件为依据；⑤现实矛盾突出：异常工况处置与检修作业客观上需要多人协同，2 人的限制在工艺复杂装置上很难落实，企业普遍反映"判得出、做不好"。</w:t>
      </w:r>
    </w:p>
    <w:p w14:paraId="15032BCE"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5.7.5</w:t>
      </w:r>
      <w:r w:rsidRPr="00F922B6">
        <w:rPr>
          <w:rFonts w:ascii="宋体" w:eastAsia="宋体" w:hAnsi="宋体" w:cs="宋体"/>
          <w:b/>
          <w:bCs/>
          <w:i/>
          <w:iCs/>
          <w:color w:val="888780"/>
          <w:kern w:val="0"/>
          <w:sz w:val="17"/>
          <w:szCs w:val="17"/>
          <w14:ligatures w14:val="none"/>
        </w:rPr>
        <w:t>中等争议</w:t>
      </w:r>
      <w:r w:rsidRPr="00F922B6">
        <w:rPr>
          <w:rFonts w:ascii="宋体" w:eastAsia="宋体" w:hAnsi="宋体" w:cs="宋体"/>
          <w:color w:val="6B3F08"/>
          <w:kern w:val="0"/>
          <w:sz w:val="17"/>
          <w:szCs w:val="17"/>
          <w:bdr w:val="single" w:sz="6" w:space="2" w:color="BA7517" w:frame="1"/>
          <w14:ligatures w14:val="none"/>
        </w:rPr>
        <w:t>中等争议</w:t>
      </w:r>
    </w:p>
    <w:p w14:paraId="35B43BCD"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未建立变更管理制度；变更前未按照要求开展安全风险评估；变更未履行变更审批程序；变更后未对相关人员开展培训。</w:t>
      </w:r>
    </w:p>
    <w:p w14:paraId="5E6709A1"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①"变更"的外延——小改小革、同型号备件替换、临时调整参数、人员岗位轮换是否都需要走变更程序；②"未按照要求开展安全风险评估"的"要求"出自哪份文件、评估深度如何界定；③四要素缺一即判的"全或无"模式，使同类问题在不同企业被判定为重大隐患或一般隐患的差异很大；④变更后培训的范围与记录形式。</w:t>
      </w:r>
    </w:p>
    <w:p w14:paraId="31E93D61"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5.7.6</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5BE48E8C"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未建立与岗位相匹配的全员安全生产责任制，或者未制定实施生产安全事故隐患排查治理制度。</w:t>
      </w:r>
    </w:p>
    <w:p w14:paraId="6A3D88AB"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"未建立"与"内容不完善"的界限是全部分歧的核心。2017 版解读曾明确"安全生产责任制中缺少其他单位的安全职责""主要负责人和安全管理机构的安全职责有 1 至 2 条不符合《安全生产法》要求""隐患排查治理制度内容不完善"等情形不判重大隐患；AQ 3067 正文未保留这一层级区分，字面上"未建立"与"不完善"之间缺少过渡。若不作区分而机械套用，大量企业会因制度文本瑕疵被判重大隐患，基层反映强烈，也是"管理瑕疵重大隐患化"最集中的体</w:t>
      </w:r>
      <w:r w:rsidRPr="00F922B6">
        <w:rPr>
          <w:rFonts w:ascii="宋体" w:eastAsia="宋体" w:hAnsi="宋体" w:cs="宋体"/>
          <w:color w:val="5F5E5A"/>
          <w:kern w:val="0"/>
          <w:sz w:val="20"/>
          <w:szCs w:val="20"/>
          <w14:ligatures w14:val="none"/>
        </w:rPr>
        <w:lastRenderedPageBreak/>
        <w:t>现。此外"与岗位相匹配"缺少核查方法，"未实施"（有制度无记录、有记录无闭环）如何认定也易生分歧。</w:t>
      </w:r>
    </w:p>
    <w:p w14:paraId="55B0F2F8"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b/>
          <w:bCs/>
          <w:kern w:val="0"/>
          <w:sz w:val="24"/>
          <w14:ligatures w14:val="none"/>
        </w:rPr>
        <w:t>5.7.7</w:t>
      </w:r>
      <w:r w:rsidRPr="00F922B6">
        <w:rPr>
          <w:rFonts w:ascii="宋体" w:eastAsia="宋体" w:hAnsi="宋体" w:cs="宋体"/>
          <w:b/>
          <w:bCs/>
          <w:i/>
          <w:iCs/>
          <w:color w:val="888780"/>
          <w:kern w:val="0"/>
          <w:sz w:val="17"/>
          <w:szCs w:val="17"/>
          <w14:ligatures w14:val="none"/>
        </w:rPr>
        <w:t>高争议</w:t>
      </w:r>
      <w:r w:rsidRPr="00F922B6">
        <w:rPr>
          <w:rFonts w:ascii="宋体" w:eastAsia="宋体" w:hAnsi="宋体" w:cs="宋体"/>
          <w:color w:val="5C2410"/>
          <w:kern w:val="0"/>
          <w:sz w:val="17"/>
          <w:szCs w:val="17"/>
          <w:bdr w:val="single" w:sz="6" w:space="2" w:color="C1613A" w:frame="1"/>
          <w14:ligatures w14:val="none"/>
        </w:rPr>
        <w:t>高争议</w:t>
      </w:r>
    </w:p>
    <w:p w14:paraId="0065EEB0" w14:textId="77777777" w:rsidR="00F922B6" w:rsidRPr="00F922B6" w:rsidRDefault="00F922B6" w:rsidP="00F922B6">
      <w:pPr>
        <w:widowControl/>
        <w:spacing w:after="0" w:line="240" w:lineRule="auto"/>
        <w:rPr>
          <w:rFonts w:ascii="宋体" w:eastAsia="宋体" w:hAnsi="宋体" w:cs="宋体"/>
          <w:color w:val="26251F"/>
          <w:kern w:val="0"/>
          <w:sz w:val="20"/>
          <w:szCs w:val="20"/>
          <w14:ligatures w14:val="none"/>
        </w:rPr>
      </w:pPr>
      <w:r w:rsidRPr="00F922B6">
        <w:rPr>
          <w:rFonts w:ascii="宋体" w:eastAsia="宋体" w:hAnsi="宋体" w:cs="宋体"/>
          <w:color w:val="26251F"/>
          <w:kern w:val="0"/>
          <w:sz w:val="20"/>
          <w:szCs w:val="20"/>
          <w14:ligatures w14:val="none"/>
        </w:rPr>
        <w:t>未进行安全风险承诺；承诺公告与现场情况严重失实。</w:t>
      </w:r>
    </w:p>
    <w:p w14:paraId="61827A33" w14:textId="77777777" w:rsidR="00F922B6" w:rsidRPr="00F922B6" w:rsidRDefault="00F922B6" w:rsidP="00F922B6">
      <w:pPr>
        <w:widowControl/>
        <w:pBdr>
          <w:top w:val="dashed" w:sz="6" w:space="6" w:color="E3E1DB"/>
        </w:pBdr>
        <w:spacing w:after="0" w:line="240" w:lineRule="auto"/>
        <w:rPr>
          <w:rFonts w:ascii="宋体" w:eastAsia="宋体" w:hAnsi="宋体" w:cs="宋体"/>
          <w:color w:val="5F5E5A"/>
          <w:kern w:val="0"/>
          <w:sz w:val="20"/>
          <w:szCs w:val="20"/>
          <w14:ligatures w14:val="none"/>
        </w:rPr>
      </w:pPr>
      <w:r w:rsidRPr="00F922B6">
        <w:rPr>
          <w:rFonts w:ascii="宋体" w:eastAsia="宋体" w:hAnsi="宋体" w:cs="宋体"/>
          <w:b/>
          <w:bCs/>
          <w:color w:val="26251F"/>
          <w:kern w:val="0"/>
          <w:sz w:val="20"/>
          <w:szCs w:val="20"/>
          <w14:ligatures w14:val="none"/>
        </w:rPr>
        <w:t>争议点：</w:t>
      </w:r>
      <w:r w:rsidRPr="00F922B6">
        <w:rPr>
          <w:rFonts w:ascii="宋体" w:eastAsia="宋体" w:hAnsi="宋体" w:cs="宋体"/>
          <w:color w:val="5F5E5A"/>
          <w:kern w:val="0"/>
          <w:sz w:val="20"/>
          <w:szCs w:val="20"/>
          <w14:ligatures w14:val="none"/>
        </w:rPr>
        <w:t>"严重失实"没有任何量化标准，完全依赖裁量——承诺内容与现场偏差多大算"严重"？承诺频次与形式（每日、每月、公告位置、内容要素）缺少明确规定；日常承诺表述与现场细节客观上不可能完全一致，一旦以"承诺与现场不符"倒查，几乎任何企业都可能被认定"失实"，是争议风险最高、也最容易被质疑执法公正性的一条。建议企业保留承诺内容与现场状态逐日核对的记录，并对偏差保留解释材料。</w:t>
      </w:r>
    </w:p>
    <w:p w14:paraId="6596F36F" w14:textId="77777777" w:rsidR="00F922B6" w:rsidRPr="00F922B6" w:rsidRDefault="00F922B6" w:rsidP="00F922B6">
      <w:pPr>
        <w:widowControl/>
        <w:spacing w:after="0" w:line="240" w:lineRule="auto"/>
        <w:rPr>
          <w:rFonts w:ascii="宋体" w:eastAsia="宋体" w:hAnsi="宋体" w:cs="宋体"/>
          <w:kern w:val="0"/>
          <w:sz w:val="24"/>
          <w14:ligatures w14:val="none"/>
        </w:rPr>
      </w:pPr>
      <w:r w:rsidRPr="00F922B6">
        <w:rPr>
          <w:rFonts w:ascii="宋体" w:eastAsia="宋体" w:hAnsi="宋体" w:cs="宋体"/>
          <w:kern w:val="0"/>
          <w:sz w:val="24"/>
          <w14:ligatures w14:val="none"/>
        </w:rPr>
        <w:t>条款内容依据 AQ 3067—2026 标准正文整理；分级与争议点分析为基于条文表述与实践反馈的整理，供企业对标自查与内部培训参考，最终判定应以标准正文、规范性引用文件及监管部门的解释为准。</w:t>
      </w:r>
    </w:p>
    <w:p w14:paraId="6B05C9AE" w14:textId="77777777" w:rsidR="00F922B6" w:rsidRPr="00F922B6" w:rsidRDefault="00F922B6" w:rsidP="00F922B6">
      <w:pPr>
        <w:widowControl/>
        <w:shd w:val="clear" w:color="auto" w:fill="FFFFFF"/>
        <w:spacing w:after="0" w:line="240" w:lineRule="auto"/>
        <w:jc w:val="both"/>
        <w:rPr>
          <w:rFonts w:ascii="Microsoft YaHei UI" w:eastAsia="Microsoft YaHei UI" w:hAnsi="Microsoft YaHei UI" w:cs="宋体"/>
          <w:spacing w:val="8"/>
          <w:kern w:val="0"/>
          <w:sz w:val="26"/>
          <w:szCs w:val="26"/>
          <w14:ligatures w14:val="none"/>
        </w:rPr>
      </w:pPr>
      <w:r w:rsidRPr="00F922B6">
        <w:rPr>
          <w:rFonts w:ascii="Microsoft YaHei UI" w:eastAsia="Microsoft YaHei UI" w:hAnsi="Microsoft YaHei UI" w:cs="宋体" w:hint="eastAsia"/>
          <w:spacing w:val="8"/>
          <w:kern w:val="0"/>
          <w:sz w:val="26"/>
          <w:szCs w:val="26"/>
          <w14:ligatures w14:val="none"/>
        </w:rPr>
        <w:br/>
      </w:r>
    </w:p>
    <w:p w14:paraId="581708AD" w14:textId="77777777" w:rsidR="00F922B6" w:rsidRPr="00F922B6" w:rsidRDefault="00F922B6" w:rsidP="00F922B6">
      <w:pPr>
        <w:widowControl/>
        <w:spacing w:after="0" w:line="240" w:lineRule="auto"/>
        <w:jc w:val="center"/>
        <w:rPr>
          <w:rFonts w:ascii="微软雅黑" w:eastAsia="微软雅黑" w:hAnsi="微软雅黑" w:cs="宋体" w:hint="eastAsia"/>
          <w:color w:val="BBBBBB"/>
          <w:kern w:val="0"/>
          <w:sz w:val="18"/>
          <w:szCs w:val="18"/>
          <w14:ligatures w14:val="none"/>
        </w:rPr>
      </w:pPr>
      <w:r w:rsidRPr="00F922B6">
        <w:rPr>
          <w:rFonts w:ascii="微软雅黑" w:eastAsia="微软雅黑" w:hAnsi="微软雅黑" w:cs="宋体" w:hint="eastAsia"/>
          <w:color w:val="BBBBBB"/>
          <w:kern w:val="0"/>
          <w:sz w:val="18"/>
          <w:szCs w:val="18"/>
          <w14:ligatures w14:val="none"/>
        </w:rPr>
        <w:t>— END —</w:t>
      </w:r>
    </w:p>
    <w:p w14:paraId="636976AB" w14:textId="77777777" w:rsidR="00CE7E94" w:rsidRDefault="00CE7E94"/>
    <w:sectPr w:rsidR="00CE7E9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94"/>
    <w:rsid w:val="00942D1C"/>
    <w:rsid w:val="00CE7E94"/>
    <w:rsid w:val="00F92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8CC63-8640-4BFB-B03B-BE86E4DA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E7E9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E7E9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E7E9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E7E9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E7E9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E7E9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E7E9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E7E9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E7E9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E7E9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E7E9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E7E9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E7E94"/>
    <w:rPr>
      <w:rFonts w:cstheme="majorBidi"/>
      <w:color w:val="2F5496" w:themeColor="accent1" w:themeShade="BF"/>
      <w:sz w:val="28"/>
      <w:szCs w:val="28"/>
    </w:rPr>
  </w:style>
  <w:style w:type="character" w:customStyle="1" w:styleId="50">
    <w:name w:val="标题 5 字符"/>
    <w:basedOn w:val="a0"/>
    <w:link w:val="5"/>
    <w:uiPriority w:val="9"/>
    <w:semiHidden/>
    <w:rsid w:val="00CE7E94"/>
    <w:rPr>
      <w:rFonts w:cstheme="majorBidi"/>
      <w:color w:val="2F5496" w:themeColor="accent1" w:themeShade="BF"/>
      <w:sz w:val="24"/>
    </w:rPr>
  </w:style>
  <w:style w:type="character" w:customStyle="1" w:styleId="60">
    <w:name w:val="标题 6 字符"/>
    <w:basedOn w:val="a0"/>
    <w:link w:val="6"/>
    <w:uiPriority w:val="9"/>
    <w:semiHidden/>
    <w:rsid w:val="00CE7E94"/>
    <w:rPr>
      <w:rFonts w:cstheme="majorBidi"/>
      <w:b/>
      <w:bCs/>
      <w:color w:val="2F5496" w:themeColor="accent1" w:themeShade="BF"/>
    </w:rPr>
  </w:style>
  <w:style w:type="character" w:customStyle="1" w:styleId="70">
    <w:name w:val="标题 7 字符"/>
    <w:basedOn w:val="a0"/>
    <w:link w:val="7"/>
    <w:uiPriority w:val="9"/>
    <w:semiHidden/>
    <w:rsid w:val="00CE7E94"/>
    <w:rPr>
      <w:rFonts w:cstheme="majorBidi"/>
      <w:b/>
      <w:bCs/>
      <w:color w:val="595959" w:themeColor="text1" w:themeTint="A6"/>
    </w:rPr>
  </w:style>
  <w:style w:type="character" w:customStyle="1" w:styleId="80">
    <w:name w:val="标题 8 字符"/>
    <w:basedOn w:val="a0"/>
    <w:link w:val="8"/>
    <w:uiPriority w:val="9"/>
    <w:semiHidden/>
    <w:rsid w:val="00CE7E94"/>
    <w:rPr>
      <w:rFonts w:cstheme="majorBidi"/>
      <w:color w:val="595959" w:themeColor="text1" w:themeTint="A6"/>
    </w:rPr>
  </w:style>
  <w:style w:type="character" w:customStyle="1" w:styleId="90">
    <w:name w:val="标题 9 字符"/>
    <w:basedOn w:val="a0"/>
    <w:link w:val="9"/>
    <w:uiPriority w:val="9"/>
    <w:semiHidden/>
    <w:rsid w:val="00CE7E94"/>
    <w:rPr>
      <w:rFonts w:eastAsiaTheme="majorEastAsia" w:cstheme="majorBidi"/>
      <w:color w:val="595959" w:themeColor="text1" w:themeTint="A6"/>
    </w:rPr>
  </w:style>
  <w:style w:type="paragraph" w:styleId="a3">
    <w:name w:val="Title"/>
    <w:basedOn w:val="a"/>
    <w:next w:val="a"/>
    <w:link w:val="a4"/>
    <w:uiPriority w:val="10"/>
    <w:qFormat/>
    <w:rsid w:val="00CE7E9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E7E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7E9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E7E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7E94"/>
    <w:pPr>
      <w:spacing w:before="160"/>
      <w:jc w:val="center"/>
    </w:pPr>
    <w:rPr>
      <w:i/>
      <w:iCs/>
      <w:color w:val="404040" w:themeColor="text1" w:themeTint="BF"/>
    </w:rPr>
  </w:style>
  <w:style w:type="character" w:customStyle="1" w:styleId="a8">
    <w:name w:val="引用 字符"/>
    <w:basedOn w:val="a0"/>
    <w:link w:val="a7"/>
    <w:uiPriority w:val="29"/>
    <w:rsid w:val="00CE7E94"/>
    <w:rPr>
      <w:i/>
      <w:iCs/>
      <w:color w:val="404040" w:themeColor="text1" w:themeTint="BF"/>
    </w:rPr>
  </w:style>
  <w:style w:type="paragraph" w:styleId="a9">
    <w:name w:val="List Paragraph"/>
    <w:basedOn w:val="a"/>
    <w:uiPriority w:val="34"/>
    <w:qFormat/>
    <w:rsid w:val="00CE7E94"/>
    <w:pPr>
      <w:ind w:left="720"/>
      <w:contextualSpacing/>
    </w:pPr>
  </w:style>
  <w:style w:type="character" w:styleId="aa">
    <w:name w:val="Intense Emphasis"/>
    <w:basedOn w:val="a0"/>
    <w:uiPriority w:val="21"/>
    <w:qFormat/>
    <w:rsid w:val="00CE7E94"/>
    <w:rPr>
      <w:i/>
      <w:iCs/>
      <w:color w:val="2F5496" w:themeColor="accent1" w:themeShade="BF"/>
    </w:rPr>
  </w:style>
  <w:style w:type="paragraph" w:styleId="ab">
    <w:name w:val="Intense Quote"/>
    <w:basedOn w:val="a"/>
    <w:next w:val="a"/>
    <w:link w:val="ac"/>
    <w:uiPriority w:val="30"/>
    <w:qFormat/>
    <w:rsid w:val="00CE7E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E7E94"/>
    <w:rPr>
      <w:i/>
      <w:iCs/>
      <w:color w:val="2F5496" w:themeColor="accent1" w:themeShade="BF"/>
    </w:rPr>
  </w:style>
  <w:style w:type="character" w:styleId="ad">
    <w:name w:val="Intense Reference"/>
    <w:basedOn w:val="a0"/>
    <w:uiPriority w:val="32"/>
    <w:qFormat/>
    <w:rsid w:val="00CE7E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1754</Words>
  <Characters>9998</Characters>
  <DocSecurity>0</DocSecurity>
  <Lines>83</Lines>
  <Paragraphs>23</Paragraphs>
  <ScaleCrop>false</ScaleCrop>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2026-09-22T16:19:00Z</dcterms:created>
  <dcterms:modified xsi:type="dcterms:W3CDTF">2026-09-22T16:19:00Z</dcterms:modified>
</cp:coreProperties>
</file>