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黑体" w:hAnsi="黑体" w:eastAsia="黑体"/>
          <w:b/>
          <w:color w:val="1F4E79"/>
          <w:sz w:val="52"/>
        </w:rPr>
        <w:t>港口码头总体施工安全风险评估报告</w:t>
      </w:r>
    </w:p>
    <w:p>
      <w:pPr>
        <w:jc w:val="center"/>
      </w:pPr>
      <w:r>
        <w:rPr>
          <w:rFonts w:ascii="微软雅黑" w:hAnsi="微软雅黑" w:eastAsia="微软雅黑"/>
          <w:color w:val="2E75B6"/>
          <w:sz w:val="28"/>
        </w:rPr>
        <w:t>（沿海码头、护岸及防波堤工程 · 总体风险评估）</w:t>
      </w:r>
    </w:p>
    <w:p/>
    <w:p>
      <w:pPr>
        <w:jc w:val="center"/>
      </w:pPr>
      <w:r>
        <w:rPr>
          <w:rFonts w:ascii="微软雅黑" w:hAnsi="微软雅黑" w:eastAsia="微软雅黑"/>
          <w:color w:val="595959"/>
          <w:sz w:val="22"/>
        </w:rPr>
        <w:t>—— 依据 JT/T 1375.5—2022《公路水运工程施工安全风险评估指南 第5部分：港口工程》 ——</w:t>
      </w:r>
    </w:p>
    <w:p/>
    <w:p/>
    <w:tbl>
      <w:tblPr>
        <w:tblStyle w:val="TableGrid"/>
        <w:tblW w:type="auto" w:w="0"/>
        <w:jc w:val="center"/>
        <w:tblLook w:firstColumn="1" w:firstRow="1" w:lastColumn="0" w:lastRow="0" w:noHBand="0" w:noVBand="1" w:val="04A0"/>
      </w:tblPr>
      <w:tblGrid>
        <w:gridCol w:w="4479"/>
        <w:gridCol w:w="4479"/>
      </w:tblGrid>
      <w:tr>
        <w:tc>
          <w:tcPr>
            <w:tcW w:type="dxa" w:w="2381"/>
            <w:shd w:val="clear" w:color="auto" w:fill="1F4E79"/>
          </w:tcPr>
          <w:p>
            <w:r/>
            <w:r>
              <w:rPr>
                <w:rFonts w:ascii="微软雅黑" w:hAnsi="微软雅黑" w:eastAsia="微软雅黑"/>
                <w:b/>
                <w:color w:val="FFFFFF"/>
                <w:sz w:val="21"/>
              </w:rPr>
              <w:t>评估项目名称</w:t>
            </w:r>
          </w:p>
        </w:tc>
        <w:tc>
          <w:tcPr>
            <w:tcW w:type="dxa" w:w="6803"/>
          </w:tcPr>
          <w:p>
            <w:r/>
            <w:r>
              <w:rPr>
                <w:rFonts w:ascii="宋体" w:hAnsi="宋体" w:eastAsia="宋体"/>
                <w:sz w:val="21"/>
              </w:rPr>
              <w:t>××港××港区×#、×#泊位工程（示例参数，正式出具时按项目实际替换）</w:t>
            </w:r>
          </w:p>
        </w:tc>
      </w:tr>
      <w:tr>
        <w:tc>
          <w:tcPr>
            <w:tcW w:type="dxa" w:w="2381"/>
            <w:shd w:val="clear" w:color="auto" w:fill="1F4E79"/>
          </w:tcPr>
          <w:p>
            <w:r/>
            <w:r>
              <w:rPr>
                <w:rFonts w:ascii="微软雅黑" w:hAnsi="微软雅黑" w:eastAsia="微软雅黑"/>
                <w:b/>
                <w:color w:val="FFFFFF"/>
                <w:sz w:val="21"/>
              </w:rPr>
              <w:t>工程类别</w:t>
            </w:r>
          </w:p>
        </w:tc>
        <w:tc>
          <w:tcPr>
            <w:tcW w:type="dxa" w:w="6803"/>
          </w:tcPr>
          <w:p>
            <w:r/>
            <w:r>
              <w:rPr>
                <w:rFonts w:ascii="宋体" w:hAnsi="宋体" w:eastAsia="宋体"/>
                <w:sz w:val="21"/>
              </w:rPr>
              <w:t>新建沿海港口工程 — 码头（高桩梁板结构）、引桥</w:t>
            </w:r>
          </w:p>
        </w:tc>
      </w:tr>
      <w:tr>
        <w:tc>
          <w:tcPr>
            <w:tcW w:type="dxa" w:w="2381"/>
            <w:shd w:val="clear" w:color="auto" w:fill="1F4E79"/>
          </w:tcPr>
          <w:p>
            <w:r/>
            <w:r>
              <w:rPr>
                <w:rFonts w:ascii="微软雅黑" w:hAnsi="微软雅黑" w:eastAsia="微软雅黑"/>
                <w:b/>
                <w:color w:val="FFFFFF"/>
                <w:sz w:val="21"/>
              </w:rPr>
              <w:t>评估阶段</w:t>
            </w:r>
          </w:p>
        </w:tc>
        <w:tc>
          <w:tcPr>
            <w:tcW w:type="dxa" w:w="6803"/>
          </w:tcPr>
          <w:p>
            <w:r/>
            <w:r>
              <w:rPr>
                <w:rFonts w:ascii="宋体" w:hAnsi="宋体" w:eastAsia="宋体"/>
                <w:sz w:val="21"/>
              </w:rPr>
              <w:t>总体风险评估（施工图设计完成后、项目招投标前/最迟开工前完成）</w:t>
            </w:r>
          </w:p>
        </w:tc>
      </w:tr>
      <w:tr>
        <w:tc>
          <w:tcPr>
            <w:tcW w:type="dxa" w:w="2381"/>
            <w:shd w:val="clear" w:color="auto" w:fill="1F4E79"/>
          </w:tcPr>
          <w:p>
            <w:r/>
            <w:r>
              <w:rPr>
                <w:rFonts w:ascii="微软雅黑" w:hAnsi="微软雅黑" w:eastAsia="微软雅黑"/>
                <w:b/>
                <w:color w:val="FFFFFF"/>
                <w:sz w:val="21"/>
              </w:rPr>
              <w:t>评估依据</w:t>
            </w:r>
          </w:p>
        </w:tc>
        <w:tc>
          <w:tcPr>
            <w:tcW w:type="dxa" w:w="6803"/>
          </w:tcPr>
          <w:p>
            <w:r/>
            <w:r>
              <w:rPr>
                <w:rFonts w:ascii="宋体" w:hAnsi="宋体" w:eastAsia="宋体"/>
                <w:sz w:val="21"/>
              </w:rPr>
              <w:t>JT/T 1375.5—2022、JT/T 1375.1—2022 及相关国家/行业标准</w:t>
            </w:r>
          </w:p>
        </w:tc>
      </w:tr>
      <w:tr>
        <w:tc>
          <w:tcPr>
            <w:tcW w:type="dxa" w:w="2381"/>
            <w:shd w:val="clear" w:color="auto" w:fill="1F4E79"/>
          </w:tcPr>
          <w:p>
            <w:r/>
            <w:r>
              <w:rPr>
                <w:rFonts w:ascii="微软雅黑" w:hAnsi="微软雅黑" w:eastAsia="微软雅黑"/>
                <w:b/>
                <w:color w:val="FFFFFF"/>
                <w:sz w:val="21"/>
              </w:rPr>
              <w:t>评估组织</w:t>
            </w:r>
          </w:p>
        </w:tc>
        <w:tc>
          <w:tcPr>
            <w:tcW w:type="dxa" w:w="6803"/>
          </w:tcPr>
          <w:p>
            <w:r/>
            <w:r>
              <w:rPr>
                <w:rFonts w:ascii="宋体" w:hAnsi="宋体" w:eastAsia="宋体"/>
                <w:sz w:val="21"/>
              </w:rPr>
              <w:t>项目建设单位（牵头） / 评估小组（≥5名专家，单数）</w:t>
            </w:r>
          </w:p>
        </w:tc>
      </w:tr>
      <w:tr>
        <w:tc>
          <w:tcPr>
            <w:tcW w:type="dxa" w:w="2381"/>
            <w:shd w:val="clear" w:color="auto" w:fill="1F4E79"/>
          </w:tcPr>
          <w:p>
            <w:r/>
            <w:r>
              <w:rPr>
                <w:rFonts w:ascii="微软雅黑" w:hAnsi="微软雅黑" w:eastAsia="微软雅黑"/>
                <w:b/>
                <w:color w:val="FFFFFF"/>
                <w:sz w:val="21"/>
              </w:rPr>
              <w:t>报告编制单位</w:t>
            </w:r>
          </w:p>
        </w:tc>
        <w:tc>
          <w:tcPr>
            <w:tcW w:type="dxa" w:w="6803"/>
          </w:tcPr>
          <w:p>
            <w:r/>
            <w:r>
              <w:rPr>
                <w:rFonts w:ascii="宋体" w:hAnsi="宋体" w:eastAsia="宋体"/>
                <w:sz w:val="21"/>
              </w:rPr>
              <w:t>（建设单位或委托的第三方安全评估机构）</w:t>
            </w:r>
          </w:p>
        </w:tc>
      </w:tr>
      <w:tr>
        <w:tc>
          <w:tcPr>
            <w:tcW w:type="dxa" w:w="2381"/>
            <w:shd w:val="clear" w:color="auto" w:fill="1F4E79"/>
          </w:tcPr>
          <w:p>
            <w:r/>
            <w:r>
              <w:rPr>
                <w:rFonts w:ascii="微软雅黑" w:hAnsi="微软雅黑" w:eastAsia="微软雅黑"/>
                <w:b/>
                <w:color w:val="FFFFFF"/>
                <w:sz w:val="21"/>
              </w:rPr>
              <w:t>报告编制日期</w:t>
            </w:r>
          </w:p>
        </w:tc>
        <w:tc>
          <w:tcPr>
            <w:tcW w:type="dxa" w:w="6803"/>
          </w:tcPr>
          <w:p>
            <w:r/>
            <w:r>
              <w:rPr>
                <w:rFonts w:ascii="宋体" w:hAnsi="宋体" w:eastAsia="宋体"/>
                <w:sz w:val="21"/>
              </w:rPr>
              <w:t>____年____月____日</w:t>
            </w:r>
          </w:p>
        </w:tc>
      </w:tr>
      <w:tr>
        <w:tc>
          <w:tcPr>
            <w:tcW w:type="dxa" w:w="2381"/>
            <w:shd w:val="clear" w:color="auto" w:fill="1F4E79"/>
          </w:tcPr>
          <w:p>
            <w:r/>
            <w:r>
              <w:rPr>
                <w:rFonts w:ascii="微软雅黑" w:hAnsi="微软雅黑" w:eastAsia="微软雅黑"/>
                <w:b/>
                <w:color w:val="FFFFFF"/>
                <w:sz w:val="21"/>
              </w:rPr>
              <w:t>版 本 号</w:t>
            </w:r>
          </w:p>
        </w:tc>
        <w:tc>
          <w:tcPr>
            <w:tcW w:type="dxa" w:w="6803"/>
          </w:tcPr>
          <w:p>
            <w:r/>
            <w:r>
              <w:rPr>
                <w:rFonts w:ascii="宋体" w:hAnsi="宋体" w:eastAsia="宋体"/>
                <w:sz w:val="21"/>
              </w:rPr>
              <w:t>V1.0（示例稿）</w:t>
            </w:r>
          </w:p>
        </w:tc>
      </w:tr>
    </w:tbl>
    <w:p/>
    <w:p>
      <w:pPr>
        <w:spacing w:line="336" w:lineRule="auto"/>
        <w:jc w:val="both"/>
      </w:pPr>
      <w:r>
        <w:rPr>
          <w:rFonts w:ascii="宋体" w:hAnsi="宋体" w:eastAsia="宋体"/>
          <w:i/>
          <w:color w:val="595959"/>
          <w:sz w:val="19"/>
        </w:rPr>
        <w:t>声明：本报告的工程参数、量化测算结果为便于展示报告结构与方法的“示例”，并非某一具体工程的真实评估结论。正式风险评估报告应由具备相应能力的评估小组依据项目核准/审批文件、地质勘察报告、水文气象资料、设计文件等，按 JT/T 1375.5—2022 规定的程序与方法编制，并组织专家评审后出具。</w:t>
      </w:r>
    </w:p>
    <w:p>
      <w:r>
        <w:br w:type="page"/>
      </w:r>
    </w:p>
    <w:p>
      <w:pPr>
        <w:pStyle w:val="Heading1"/>
        <w:spacing w:before="200" w:after="80"/>
      </w:pPr>
      <w:r>
        <w:rPr>
          <w:rFonts w:ascii="黑体" w:hAnsi="黑体" w:eastAsia="黑体"/>
          <w:b/>
          <w:sz w:val="30"/>
        </w:rPr>
        <w:t>目  录</w:t>
      </w:r>
    </w:p>
    <w:p>
      <w:pPr>
        <w:spacing w:after="60"/>
        <w:ind w:left="567"/>
      </w:pPr>
      <w:r>
        <w:rPr>
          <w:rFonts w:ascii="宋体" w:hAnsi="宋体" w:eastAsia="宋体"/>
          <w:sz w:val="24"/>
        </w:rPr>
        <w:t>第一章  编制依据</w:t>
      </w:r>
    </w:p>
    <w:p>
      <w:pPr>
        <w:spacing w:after="60"/>
        <w:ind w:left="567"/>
      </w:pPr>
      <w:r>
        <w:rPr>
          <w:rFonts w:ascii="宋体" w:hAnsi="宋体" w:eastAsia="宋体"/>
          <w:sz w:val="24"/>
        </w:rPr>
        <w:t>第二章  工程概况（示例工程）</w:t>
      </w:r>
    </w:p>
    <w:p>
      <w:pPr>
        <w:spacing w:after="60"/>
        <w:ind w:left="567"/>
      </w:pPr>
      <w:r>
        <w:rPr>
          <w:rFonts w:ascii="宋体" w:hAnsi="宋体" w:eastAsia="宋体"/>
          <w:sz w:val="24"/>
        </w:rPr>
        <w:t>第三章  评估范围、目的与程序</w:t>
      </w:r>
    </w:p>
    <w:p>
      <w:pPr>
        <w:spacing w:after="60"/>
        <w:ind w:left="567"/>
      </w:pPr>
      <w:r>
        <w:rPr>
          <w:rFonts w:ascii="宋体" w:hAnsi="宋体" w:eastAsia="宋体"/>
          <w:sz w:val="24"/>
        </w:rPr>
        <w:t>第四章  评估方法</w:t>
      </w:r>
    </w:p>
    <w:p>
      <w:pPr>
        <w:spacing w:after="60"/>
        <w:ind w:left="567"/>
      </w:pPr>
      <w:r>
        <w:rPr>
          <w:rFonts w:ascii="宋体" w:hAnsi="宋体" w:eastAsia="宋体"/>
          <w:sz w:val="24"/>
        </w:rPr>
        <w:t>第五章  施工安全风险辨识</w:t>
      </w:r>
    </w:p>
    <w:p>
      <w:pPr>
        <w:spacing w:after="60"/>
        <w:ind w:left="567"/>
      </w:pPr>
      <w:r>
        <w:rPr>
          <w:rFonts w:ascii="宋体" w:hAnsi="宋体" w:eastAsia="宋体"/>
          <w:sz w:val="24"/>
        </w:rPr>
        <w:t>第六章  总体风险评估（指标体系法 + 专家调查法）</w:t>
      </w:r>
    </w:p>
    <w:p>
      <w:pPr>
        <w:spacing w:after="60"/>
        <w:ind w:left="567"/>
      </w:pPr>
      <w:r>
        <w:rPr>
          <w:rFonts w:ascii="宋体" w:hAnsi="宋体" w:eastAsia="宋体"/>
          <w:sz w:val="24"/>
        </w:rPr>
        <w:t>第七章  专项风险评估（重大作业活动）</w:t>
      </w:r>
    </w:p>
    <w:p>
      <w:pPr>
        <w:spacing w:after="60"/>
        <w:ind w:left="567"/>
      </w:pPr>
      <w:r>
        <w:rPr>
          <w:rFonts w:ascii="宋体" w:hAnsi="宋体" w:eastAsia="宋体"/>
          <w:sz w:val="24"/>
        </w:rPr>
        <w:t>第八章  安全风险控制措施</w:t>
      </w:r>
    </w:p>
    <w:p>
      <w:pPr>
        <w:spacing w:after="60"/>
        <w:ind w:left="567"/>
      </w:pPr>
      <w:r>
        <w:rPr>
          <w:rFonts w:ascii="宋体" w:hAnsi="宋体" w:eastAsia="宋体"/>
          <w:sz w:val="24"/>
        </w:rPr>
        <w:t>第九章  风险评估结论</w:t>
      </w:r>
    </w:p>
    <w:p>
      <w:pPr>
        <w:spacing w:after="60"/>
        <w:ind w:left="567"/>
      </w:pPr>
      <w:r>
        <w:rPr>
          <w:rFonts w:ascii="宋体" w:hAnsi="宋体" w:eastAsia="宋体"/>
          <w:sz w:val="24"/>
        </w:rPr>
        <w:t>第十章  附录（风险清单、重大作业活动清单、评估小组）</w:t>
      </w:r>
    </w:p>
    <w:p>
      <w:r>
        <w:br w:type="page"/>
      </w:r>
    </w:p>
    <w:p>
      <w:pPr>
        <w:pStyle w:val="Heading1"/>
        <w:spacing w:before="200" w:after="80"/>
      </w:pPr>
      <w:r>
        <w:rPr>
          <w:rFonts w:ascii="黑体" w:hAnsi="黑体" w:eastAsia="黑体"/>
          <w:b/>
          <w:sz w:val="30"/>
        </w:rPr>
        <w:t>第一章  编制依据</w:t>
      </w:r>
    </w:p>
    <w:p>
      <w:pPr>
        <w:spacing w:line="348" w:lineRule="auto" w:after="80"/>
        <w:ind w:firstLine="440"/>
        <w:jc w:val="both"/>
      </w:pPr>
      <w:r>
        <w:rPr>
          <w:rFonts w:ascii="宋体" w:hAnsi="宋体" w:eastAsia="宋体"/>
          <w:b w:val="0"/>
          <w:sz w:val="22"/>
        </w:rPr>
        <w:t>本报告依据国家现行法律、行政法规、交通运输部规章与行业标准，以及江苏省/项目所在地相关规定编制。施工安全风险评估的核心标准 JT/T 1375.5—2022《公路水运工程施工安全风险评估指南 第5部分：港口工程》自 2022 年 4 月 13 日起实施，填补了港口工程施工安全风险评估行业标准的空白，是本报告的主要技术依据。</w:t>
      </w:r>
    </w:p>
    <w:p>
      <w:pPr>
        <w:pStyle w:val="Heading2"/>
        <w:spacing w:before="120" w:after="80"/>
      </w:pPr>
      <w:r>
        <w:rPr>
          <w:rFonts w:ascii="黑体" w:hAnsi="黑体" w:eastAsia="黑体"/>
          <w:b/>
          <w:sz w:val="26"/>
        </w:rPr>
        <w:t>1.1  主要法律、法规与规章</w:t>
      </w:r>
    </w:p>
    <w:tbl>
      <w:tblPr>
        <w:tblStyle w:val="TableGrid"/>
        <w:tblW w:type="auto" w:w="0"/>
        <w:jc w:val="center"/>
        <w:tblLook w:firstColumn="1" w:firstRow="1" w:lastColumn="0" w:lastRow="0" w:noHBand="0" w:noVBand="1" w:val="04A0"/>
      </w:tblPr>
      <w:tblGrid>
        <w:gridCol w:w="2239"/>
        <w:gridCol w:w="2239"/>
        <w:gridCol w:w="2239"/>
        <w:gridCol w:w="2239"/>
      </w:tblGrid>
      <w:tr>
        <w:trPr>
          <w:trHeight w:val="397"/>
        </w:trPr>
        <w:tc>
          <w:tcPr>
            <w:tcW w:type="dxa" w:w="567"/>
            <w:shd w:val="clear" w:color="auto" w:fill="1F4E79"/>
          </w:tcPr>
          <w:p>
            <w:r/>
            <w:r>
              <w:rPr>
                <w:rFonts w:ascii="微软雅黑" w:hAnsi="微软雅黑" w:eastAsia="微软雅黑"/>
                <w:b/>
                <w:color w:val="FFFFFF"/>
                <w:sz w:val="19"/>
              </w:rPr>
              <w:t>序号</w:t>
            </w:r>
          </w:p>
        </w:tc>
        <w:tc>
          <w:tcPr>
            <w:tcW w:type="dxa" w:w="4082"/>
            <w:shd w:val="clear" w:color="auto" w:fill="1F4E79"/>
          </w:tcPr>
          <w:p>
            <w:r/>
            <w:r>
              <w:rPr>
                <w:rFonts w:ascii="微软雅黑" w:hAnsi="微软雅黑" w:eastAsia="微软雅黑"/>
                <w:b/>
                <w:color w:val="FFFFFF"/>
                <w:sz w:val="19"/>
              </w:rPr>
              <w:t>文件名称</w:t>
            </w:r>
          </w:p>
        </w:tc>
        <w:tc>
          <w:tcPr>
            <w:tcW w:type="dxa" w:w="2608"/>
            <w:shd w:val="clear" w:color="auto" w:fill="1F4E79"/>
          </w:tcPr>
          <w:p>
            <w:r/>
            <w:r>
              <w:rPr>
                <w:rFonts w:ascii="微软雅黑" w:hAnsi="微软雅黑" w:eastAsia="微软雅黑"/>
                <w:b/>
                <w:color w:val="FFFFFF"/>
                <w:sz w:val="19"/>
              </w:rPr>
              <w:t>文号/标准号</w:t>
            </w:r>
          </w:p>
        </w:tc>
        <w:tc>
          <w:tcPr>
            <w:tcW w:type="dxa" w:w="1928"/>
            <w:shd w:val="clear" w:color="auto" w:fill="1F4E79"/>
          </w:tcPr>
          <w:p>
            <w:r/>
            <w:r>
              <w:rPr>
                <w:rFonts w:ascii="微软雅黑" w:hAnsi="微软雅黑" w:eastAsia="微软雅黑"/>
                <w:b/>
                <w:color w:val="FFFFFF"/>
                <w:sz w:val="19"/>
              </w:rPr>
              <w:t>施行（发布）日期</w:t>
            </w:r>
          </w:p>
        </w:tc>
      </w:tr>
      <w:tr>
        <w:trPr>
          <w:trHeight w:val="397"/>
        </w:trPr>
        <w:tc>
          <w:tcPr>
            <w:tcW w:type="dxa" w:w="567"/>
          </w:tcPr>
          <w:p>
            <w:r/>
            <w:r>
              <w:rPr>
                <w:rFonts w:ascii="宋体" w:hAnsi="宋体" w:eastAsia="宋体"/>
                <w:sz w:val="19"/>
              </w:rPr>
              <w:t>1</w:t>
            </w:r>
          </w:p>
        </w:tc>
        <w:tc>
          <w:tcPr>
            <w:tcW w:type="dxa" w:w="4082"/>
          </w:tcPr>
          <w:p>
            <w:r/>
            <w:r>
              <w:rPr>
                <w:rFonts w:ascii="宋体" w:hAnsi="宋体" w:eastAsia="宋体"/>
                <w:sz w:val="19"/>
              </w:rPr>
              <w:t>《中华人民共和国安全生产法》</w:t>
            </w:r>
          </w:p>
        </w:tc>
        <w:tc>
          <w:tcPr>
            <w:tcW w:type="dxa" w:w="2608"/>
          </w:tcPr>
          <w:p>
            <w:r/>
            <w:r>
              <w:rPr>
                <w:rFonts w:ascii="宋体" w:hAnsi="宋体" w:eastAsia="宋体"/>
                <w:sz w:val="19"/>
              </w:rPr>
              <w:t>2021年修正</w:t>
            </w:r>
          </w:p>
        </w:tc>
        <w:tc>
          <w:tcPr>
            <w:tcW w:type="dxa" w:w="1928"/>
          </w:tcPr>
          <w:p>
            <w:r/>
            <w:r>
              <w:rPr>
                <w:rFonts w:ascii="宋体" w:hAnsi="宋体" w:eastAsia="宋体"/>
                <w:sz w:val="19"/>
              </w:rPr>
              <w:t>2021-09-01</w:t>
            </w:r>
          </w:p>
        </w:tc>
      </w:tr>
      <w:tr>
        <w:trPr>
          <w:trHeight w:val="397"/>
        </w:trPr>
        <w:tc>
          <w:tcPr>
            <w:tcW w:type="dxa" w:w="567"/>
            <w:shd w:val="clear" w:color="auto" w:fill="F2F2F2"/>
          </w:tcPr>
          <w:p>
            <w:r/>
            <w:r>
              <w:rPr>
                <w:rFonts w:ascii="宋体" w:hAnsi="宋体" w:eastAsia="宋体"/>
                <w:sz w:val="19"/>
              </w:rPr>
              <w:t>2</w:t>
            </w:r>
          </w:p>
        </w:tc>
        <w:tc>
          <w:tcPr>
            <w:tcW w:type="dxa" w:w="4082"/>
            <w:shd w:val="clear" w:color="auto" w:fill="F2F2F2"/>
          </w:tcPr>
          <w:p>
            <w:r/>
            <w:r>
              <w:rPr>
                <w:rFonts w:ascii="宋体" w:hAnsi="宋体" w:eastAsia="宋体"/>
                <w:sz w:val="19"/>
              </w:rPr>
              <w:t>《建设工程安全生产管理条例》</w:t>
            </w:r>
          </w:p>
        </w:tc>
        <w:tc>
          <w:tcPr>
            <w:tcW w:type="dxa" w:w="2608"/>
            <w:shd w:val="clear" w:color="auto" w:fill="F2F2F2"/>
          </w:tcPr>
          <w:p>
            <w:r/>
            <w:r>
              <w:rPr>
                <w:rFonts w:ascii="宋体" w:hAnsi="宋体" w:eastAsia="宋体"/>
                <w:sz w:val="19"/>
              </w:rPr>
              <w:t>国务院令第393号</w:t>
            </w:r>
          </w:p>
        </w:tc>
        <w:tc>
          <w:tcPr>
            <w:tcW w:type="dxa" w:w="1928"/>
            <w:shd w:val="clear" w:color="auto" w:fill="F2F2F2"/>
          </w:tcPr>
          <w:p>
            <w:r/>
            <w:r>
              <w:rPr>
                <w:rFonts w:ascii="宋体" w:hAnsi="宋体" w:eastAsia="宋体"/>
                <w:sz w:val="19"/>
              </w:rPr>
              <w:t>2004-02-01</w:t>
            </w:r>
          </w:p>
        </w:tc>
      </w:tr>
      <w:tr>
        <w:trPr>
          <w:trHeight w:val="397"/>
        </w:trPr>
        <w:tc>
          <w:tcPr>
            <w:tcW w:type="dxa" w:w="567"/>
          </w:tcPr>
          <w:p>
            <w:r/>
            <w:r>
              <w:rPr>
                <w:rFonts w:ascii="宋体" w:hAnsi="宋体" w:eastAsia="宋体"/>
                <w:sz w:val="19"/>
              </w:rPr>
              <w:t>3</w:t>
            </w:r>
          </w:p>
        </w:tc>
        <w:tc>
          <w:tcPr>
            <w:tcW w:type="dxa" w:w="4082"/>
          </w:tcPr>
          <w:p>
            <w:r/>
            <w:r>
              <w:rPr>
                <w:rFonts w:ascii="宋体" w:hAnsi="宋体" w:eastAsia="宋体"/>
                <w:sz w:val="19"/>
              </w:rPr>
              <w:t>《公路水运工程安全生产监督管理办法》</w:t>
            </w:r>
          </w:p>
        </w:tc>
        <w:tc>
          <w:tcPr>
            <w:tcW w:type="dxa" w:w="2608"/>
          </w:tcPr>
          <w:p>
            <w:r/>
            <w:r>
              <w:rPr>
                <w:rFonts w:ascii="宋体" w:hAnsi="宋体" w:eastAsia="宋体"/>
                <w:sz w:val="19"/>
              </w:rPr>
              <w:t>交通运输部令2017年第25号</w:t>
            </w:r>
          </w:p>
        </w:tc>
        <w:tc>
          <w:tcPr>
            <w:tcW w:type="dxa" w:w="1928"/>
          </w:tcPr>
          <w:p>
            <w:r/>
            <w:r>
              <w:rPr>
                <w:rFonts w:ascii="宋体" w:hAnsi="宋体" w:eastAsia="宋体"/>
                <w:sz w:val="19"/>
              </w:rPr>
              <w:t>2017-08-01</w:t>
            </w:r>
          </w:p>
        </w:tc>
      </w:tr>
      <w:tr>
        <w:trPr>
          <w:trHeight w:val="397"/>
        </w:trPr>
        <w:tc>
          <w:tcPr>
            <w:tcW w:type="dxa" w:w="567"/>
            <w:shd w:val="clear" w:color="auto" w:fill="F2F2F2"/>
          </w:tcPr>
          <w:p>
            <w:r/>
            <w:r>
              <w:rPr>
                <w:rFonts w:ascii="宋体" w:hAnsi="宋体" w:eastAsia="宋体"/>
                <w:sz w:val="19"/>
              </w:rPr>
              <w:t>4</w:t>
            </w:r>
          </w:p>
        </w:tc>
        <w:tc>
          <w:tcPr>
            <w:tcW w:type="dxa" w:w="4082"/>
            <w:shd w:val="clear" w:color="auto" w:fill="F2F2F2"/>
          </w:tcPr>
          <w:p>
            <w:r/>
            <w:r>
              <w:rPr>
                <w:rFonts w:ascii="宋体" w:hAnsi="宋体" w:eastAsia="宋体"/>
                <w:sz w:val="19"/>
              </w:rPr>
              <w:t>《公路水路行业安全生产风险管理暂行办法》</w:t>
            </w:r>
          </w:p>
        </w:tc>
        <w:tc>
          <w:tcPr>
            <w:tcW w:type="dxa" w:w="2608"/>
            <w:shd w:val="clear" w:color="auto" w:fill="F2F2F2"/>
          </w:tcPr>
          <w:p>
            <w:r/>
            <w:r>
              <w:rPr>
                <w:rFonts w:ascii="宋体" w:hAnsi="宋体" w:eastAsia="宋体"/>
                <w:sz w:val="19"/>
              </w:rPr>
              <w:t>交安监发〔2017〕60号</w:t>
            </w:r>
          </w:p>
        </w:tc>
        <w:tc>
          <w:tcPr>
            <w:tcW w:type="dxa" w:w="1928"/>
            <w:shd w:val="clear" w:color="auto" w:fill="F2F2F2"/>
          </w:tcPr>
          <w:p>
            <w:r/>
            <w:r>
              <w:rPr>
                <w:rFonts w:ascii="宋体" w:hAnsi="宋体" w:eastAsia="宋体"/>
                <w:sz w:val="19"/>
              </w:rPr>
              <w:t>2017</w:t>
            </w:r>
          </w:p>
        </w:tc>
      </w:tr>
      <w:tr>
        <w:trPr>
          <w:trHeight w:val="397"/>
        </w:trPr>
        <w:tc>
          <w:tcPr>
            <w:tcW w:type="dxa" w:w="567"/>
          </w:tcPr>
          <w:p>
            <w:r/>
            <w:r>
              <w:rPr>
                <w:rFonts w:ascii="宋体" w:hAnsi="宋体" w:eastAsia="宋体"/>
                <w:sz w:val="19"/>
              </w:rPr>
              <w:t>5</w:t>
            </w:r>
          </w:p>
        </w:tc>
        <w:tc>
          <w:tcPr>
            <w:tcW w:type="dxa" w:w="4082"/>
          </w:tcPr>
          <w:p>
            <w:r/>
            <w:r>
              <w:rPr>
                <w:rFonts w:ascii="宋体" w:hAnsi="宋体" w:eastAsia="宋体"/>
                <w:sz w:val="19"/>
              </w:rPr>
              <w:t>《交通运输部关于发布港口工程施工安全风险评估指南（沿海码头、护岸及防波堤分册）的通知》</w:t>
            </w:r>
          </w:p>
        </w:tc>
        <w:tc>
          <w:tcPr>
            <w:tcW w:type="dxa" w:w="2608"/>
          </w:tcPr>
          <w:p>
            <w:r/>
            <w:r>
              <w:rPr>
                <w:rFonts w:ascii="宋体" w:hAnsi="宋体" w:eastAsia="宋体"/>
                <w:sz w:val="19"/>
              </w:rPr>
              <w:t>交安监发〔2017〕140号</w:t>
            </w:r>
          </w:p>
        </w:tc>
        <w:tc>
          <w:tcPr>
            <w:tcW w:type="dxa" w:w="1928"/>
          </w:tcPr>
          <w:p>
            <w:r/>
            <w:r>
              <w:rPr>
                <w:rFonts w:ascii="宋体" w:hAnsi="宋体" w:eastAsia="宋体"/>
                <w:sz w:val="19"/>
              </w:rPr>
              <w:t>2017（2017-11-01后新开工沿海港口工程应开展）</w:t>
            </w:r>
          </w:p>
        </w:tc>
      </w:tr>
      <w:tr>
        <w:trPr>
          <w:trHeight w:val="397"/>
        </w:trPr>
        <w:tc>
          <w:tcPr>
            <w:tcW w:type="dxa" w:w="567"/>
            <w:shd w:val="clear" w:color="auto" w:fill="F2F2F2"/>
          </w:tcPr>
          <w:p>
            <w:r/>
            <w:r>
              <w:rPr>
                <w:rFonts w:ascii="宋体" w:hAnsi="宋体" w:eastAsia="宋体"/>
                <w:sz w:val="19"/>
              </w:rPr>
              <w:t>6</w:t>
            </w:r>
          </w:p>
        </w:tc>
        <w:tc>
          <w:tcPr>
            <w:tcW w:type="dxa" w:w="4082"/>
            <w:shd w:val="clear" w:color="auto" w:fill="F2F2F2"/>
          </w:tcPr>
          <w:p>
            <w:r/>
            <w:r>
              <w:rPr>
                <w:rFonts w:ascii="宋体" w:hAnsi="宋体" w:eastAsia="宋体"/>
                <w:sz w:val="19"/>
              </w:rPr>
              <w:t>《危险性较大的分部分项工程安全管理规定》</w:t>
            </w:r>
          </w:p>
        </w:tc>
        <w:tc>
          <w:tcPr>
            <w:tcW w:type="dxa" w:w="2608"/>
            <w:shd w:val="clear" w:color="auto" w:fill="F2F2F2"/>
          </w:tcPr>
          <w:p>
            <w:r/>
            <w:r>
              <w:rPr>
                <w:rFonts w:ascii="宋体" w:hAnsi="宋体" w:eastAsia="宋体"/>
                <w:sz w:val="19"/>
              </w:rPr>
              <w:t>住建部令第37号</w:t>
            </w:r>
          </w:p>
        </w:tc>
        <w:tc>
          <w:tcPr>
            <w:tcW w:type="dxa" w:w="1928"/>
            <w:shd w:val="clear" w:color="auto" w:fill="F2F2F2"/>
          </w:tcPr>
          <w:p>
            <w:r/>
            <w:r>
              <w:rPr>
                <w:rFonts w:ascii="宋体" w:hAnsi="宋体" w:eastAsia="宋体"/>
                <w:sz w:val="19"/>
              </w:rPr>
              <w:t>2018-06-01</w:t>
            </w:r>
          </w:p>
        </w:tc>
      </w:tr>
      <w:tr>
        <w:trPr>
          <w:trHeight w:val="397"/>
        </w:trPr>
        <w:tc>
          <w:tcPr>
            <w:tcW w:type="dxa" w:w="567"/>
          </w:tcPr>
          <w:p>
            <w:r/>
            <w:r>
              <w:rPr>
                <w:rFonts w:ascii="宋体" w:hAnsi="宋体" w:eastAsia="宋体"/>
                <w:sz w:val="19"/>
              </w:rPr>
              <w:t>7</w:t>
            </w:r>
          </w:p>
        </w:tc>
        <w:tc>
          <w:tcPr>
            <w:tcW w:type="dxa" w:w="4082"/>
          </w:tcPr>
          <w:p>
            <w:r/>
            <w:r>
              <w:rPr>
                <w:rFonts w:ascii="宋体" w:hAnsi="宋体" w:eastAsia="宋体"/>
                <w:sz w:val="19"/>
              </w:rPr>
              <w:t>《中华人民共和国水上水下作业和活动通航安全管理规定》</w:t>
            </w:r>
          </w:p>
        </w:tc>
        <w:tc>
          <w:tcPr>
            <w:tcW w:type="dxa" w:w="2608"/>
          </w:tcPr>
          <w:p>
            <w:r/>
            <w:r>
              <w:rPr>
                <w:rFonts w:ascii="宋体" w:hAnsi="宋体" w:eastAsia="宋体"/>
                <w:sz w:val="19"/>
              </w:rPr>
              <w:t>交通运输部令2021年第24号</w:t>
            </w:r>
          </w:p>
        </w:tc>
        <w:tc>
          <w:tcPr>
            <w:tcW w:type="dxa" w:w="1928"/>
          </w:tcPr>
          <w:p>
            <w:r/>
            <w:r>
              <w:rPr>
                <w:rFonts w:ascii="宋体" w:hAnsi="宋体" w:eastAsia="宋体"/>
                <w:sz w:val="19"/>
              </w:rPr>
              <w:t>2021-09-01</w:t>
            </w:r>
          </w:p>
        </w:tc>
      </w:tr>
      <w:tr>
        <w:trPr>
          <w:trHeight w:val="397"/>
        </w:trPr>
        <w:tc>
          <w:tcPr>
            <w:tcW w:type="dxa" w:w="567"/>
            <w:shd w:val="clear" w:color="auto" w:fill="F2F2F2"/>
          </w:tcPr>
          <w:p>
            <w:r/>
            <w:r>
              <w:rPr>
                <w:rFonts w:ascii="宋体" w:hAnsi="宋体" w:eastAsia="宋体"/>
                <w:sz w:val="19"/>
              </w:rPr>
              <w:t>8</w:t>
            </w:r>
          </w:p>
        </w:tc>
        <w:tc>
          <w:tcPr>
            <w:tcW w:type="dxa" w:w="4082"/>
            <w:shd w:val="clear" w:color="auto" w:fill="F2F2F2"/>
          </w:tcPr>
          <w:p>
            <w:r/>
            <w:r>
              <w:rPr>
                <w:rFonts w:ascii="宋体" w:hAnsi="宋体" w:eastAsia="宋体"/>
                <w:sz w:val="19"/>
              </w:rPr>
              <w:t>《公路水运工程生产安全重大事故隐患判定标准》</w:t>
            </w:r>
          </w:p>
        </w:tc>
        <w:tc>
          <w:tcPr>
            <w:tcW w:type="dxa" w:w="2608"/>
            <w:shd w:val="clear" w:color="auto" w:fill="F2F2F2"/>
          </w:tcPr>
          <w:p>
            <w:r/>
            <w:r>
              <w:rPr>
                <w:rFonts w:ascii="宋体" w:hAnsi="宋体" w:eastAsia="宋体"/>
                <w:sz w:val="19"/>
              </w:rPr>
              <w:t>交办安监〔2025〕28号</w:t>
            </w:r>
          </w:p>
        </w:tc>
        <w:tc>
          <w:tcPr>
            <w:tcW w:type="dxa" w:w="1928"/>
            <w:shd w:val="clear" w:color="auto" w:fill="F2F2F2"/>
          </w:tcPr>
          <w:p>
            <w:r/>
            <w:r>
              <w:rPr>
                <w:rFonts w:ascii="宋体" w:hAnsi="宋体" w:eastAsia="宋体"/>
                <w:sz w:val="19"/>
              </w:rPr>
              <w:t>2025</w:t>
            </w:r>
          </w:p>
        </w:tc>
      </w:tr>
      <w:tr>
        <w:trPr>
          <w:trHeight w:val="397"/>
        </w:trPr>
        <w:tc>
          <w:tcPr>
            <w:tcW w:type="dxa" w:w="567"/>
          </w:tcPr>
          <w:p>
            <w:r/>
            <w:r>
              <w:rPr>
                <w:rFonts w:ascii="宋体" w:hAnsi="宋体" w:eastAsia="宋体"/>
                <w:sz w:val="19"/>
              </w:rPr>
              <w:t>9</w:t>
            </w:r>
          </w:p>
        </w:tc>
        <w:tc>
          <w:tcPr>
            <w:tcW w:type="dxa" w:w="4082"/>
          </w:tcPr>
          <w:p>
            <w:r/>
            <w:r>
              <w:rPr>
                <w:rFonts w:ascii="宋体" w:hAnsi="宋体" w:eastAsia="宋体"/>
                <w:sz w:val="19"/>
              </w:rPr>
              <w:t>《公路水运工程平安工地建设管理办法》</w:t>
            </w:r>
          </w:p>
        </w:tc>
        <w:tc>
          <w:tcPr>
            <w:tcW w:type="dxa" w:w="2608"/>
          </w:tcPr>
          <w:p>
            <w:r/>
            <w:r>
              <w:rPr>
                <w:rFonts w:ascii="宋体" w:hAnsi="宋体" w:eastAsia="宋体"/>
                <w:sz w:val="19"/>
              </w:rPr>
              <w:t>交安监发〔2018〕43号</w:t>
            </w:r>
          </w:p>
        </w:tc>
        <w:tc>
          <w:tcPr>
            <w:tcW w:type="dxa" w:w="1928"/>
          </w:tcPr>
          <w:p>
            <w:r/>
            <w:r>
              <w:rPr>
                <w:rFonts w:ascii="宋体" w:hAnsi="宋体" w:eastAsia="宋体"/>
                <w:sz w:val="19"/>
              </w:rPr>
              <w:t>2018</w:t>
            </w:r>
          </w:p>
        </w:tc>
      </w:tr>
    </w:tbl>
    <w:p>
      <w:pPr>
        <w:spacing w:after="40"/>
      </w:pPr>
    </w:p>
    <w:p>
      <w:pPr>
        <w:pStyle w:val="Heading2"/>
        <w:spacing w:before="120" w:after="80"/>
      </w:pPr>
      <w:r>
        <w:rPr>
          <w:rFonts w:ascii="黑体" w:hAnsi="黑体" w:eastAsia="黑体"/>
          <w:b/>
          <w:sz w:val="26"/>
        </w:rPr>
        <w:t>1.2  主要标准与技术规范</w:t>
      </w:r>
    </w:p>
    <w:tbl>
      <w:tblPr>
        <w:tblStyle w:val="TableGrid"/>
        <w:tblW w:type="auto" w:w="0"/>
        <w:jc w:val="center"/>
        <w:tblLook w:firstColumn="1" w:firstRow="1" w:lastColumn="0" w:lastRow="0" w:noHBand="0" w:noVBand="1" w:val="04A0"/>
      </w:tblPr>
      <w:tblGrid>
        <w:gridCol w:w="2239"/>
        <w:gridCol w:w="2239"/>
        <w:gridCol w:w="2239"/>
        <w:gridCol w:w="2239"/>
      </w:tblGrid>
      <w:tr>
        <w:trPr>
          <w:trHeight w:val="397"/>
        </w:trPr>
        <w:tc>
          <w:tcPr>
            <w:tcW w:type="dxa" w:w="567"/>
            <w:shd w:val="clear" w:color="auto" w:fill="1F4E79"/>
          </w:tcPr>
          <w:p>
            <w:r/>
            <w:r>
              <w:rPr>
                <w:rFonts w:ascii="微软雅黑" w:hAnsi="微软雅黑" w:eastAsia="微软雅黑"/>
                <w:b/>
                <w:color w:val="FFFFFF"/>
                <w:sz w:val="19"/>
              </w:rPr>
              <w:t>序号</w:t>
            </w:r>
          </w:p>
        </w:tc>
        <w:tc>
          <w:tcPr>
            <w:tcW w:type="dxa" w:w="3969"/>
            <w:shd w:val="clear" w:color="auto" w:fill="1F4E79"/>
          </w:tcPr>
          <w:p>
            <w:r/>
            <w:r>
              <w:rPr>
                <w:rFonts w:ascii="微软雅黑" w:hAnsi="微软雅黑" w:eastAsia="微软雅黑"/>
                <w:b/>
                <w:color w:val="FFFFFF"/>
                <w:sz w:val="19"/>
              </w:rPr>
              <w:t>标准名称</w:t>
            </w:r>
          </w:p>
        </w:tc>
        <w:tc>
          <w:tcPr>
            <w:tcW w:type="dxa" w:w="2268"/>
            <w:shd w:val="clear" w:color="auto" w:fill="1F4E79"/>
          </w:tcPr>
          <w:p>
            <w:r/>
            <w:r>
              <w:rPr>
                <w:rFonts w:ascii="微软雅黑" w:hAnsi="微软雅黑" w:eastAsia="微软雅黑"/>
                <w:b/>
                <w:color w:val="FFFFFF"/>
                <w:sz w:val="19"/>
              </w:rPr>
              <w:t>标准号</w:t>
            </w:r>
          </w:p>
        </w:tc>
        <w:tc>
          <w:tcPr>
            <w:tcW w:type="dxa" w:w="1814"/>
            <w:shd w:val="clear" w:color="auto" w:fill="1F4E79"/>
          </w:tcPr>
          <w:p>
            <w:r/>
            <w:r>
              <w:rPr>
                <w:rFonts w:ascii="微软雅黑" w:hAnsi="微软雅黑" w:eastAsia="微软雅黑"/>
                <w:b/>
                <w:color w:val="FFFFFF"/>
                <w:sz w:val="19"/>
              </w:rPr>
              <w:t>状态/施行</w:t>
            </w:r>
          </w:p>
        </w:tc>
      </w:tr>
      <w:tr>
        <w:trPr>
          <w:trHeight w:val="397"/>
        </w:trPr>
        <w:tc>
          <w:tcPr>
            <w:tcW w:type="dxa" w:w="567"/>
          </w:tcPr>
          <w:p>
            <w:r/>
            <w:r>
              <w:rPr>
                <w:rFonts w:ascii="宋体" w:hAnsi="宋体" w:eastAsia="宋体"/>
                <w:sz w:val="19"/>
              </w:rPr>
              <w:t>1</w:t>
            </w:r>
          </w:p>
        </w:tc>
        <w:tc>
          <w:tcPr>
            <w:tcW w:type="dxa" w:w="3969"/>
          </w:tcPr>
          <w:p>
            <w:r/>
            <w:r>
              <w:rPr>
                <w:rFonts w:ascii="宋体" w:hAnsi="宋体" w:eastAsia="宋体"/>
                <w:sz w:val="19"/>
              </w:rPr>
              <w:t>公路水运工程施工安全风险评估指南 第1部分：总体要求</w:t>
            </w:r>
          </w:p>
        </w:tc>
        <w:tc>
          <w:tcPr>
            <w:tcW w:type="dxa" w:w="2268"/>
          </w:tcPr>
          <w:p>
            <w:r/>
            <w:r>
              <w:rPr>
                <w:rFonts w:ascii="宋体" w:hAnsi="宋体" w:eastAsia="宋体"/>
                <w:sz w:val="19"/>
              </w:rPr>
              <w:t>JT/T 1375.1—2022</w:t>
            </w:r>
          </w:p>
        </w:tc>
        <w:tc>
          <w:tcPr>
            <w:tcW w:type="dxa" w:w="1814"/>
          </w:tcPr>
          <w:p>
            <w:r/>
            <w:r>
              <w:rPr>
                <w:rFonts w:ascii="宋体" w:hAnsi="宋体" w:eastAsia="宋体"/>
                <w:sz w:val="19"/>
              </w:rPr>
              <w:t>2022-04-13</w:t>
            </w:r>
          </w:p>
        </w:tc>
      </w:tr>
      <w:tr>
        <w:trPr>
          <w:trHeight w:val="397"/>
        </w:trPr>
        <w:tc>
          <w:tcPr>
            <w:tcW w:type="dxa" w:w="567"/>
            <w:shd w:val="clear" w:color="auto" w:fill="F2F2F2"/>
          </w:tcPr>
          <w:p>
            <w:r/>
            <w:r>
              <w:rPr>
                <w:rFonts w:ascii="宋体" w:hAnsi="宋体" w:eastAsia="宋体"/>
                <w:sz w:val="19"/>
              </w:rPr>
              <w:t>2</w:t>
            </w:r>
          </w:p>
        </w:tc>
        <w:tc>
          <w:tcPr>
            <w:tcW w:type="dxa" w:w="3969"/>
            <w:shd w:val="clear" w:color="auto" w:fill="F2F2F2"/>
          </w:tcPr>
          <w:p>
            <w:r/>
            <w:r>
              <w:rPr>
                <w:rFonts w:ascii="宋体" w:hAnsi="宋体" w:eastAsia="宋体"/>
                <w:sz w:val="19"/>
              </w:rPr>
              <w:t>公路水运工程施工安全风险评估指南 第5部分：港口工程</w:t>
            </w:r>
          </w:p>
        </w:tc>
        <w:tc>
          <w:tcPr>
            <w:tcW w:type="dxa" w:w="2268"/>
            <w:shd w:val="clear" w:color="auto" w:fill="F2F2F2"/>
          </w:tcPr>
          <w:p>
            <w:r/>
            <w:r>
              <w:rPr>
                <w:rFonts w:ascii="宋体" w:hAnsi="宋体" w:eastAsia="宋体"/>
                <w:sz w:val="19"/>
              </w:rPr>
              <w:t>JT/T 1375.5—2022</w:t>
            </w:r>
          </w:p>
        </w:tc>
        <w:tc>
          <w:tcPr>
            <w:tcW w:type="dxa" w:w="1814"/>
            <w:shd w:val="clear" w:color="auto" w:fill="F2F2F2"/>
          </w:tcPr>
          <w:p>
            <w:r/>
            <w:r>
              <w:rPr>
                <w:rFonts w:ascii="宋体" w:hAnsi="宋体" w:eastAsia="宋体"/>
                <w:sz w:val="19"/>
              </w:rPr>
              <w:t>2022-04-13</w:t>
            </w:r>
          </w:p>
        </w:tc>
      </w:tr>
      <w:tr>
        <w:trPr>
          <w:trHeight w:val="397"/>
        </w:trPr>
        <w:tc>
          <w:tcPr>
            <w:tcW w:type="dxa" w:w="567"/>
          </w:tcPr>
          <w:p>
            <w:r/>
            <w:r>
              <w:rPr>
                <w:rFonts w:ascii="宋体" w:hAnsi="宋体" w:eastAsia="宋体"/>
                <w:sz w:val="19"/>
              </w:rPr>
              <w:t>3</w:t>
            </w:r>
          </w:p>
        </w:tc>
        <w:tc>
          <w:tcPr>
            <w:tcW w:type="dxa" w:w="3969"/>
          </w:tcPr>
          <w:p>
            <w:r/>
            <w:r>
              <w:rPr>
                <w:rFonts w:ascii="宋体" w:hAnsi="宋体" w:eastAsia="宋体"/>
                <w:sz w:val="19"/>
              </w:rPr>
              <w:t>水运工程施工安全防护技术规范</w:t>
            </w:r>
          </w:p>
        </w:tc>
        <w:tc>
          <w:tcPr>
            <w:tcW w:type="dxa" w:w="2268"/>
          </w:tcPr>
          <w:p>
            <w:r/>
            <w:r>
              <w:rPr>
                <w:rFonts w:ascii="宋体" w:hAnsi="宋体" w:eastAsia="宋体"/>
                <w:sz w:val="19"/>
              </w:rPr>
              <w:t>JTS 205-1—2008</w:t>
            </w:r>
          </w:p>
        </w:tc>
        <w:tc>
          <w:tcPr>
            <w:tcW w:type="dxa" w:w="1814"/>
          </w:tcPr>
          <w:p>
            <w:r/>
            <w:r>
              <w:rPr>
                <w:rFonts w:ascii="宋体" w:hAnsi="宋体" w:eastAsia="宋体"/>
                <w:sz w:val="19"/>
              </w:rPr>
              <w:t>2009-01-01（现行）</w:t>
            </w:r>
          </w:p>
        </w:tc>
      </w:tr>
      <w:tr>
        <w:trPr>
          <w:trHeight w:val="397"/>
        </w:trPr>
        <w:tc>
          <w:tcPr>
            <w:tcW w:type="dxa" w:w="567"/>
            <w:shd w:val="clear" w:color="auto" w:fill="F2F2F2"/>
          </w:tcPr>
          <w:p>
            <w:r/>
            <w:r>
              <w:rPr>
                <w:rFonts w:ascii="宋体" w:hAnsi="宋体" w:eastAsia="宋体"/>
                <w:sz w:val="19"/>
              </w:rPr>
              <w:t>4</w:t>
            </w:r>
          </w:p>
        </w:tc>
        <w:tc>
          <w:tcPr>
            <w:tcW w:type="dxa" w:w="3969"/>
            <w:shd w:val="clear" w:color="auto" w:fill="F2F2F2"/>
          </w:tcPr>
          <w:p>
            <w:r/>
            <w:r>
              <w:rPr>
                <w:rFonts w:ascii="宋体" w:hAnsi="宋体" w:eastAsia="宋体"/>
                <w:sz w:val="19"/>
              </w:rPr>
              <w:t>风险管理 风险评估技术</w:t>
            </w:r>
          </w:p>
        </w:tc>
        <w:tc>
          <w:tcPr>
            <w:tcW w:type="dxa" w:w="2268"/>
            <w:shd w:val="clear" w:color="auto" w:fill="F2F2F2"/>
          </w:tcPr>
          <w:p>
            <w:r/>
            <w:r>
              <w:rPr>
                <w:rFonts w:ascii="宋体" w:hAnsi="宋体" w:eastAsia="宋体"/>
                <w:sz w:val="19"/>
              </w:rPr>
              <w:t>GB/T 27921—2023</w:t>
            </w:r>
          </w:p>
        </w:tc>
        <w:tc>
          <w:tcPr>
            <w:tcW w:type="dxa" w:w="1814"/>
            <w:shd w:val="clear" w:color="auto" w:fill="F2F2F2"/>
          </w:tcPr>
          <w:p>
            <w:r/>
            <w:r>
              <w:rPr>
                <w:rFonts w:ascii="宋体" w:hAnsi="宋体" w:eastAsia="宋体"/>
                <w:sz w:val="19"/>
              </w:rPr>
              <w:t>2023-08-06（代替2011版）</w:t>
            </w:r>
          </w:p>
        </w:tc>
      </w:tr>
      <w:tr>
        <w:trPr>
          <w:trHeight w:val="397"/>
        </w:trPr>
        <w:tc>
          <w:tcPr>
            <w:tcW w:type="dxa" w:w="567"/>
          </w:tcPr>
          <w:p>
            <w:r/>
            <w:r>
              <w:rPr>
                <w:rFonts w:ascii="宋体" w:hAnsi="宋体" w:eastAsia="宋体"/>
                <w:sz w:val="19"/>
              </w:rPr>
              <w:t>5</w:t>
            </w:r>
          </w:p>
        </w:tc>
        <w:tc>
          <w:tcPr>
            <w:tcW w:type="dxa" w:w="3969"/>
          </w:tcPr>
          <w:p>
            <w:r/>
            <w:r>
              <w:rPr>
                <w:rFonts w:ascii="宋体" w:hAnsi="宋体" w:eastAsia="宋体"/>
                <w:sz w:val="19"/>
              </w:rPr>
              <w:t>风险管理 术语</w:t>
            </w:r>
          </w:p>
        </w:tc>
        <w:tc>
          <w:tcPr>
            <w:tcW w:type="dxa" w:w="2268"/>
          </w:tcPr>
          <w:p>
            <w:r/>
            <w:r>
              <w:rPr>
                <w:rFonts w:ascii="宋体" w:hAnsi="宋体" w:eastAsia="宋体"/>
                <w:sz w:val="19"/>
              </w:rPr>
              <w:t>GB/T 23694—2013</w:t>
            </w:r>
          </w:p>
        </w:tc>
        <w:tc>
          <w:tcPr>
            <w:tcW w:type="dxa" w:w="1814"/>
          </w:tcPr>
          <w:p>
            <w:r/>
            <w:r>
              <w:rPr>
                <w:rFonts w:ascii="宋体" w:hAnsi="宋体" w:eastAsia="宋体"/>
                <w:sz w:val="19"/>
              </w:rPr>
              <w:t>现行</w:t>
            </w:r>
          </w:p>
        </w:tc>
      </w:tr>
      <w:tr>
        <w:trPr>
          <w:trHeight w:val="397"/>
        </w:trPr>
        <w:tc>
          <w:tcPr>
            <w:tcW w:type="dxa" w:w="567"/>
            <w:shd w:val="clear" w:color="auto" w:fill="F2F2F2"/>
          </w:tcPr>
          <w:p>
            <w:r/>
            <w:r>
              <w:rPr>
                <w:rFonts w:ascii="宋体" w:hAnsi="宋体" w:eastAsia="宋体"/>
                <w:sz w:val="19"/>
              </w:rPr>
              <w:t>6</w:t>
            </w:r>
          </w:p>
        </w:tc>
        <w:tc>
          <w:tcPr>
            <w:tcW w:type="dxa" w:w="3969"/>
            <w:shd w:val="clear" w:color="auto" w:fill="F2F2F2"/>
          </w:tcPr>
          <w:p>
            <w:r/>
            <w:r>
              <w:rPr>
                <w:rFonts w:ascii="宋体" w:hAnsi="宋体" w:eastAsia="宋体"/>
                <w:sz w:val="19"/>
              </w:rPr>
              <w:t>公路水运危险性较大工程专项施工方案编制审查规程</w:t>
            </w:r>
          </w:p>
        </w:tc>
        <w:tc>
          <w:tcPr>
            <w:tcW w:type="dxa" w:w="2268"/>
            <w:shd w:val="clear" w:color="auto" w:fill="F2F2F2"/>
          </w:tcPr>
          <w:p>
            <w:r/>
            <w:r>
              <w:rPr>
                <w:rFonts w:ascii="宋体" w:hAnsi="宋体" w:eastAsia="宋体"/>
                <w:sz w:val="19"/>
              </w:rPr>
              <w:t>JT/T 1495—2024</w:t>
            </w:r>
          </w:p>
        </w:tc>
        <w:tc>
          <w:tcPr>
            <w:tcW w:type="dxa" w:w="1814"/>
            <w:shd w:val="clear" w:color="auto" w:fill="F2F2F2"/>
          </w:tcPr>
          <w:p>
            <w:r/>
            <w:r>
              <w:rPr>
                <w:rFonts w:ascii="宋体" w:hAnsi="宋体" w:eastAsia="宋体"/>
                <w:sz w:val="19"/>
              </w:rPr>
              <w:t>2024-07-01</w:t>
            </w:r>
          </w:p>
        </w:tc>
      </w:tr>
      <w:tr>
        <w:trPr>
          <w:trHeight w:val="397"/>
        </w:trPr>
        <w:tc>
          <w:tcPr>
            <w:tcW w:type="dxa" w:w="567"/>
          </w:tcPr>
          <w:p>
            <w:r/>
            <w:r>
              <w:rPr>
                <w:rFonts w:ascii="宋体" w:hAnsi="宋体" w:eastAsia="宋体"/>
                <w:sz w:val="19"/>
              </w:rPr>
              <w:t>7</w:t>
            </w:r>
          </w:p>
        </w:tc>
        <w:tc>
          <w:tcPr>
            <w:tcW w:type="dxa" w:w="3969"/>
          </w:tcPr>
          <w:p>
            <w:r/>
            <w:r>
              <w:rPr>
                <w:rFonts w:ascii="宋体" w:hAnsi="宋体" w:eastAsia="宋体"/>
                <w:sz w:val="19"/>
              </w:rPr>
              <w:t>爆破安全规程</w:t>
            </w:r>
          </w:p>
        </w:tc>
        <w:tc>
          <w:tcPr>
            <w:tcW w:type="dxa" w:w="2268"/>
          </w:tcPr>
          <w:p>
            <w:r/>
            <w:r>
              <w:rPr>
                <w:rFonts w:ascii="宋体" w:hAnsi="宋体" w:eastAsia="宋体"/>
                <w:sz w:val="19"/>
              </w:rPr>
              <w:t>GB 6722—2014</w:t>
            </w:r>
          </w:p>
        </w:tc>
        <w:tc>
          <w:tcPr>
            <w:tcW w:type="dxa" w:w="1814"/>
          </w:tcPr>
          <w:p>
            <w:r/>
            <w:r>
              <w:rPr>
                <w:rFonts w:ascii="宋体" w:hAnsi="宋体" w:eastAsia="宋体"/>
                <w:sz w:val="19"/>
              </w:rPr>
              <w:t>现行</w:t>
            </w:r>
          </w:p>
        </w:tc>
      </w:tr>
      <w:tr>
        <w:trPr>
          <w:trHeight w:val="397"/>
        </w:trPr>
        <w:tc>
          <w:tcPr>
            <w:tcW w:type="dxa" w:w="567"/>
            <w:shd w:val="clear" w:color="auto" w:fill="F2F2F2"/>
          </w:tcPr>
          <w:p>
            <w:r/>
            <w:r>
              <w:rPr>
                <w:rFonts w:ascii="宋体" w:hAnsi="宋体" w:eastAsia="宋体"/>
                <w:sz w:val="19"/>
              </w:rPr>
              <w:t>8</w:t>
            </w:r>
          </w:p>
        </w:tc>
        <w:tc>
          <w:tcPr>
            <w:tcW w:type="dxa" w:w="3969"/>
            <w:shd w:val="clear" w:color="auto" w:fill="F2F2F2"/>
          </w:tcPr>
          <w:p>
            <w:r/>
            <w:r>
              <w:rPr>
                <w:rFonts w:ascii="宋体" w:hAnsi="宋体" w:eastAsia="宋体"/>
                <w:sz w:val="19"/>
              </w:rPr>
              <w:t>空气潜水安全要求</w:t>
            </w:r>
          </w:p>
        </w:tc>
        <w:tc>
          <w:tcPr>
            <w:tcW w:type="dxa" w:w="2268"/>
            <w:shd w:val="clear" w:color="auto" w:fill="F2F2F2"/>
          </w:tcPr>
          <w:p>
            <w:r/>
            <w:r>
              <w:rPr>
                <w:rFonts w:ascii="宋体" w:hAnsi="宋体" w:eastAsia="宋体"/>
                <w:sz w:val="19"/>
              </w:rPr>
              <w:t>GB 26123</w:t>
            </w:r>
          </w:p>
        </w:tc>
        <w:tc>
          <w:tcPr>
            <w:tcW w:type="dxa" w:w="1814"/>
            <w:shd w:val="clear" w:color="auto" w:fill="F2F2F2"/>
          </w:tcPr>
          <w:p>
            <w:r/>
            <w:r>
              <w:rPr>
                <w:rFonts w:ascii="宋体" w:hAnsi="宋体" w:eastAsia="宋体"/>
                <w:sz w:val="19"/>
              </w:rPr>
              <w:t>现行</w:t>
            </w:r>
          </w:p>
        </w:tc>
      </w:tr>
      <w:tr>
        <w:trPr>
          <w:trHeight w:val="397"/>
        </w:trPr>
        <w:tc>
          <w:tcPr>
            <w:tcW w:type="dxa" w:w="567"/>
          </w:tcPr>
          <w:p>
            <w:r/>
            <w:r>
              <w:rPr>
                <w:rFonts w:ascii="宋体" w:hAnsi="宋体" w:eastAsia="宋体"/>
                <w:sz w:val="19"/>
              </w:rPr>
              <w:t>9</w:t>
            </w:r>
          </w:p>
        </w:tc>
        <w:tc>
          <w:tcPr>
            <w:tcW w:type="dxa" w:w="3969"/>
          </w:tcPr>
          <w:p>
            <w:r/>
            <w:r>
              <w:rPr>
                <w:rFonts w:ascii="宋体" w:hAnsi="宋体" w:eastAsia="宋体"/>
                <w:sz w:val="19"/>
              </w:rPr>
              <w:t>建筑基坑支护技术规程</w:t>
            </w:r>
          </w:p>
        </w:tc>
        <w:tc>
          <w:tcPr>
            <w:tcW w:type="dxa" w:w="2268"/>
          </w:tcPr>
          <w:p>
            <w:r/>
            <w:r>
              <w:rPr>
                <w:rFonts w:ascii="宋体" w:hAnsi="宋体" w:eastAsia="宋体"/>
                <w:sz w:val="19"/>
              </w:rPr>
              <w:t>JGJ 120—2012</w:t>
            </w:r>
          </w:p>
        </w:tc>
        <w:tc>
          <w:tcPr>
            <w:tcW w:type="dxa" w:w="1814"/>
          </w:tcPr>
          <w:p>
            <w:r/>
            <w:r>
              <w:rPr>
                <w:rFonts w:ascii="宋体" w:hAnsi="宋体" w:eastAsia="宋体"/>
                <w:sz w:val="19"/>
              </w:rPr>
              <w:t>现行</w:t>
            </w:r>
          </w:p>
        </w:tc>
      </w:tr>
      <w:tr>
        <w:trPr>
          <w:trHeight w:val="397"/>
        </w:trPr>
        <w:tc>
          <w:tcPr>
            <w:tcW w:type="dxa" w:w="567"/>
            <w:shd w:val="clear" w:color="auto" w:fill="F2F2F2"/>
          </w:tcPr>
          <w:p>
            <w:r/>
            <w:r>
              <w:rPr>
                <w:rFonts w:ascii="宋体" w:hAnsi="宋体" w:eastAsia="宋体"/>
                <w:sz w:val="19"/>
              </w:rPr>
              <w:t>10</w:t>
            </w:r>
          </w:p>
        </w:tc>
        <w:tc>
          <w:tcPr>
            <w:tcW w:type="dxa" w:w="3969"/>
            <w:shd w:val="clear" w:color="auto" w:fill="F2F2F2"/>
          </w:tcPr>
          <w:p>
            <w:r/>
            <w:r>
              <w:rPr>
                <w:rFonts w:ascii="宋体" w:hAnsi="宋体" w:eastAsia="宋体"/>
                <w:sz w:val="19"/>
              </w:rPr>
              <w:t>建筑施工高处作业安全技术规范</w:t>
            </w:r>
          </w:p>
        </w:tc>
        <w:tc>
          <w:tcPr>
            <w:tcW w:type="dxa" w:w="2268"/>
            <w:shd w:val="clear" w:color="auto" w:fill="F2F2F2"/>
          </w:tcPr>
          <w:p>
            <w:r/>
            <w:r>
              <w:rPr>
                <w:rFonts w:ascii="宋体" w:hAnsi="宋体" w:eastAsia="宋体"/>
                <w:sz w:val="19"/>
              </w:rPr>
              <w:t>JGJ 80—2016</w:t>
            </w:r>
          </w:p>
        </w:tc>
        <w:tc>
          <w:tcPr>
            <w:tcW w:type="dxa" w:w="1814"/>
            <w:shd w:val="clear" w:color="auto" w:fill="F2F2F2"/>
          </w:tcPr>
          <w:p>
            <w:r/>
            <w:r>
              <w:rPr>
                <w:rFonts w:ascii="宋体" w:hAnsi="宋体" w:eastAsia="宋体"/>
                <w:sz w:val="19"/>
              </w:rPr>
              <w:t>现行</w:t>
            </w:r>
          </w:p>
        </w:tc>
      </w:tr>
      <w:tr>
        <w:trPr>
          <w:trHeight w:val="397"/>
        </w:trPr>
        <w:tc>
          <w:tcPr>
            <w:tcW w:type="dxa" w:w="567"/>
          </w:tcPr>
          <w:p>
            <w:r/>
            <w:r>
              <w:rPr>
                <w:rFonts w:ascii="宋体" w:hAnsi="宋体" w:eastAsia="宋体"/>
                <w:sz w:val="19"/>
              </w:rPr>
              <w:t>11</w:t>
            </w:r>
          </w:p>
        </w:tc>
        <w:tc>
          <w:tcPr>
            <w:tcW w:type="dxa" w:w="3969"/>
          </w:tcPr>
          <w:p>
            <w:r/>
            <w:r>
              <w:rPr>
                <w:rFonts w:ascii="宋体" w:hAnsi="宋体" w:eastAsia="宋体"/>
                <w:sz w:val="19"/>
              </w:rPr>
              <w:t>施工现场临时用电安全技术规范</w:t>
            </w:r>
          </w:p>
        </w:tc>
        <w:tc>
          <w:tcPr>
            <w:tcW w:type="dxa" w:w="2268"/>
          </w:tcPr>
          <w:p>
            <w:r/>
            <w:r>
              <w:rPr>
                <w:rFonts w:ascii="宋体" w:hAnsi="宋体" w:eastAsia="宋体"/>
                <w:sz w:val="19"/>
              </w:rPr>
              <w:t>JGJ 46—2005</w:t>
            </w:r>
          </w:p>
        </w:tc>
        <w:tc>
          <w:tcPr>
            <w:tcW w:type="dxa" w:w="1814"/>
          </w:tcPr>
          <w:p>
            <w:r/>
            <w:r>
              <w:rPr>
                <w:rFonts w:ascii="宋体" w:hAnsi="宋体" w:eastAsia="宋体"/>
                <w:sz w:val="19"/>
              </w:rPr>
              <w:t>现行</w:t>
            </w:r>
          </w:p>
        </w:tc>
      </w:tr>
      <w:tr>
        <w:trPr>
          <w:trHeight w:val="397"/>
        </w:trPr>
        <w:tc>
          <w:tcPr>
            <w:tcW w:type="dxa" w:w="567"/>
            <w:shd w:val="clear" w:color="auto" w:fill="F2F2F2"/>
          </w:tcPr>
          <w:p>
            <w:r/>
            <w:r>
              <w:rPr>
                <w:rFonts w:ascii="宋体" w:hAnsi="宋体" w:eastAsia="宋体"/>
                <w:sz w:val="19"/>
              </w:rPr>
              <w:t>12</w:t>
            </w:r>
          </w:p>
        </w:tc>
        <w:tc>
          <w:tcPr>
            <w:tcW w:type="dxa" w:w="3969"/>
            <w:shd w:val="clear" w:color="auto" w:fill="F2F2F2"/>
          </w:tcPr>
          <w:p>
            <w:r/>
            <w:r>
              <w:rPr>
                <w:rFonts w:ascii="宋体" w:hAnsi="宋体" w:eastAsia="宋体"/>
                <w:sz w:val="19"/>
              </w:rPr>
              <w:t>建设工程施工现场消防安全技术规范</w:t>
            </w:r>
          </w:p>
        </w:tc>
        <w:tc>
          <w:tcPr>
            <w:tcW w:type="dxa" w:w="2268"/>
            <w:shd w:val="clear" w:color="auto" w:fill="F2F2F2"/>
          </w:tcPr>
          <w:p>
            <w:r/>
            <w:r>
              <w:rPr>
                <w:rFonts w:ascii="宋体" w:hAnsi="宋体" w:eastAsia="宋体"/>
                <w:sz w:val="19"/>
              </w:rPr>
              <w:t>GB 50720—2011</w:t>
            </w:r>
          </w:p>
        </w:tc>
        <w:tc>
          <w:tcPr>
            <w:tcW w:type="dxa" w:w="1814"/>
            <w:shd w:val="clear" w:color="auto" w:fill="F2F2F2"/>
          </w:tcPr>
          <w:p>
            <w:r/>
            <w:r>
              <w:rPr>
                <w:rFonts w:ascii="宋体" w:hAnsi="宋体" w:eastAsia="宋体"/>
                <w:sz w:val="19"/>
              </w:rPr>
              <w:t>现行</w:t>
            </w:r>
          </w:p>
        </w:tc>
      </w:tr>
      <w:tr>
        <w:trPr>
          <w:trHeight w:val="397"/>
        </w:trPr>
        <w:tc>
          <w:tcPr>
            <w:tcW w:type="dxa" w:w="567"/>
          </w:tcPr>
          <w:p>
            <w:r/>
            <w:r>
              <w:rPr>
                <w:rFonts w:ascii="宋体" w:hAnsi="宋体" w:eastAsia="宋体"/>
                <w:sz w:val="19"/>
              </w:rPr>
              <w:t>13</w:t>
            </w:r>
          </w:p>
        </w:tc>
        <w:tc>
          <w:tcPr>
            <w:tcW w:type="dxa" w:w="3969"/>
          </w:tcPr>
          <w:p>
            <w:r/>
            <w:r>
              <w:rPr>
                <w:rFonts w:ascii="宋体" w:hAnsi="宋体" w:eastAsia="宋体"/>
                <w:sz w:val="19"/>
              </w:rPr>
              <w:t>水利水电工程围堰设计规范</w:t>
            </w:r>
          </w:p>
        </w:tc>
        <w:tc>
          <w:tcPr>
            <w:tcW w:type="dxa" w:w="2268"/>
          </w:tcPr>
          <w:p>
            <w:r/>
            <w:r>
              <w:rPr>
                <w:rFonts w:ascii="宋体" w:hAnsi="宋体" w:eastAsia="宋体"/>
                <w:sz w:val="19"/>
              </w:rPr>
              <w:t>SL 645</w:t>
            </w:r>
          </w:p>
        </w:tc>
        <w:tc>
          <w:tcPr>
            <w:tcW w:type="dxa" w:w="1814"/>
          </w:tcPr>
          <w:p>
            <w:r/>
            <w:r>
              <w:rPr>
                <w:rFonts w:ascii="宋体" w:hAnsi="宋体" w:eastAsia="宋体"/>
                <w:sz w:val="19"/>
              </w:rPr>
              <w:t>现行</w:t>
            </w:r>
          </w:p>
        </w:tc>
      </w:tr>
      <w:tr>
        <w:trPr>
          <w:trHeight w:val="397"/>
        </w:trPr>
        <w:tc>
          <w:tcPr>
            <w:tcW w:type="dxa" w:w="567"/>
            <w:shd w:val="clear" w:color="auto" w:fill="F2F2F2"/>
          </w:tcPr>
          <w:p>
            <w:r/>
            <w:r>
              <w:rPr>
                <w:rFonts w:ascii="宋体" w:hAnsi="宋体" w:eastAsia="宋体"/>
                <w:sz w:val="19"/>
              </w:rPr>
              <w:t>14</w:t>
            </w:r>
          </w:p>
        </w:tc>
        <w:tc>
          <w:tcPr>
            <w:tcW w:type="dxa" w:w="3969"/>
            <w:shd w:val="clear" w:color="auto" w:fill="F2F2F2"/>
          </w:tcPr>
          <w:p>
            <w:r/>
            <w:r>
              <w:rPr>
                <w:rFonts w:ascii="宋体" w:hAnsi="宋体" w:eastAsia="宋体"/>
                <w:sz w:val="19"/>
              </w:rPr>
              <w:t>水运工程测量规范</w:t>
            </w:r>
          </w:p>
        </w:tc>
        <w:tc>
          <w:tcPr>
            <w:tcW w:type="dxa" w:w="2268"/>
            <w:shd w:val="clear" w:color="auto" w:fill="F2F2F2"/>
          </w:tcPr>
          <w:p>
            <w:r/>
            <w:r>
              <w:rPr>
                <w:rFonts w:ascii="宋体" w:hAnsi="宋体" w:eastAsia="宋体"/>
                <w:sz w:val="19"/>
              </w:rPr>
              <w:t>JTS 131—2012</w:t>
            </w:r>
          </w:p>
        </w:tc>
        <w:tc>
          <w:tcPr>
            <w:tcW w:type="dxa" w:w="1814"/>
            <w:shd w:val="clear" w:color="auto" w:fill="F2F2F2"/>
          </w:tcPr>
          <w:p>
            <w:r/>
            <w:r>
              <w:rPr>
                <w:rFonts w:ascii="宋体" w:hAnsi="宋体" w:eastAsia="宋体"/>
                <w:sz w:val="19"/>
              </w:rPr>
              <w:t>现行</w:t>
            </w:r>
          </w:p>
        </w:tc>
      </w:tr>
    </w:tbl>
    <w:p>
      <w:pPr>
        <w:spacing w:after="40"/>
      </w:pPr>
    </w:p>
    <w:p>
      <w:pPr>
        <w:spacing w:line="348" w:lineRule="auto" w:after="80"/>
        <w:ind w:firstLine="400"/>
        <w:jc w:val="both"/>
      </w:pPr>
      <w:r>
        <w:rPr>
          <w:rFonts w:ascii="宋体" w:hAnsi="宋体" w:eastAsia="宋体"/>
          <w:b w:val="0"/>
          <w:color w:val="595959"/>
          <w:sz w:val="20"/>
        </w:rPr>
        <w:t>说明：水运工程危险性较大的分部分项工程范围见 JT/T 1495—2024 附录 C（需编制专项方案）与附录 D（超过一定规模、需专家论证）；港口工程重大作业活动清单见 JT/T 1375.5—2022 附录 D。</w:t>
      </w:r>
    </w:p>
    <w:p>
      <w:pPr>
        <w:pStyle w:val="Heading1"/>
        <w:spacing w:before="200" w:after="80"/>
      </w:pPr>
      <w:r>
        <w:rPr>
          <w:rFonts w:ascii="黑体" w:hAnsi="黑体" w:eastAsia="黑体"/>
          <w:b/>
          <w:sz w:val="30"/>
        </w:rPr>
        <w:t>第二章  工程概况（示例工程）</w:t>
      </w:r>
    </w:p>
    <w:p>
      <w:pPr>
        <w:spacing w:line="348" w:lineRule="auto" w:after="80"/>
        <w:ind w:firstLine="440"/>
        <w:jc w:val="both"/>
      </w:pPr>
      <w:r>
        <w:rPr>
          <w:rFonts w:ascii="宋体" w:hAnsi="宋体" w:eastAsia="宋体"/>
          <w:b w:val="0"/>
          <w:sz w:val="22"/>
        </w:rPr>
        <w:t>为完整展示报告结构与方法，以下以“某沿海 10 万吨级集装箱泊位工程”为示例工程。该工程满足 JT/T 1375.5—2022 第 5.1 条“应开展总体风险评估”的触发条件（沿海集装箱码头≥10 万吨级），具有代表性。</w:t>
      </w:r>
    </w:p>
    <w:p>
      <w:pPr>
        <w:pStyle w:val="Heading2"/>
        <w:spacing w:before="120" w:after="80"/>
      </w:pPr>
      <w:r>
        <w:rPr>
          <w:rFonts w:ascii="黑体" w:hAnsi="黑体" w:eastAsia="黑体"/>
          <w:b/>
          <w:sz w:val="26"/>
        </w:rPr>
        <w:t>2.1  建设规模与结构形式</w:t>
      </w:r>
    </w:p>
    <w:tbl>
      <w:tblPr>
        <w:tblStyle w:val="TableGrid"/>
        <w:tblW w:type="auto" w:w="0"/>
        <w:jc w:val="center"/>
        <w:tblLook w:firstColumn="1" w:firstRow="1" w:lastColumn="0" w:lastRow="0" w:noHBand="0" w:noVBand="1" w:val="04A0"/>
      </w:tblPr>
      <w:tblGrid>
        <w:gridCol w:w="4479"/>
        <w:gridCol w:w="4479"/>
      </w:tblGrid>
      <w:tr>
        <w:trPr>
          <w:trHeight w:val="397"/>
        </w:trPr>
        <w:tc>
          <w:tcPr>
            <w:tcW w:type="dxa" w:w="2268"/>
            <w:shd w:val="clear" w:color="auto" w:fill="1F4E79"/>
          </w:tcPr>
          <w:p>
            <w:r/>
            <w:r>
              <w:rPr>
                <w:rFonts w:ascii="微软雅黑" w:hAnsi="微软雅黑" w:eastAsia="微软雅黑"/>
                <w:b/>
                <w:color w:val="FFFFFF"/>
                <w:sz w:val="19"/>
              </w:rPr>
              <w:t>项目</w:t>
            </w:r>
          </w:p>
        </w:tc>
        <w:tc>
          <w:tcPr>
            <w:tcW w:type="dxa" w:w="6917"/>
            <w:shd w:val="clear" w:color="auto" w:fill="1F4E79"/>
          </w:tcPr>
          <w:p>
            <w:r/>
            <w:r>
              <w:rPr>
                <w:rFonts w:ascii="微软雅黑" w:hAnsi="微软雅黑" w:eastAsia="微软雅黑"/>
                <w:b/>
                <w:color w:val="FFFFFF"/>
                <w:sz w:val="19"/>
              </w:rPr>
              <w:t>示例参数</w:t>
            </w:r>
          </w:p>
        </w:tc>
      </w:tr>
      <w:tr>
        <w:trPr>
          <w:trHeight w:val="397"/>
        </w:trPr>
        <w:tc>
          <w:tcPr>
            <w:tcW w:type="dxa" w:w="2268"/>
          </w:tcPr>
          <w:p>
            <w:r/>
            <w:r>
              <w:rPr>
                <w:rFonts w:ascii="宋体" w:hAnsi="宋体" w:eastAsia="宋体"/>
                <w:sz w:val="19"/>
              </w:rPr>
              <w:t>建设内容</w:t>
            </w:r>
          </w:p>
        </w:tc>
        <w:tc>
          <w:tcPr>
            <w:tcW w:type="dxa" w:w="6917"/>
          </w:tcPr>
          <w:p>
            <w:r/>
            <w:r>
              <w:rPr>
                <w:rFonts w:ascii="宋体" w:hAnsi="宋体" w:eastAsia="宋体"/>
                <w:sz w:val="19"/>
              </w:rPr>
              <w:t>新建 2 个 10 万吨级集装箱泊位（水工结构按 15 万吨级预留），岸线长度约 720 m</w:t>
            </w:r>
          </w:p>
        </w:tc>
      </w:tr>
      <w:tr>
        <w:trPr>
          <w:trHeight w:val="397"/>
        </w:trPr>
        <w:tc>
          <w:tcPr>
            <w:tcW w:type="dxa" w:w="2268"/>
            <w:shd w:val="clear" w:color="auto" w:fill="F2F2F2"/>
          </w:tcPr>
          <w:p>
            <w:r/>
            <w:r>
              <w:rPr>
                <w:rFonts w:ascii="宋体" w:hAnsi="宋体" w:eastAsia="宋体"/>
                <w:sz w:val="19"/>
              </w:rPr>
              <w:t>结构形式</w:t>
            </w:r>
          </w:p>
        </w:tc>
        <w:tc>
          <w:tcPr>
            <w:tcW w:type="dxa" w:w="6917"/>
            <w:shd w:val="clear" w:color="auto" w:fill="F2F2F2"/>
          </w:tcPr>
          <w:p>
            <w:r/>
            <w:r>
              <w:rPr>
                <w:rFonts w:ascii="宋体" w:hAnsi="宋体" w:eastAsia="宋体"/>
                <w:sz w:val="19"/>
              </w:rPr>
              <w:t>高桩梁板结构：钢管桩/PHC 桩基础 + 现浇横梁 + 预制预应力面板与纵梁 + 引桥接岸</w:t>
            </w:r>
          </w:p>
        </w:tc>
      </w:tr>
      <w:tr>
        <w:trPr>
          <w:trHeight w:val="397"/>
        </w:trPr>
        <w:tc>
          <w:tcPr>
            <w:tcW w:type="dxa" w:w="2268"/>
          </w:tcPr>
          <w:p>
            <w:r/>
            <w:r>
              <w:rPr>
                <w:rFonts w:ascii="宋体" w:hAnsi="宋体" w:eastAsia="宋体"/>
                <w:sz w:val="19"/>
              </w:rPr>
              <w:t>离岸距离</w:t>
            </w:r>
          </w:p>
        </w:tc>
        <w:tc>
          <w:tcPr>
            <w:tcW w:type="dxa" w:w="6917"/>
          </w:tcPr>
          <w:p>
            <w:r/>
            <w:r>
              <w:rPr>
                <w:rFonts w:ascii="宋体" w:hAnsi="宋体" w:eastAsia="宋体"/>
                <w:sz w:val="19"/>
              </w:rPr>
              <w:t>顺岸布置，前沿距岸约 80 m（非离岸远距离工程）</w:t>
            </w:r>
          </w:p>
        </w:tc>
      </w:tr>
      <w:tr>
        <w:trPr>
          <w:trHeight w:val="397"/>
        </w:trPr>
        <w:tc>
          <w:tcPr>
            <w:tcW w:type="dxa" w:w="2268"/>
            <w:shd w:val="clear" w:color="auto" w:fill="F2F2F2"/>
          </w:tcPr>
          <w:p>
            <w:r/>
            <w:r>
              <w:rPr>
                <w:rFonts w:ascii="宋体" w:hAnsi="宋体" w:eastAsia="宋体"/>
                <w:sz w:val="19"/>
              </w:rPr>
              <w:t>主要工程量</w:t>
            </w:r>
          </w:p>
        </w:tc>
        <w:tc>
          <w:tcPr>
            <w:tcW w:type="dxa" w:w="6917"/>
            <w:shd w:val="clear" w:color="auto" w:fill="F2F2F2"/>
          </w:tcPr>
          <w:p>
            <w:r/>
            <w:r>
              <w:rPr>
                <w:rFonts w:ascii="宋体" w:hAnsi="宋体" w:eastAsia="宋体"/>
                <w:sz w:val="19"/>
              </w:rPr>
              <w:t>沉桩约 600 根；预制梁、板约 900 榀；现浇混凝土约 4.5 万 m³；陆域形成吹填约 60 万 m³</w:t>
            </w:r>
          </w:p>
        </w:tc>
      </w:tr>
      <w:tr>
        <w:trPr>
          <w:trHeight w:val="397"/>
        </w:trPr>
        <w:tc>
          <w:tcPr>
            <w:tcW w:type="dxa" w:w="2268"/>
          </w:tcPr>
          <w:p>
            <w:r/>
            <w:r>
              <w:rPr>
                <w:rFonts w:ascii="宋体" w:hAnsi="宋体" w:eastAsia="宋体"/>
                <w:sz w:val="19"/>
              </w:rPr>
              <w:t>施工总布置</w:t>
            </w:r>
          </w:p>
        </w:tc>
        <w:tc>
          <w:tcPr>
            <w:tcW w:type="dxa" w:w="6917"/>
          </w:tcPr>
          <w:p>
            <w:r/>
            <w:r>
              <w:rPr>
                <w:rFonts w:ascii="宋体" w:hAnsi="宋体" w:eastAsia="宋体"/>
                <w:sz w:val="19"/>
              </w:rPr>
              <w:t>水上：打桩船、起重船、搅拌船；陆域：预制场、钢筋加工场、拌合站；临时码头/栈桥</w:t>
            </w:r>
          </w:p>
        </w:tc>
      </w:tr>
      <w:tr>
        <w:trPr>
          <w:trHeight w:val="397"/>
        </w:trPr>
        <w:tc>
          <w:tcPr>
            <w:tcW w:type="dxa" w:w="2268"/>
            <w:shd w:val="clear" w:color="auto" w:fill="F2F2F2"/>
          </w:tcPr>
          <w:p>
            <w:r/>
            <w:r>
              <w:rPr>
                <w:rFonts w:ascii="宋体" w:hAnsi="宋体" w:eastAsia="宋体"/>
                <w:sz w:val="19"/>
              </w:rPr>
              <w:t>合同工期</w:t>
            </w:r>
          </w:p>
        </w:tc>
        <w:tc>
          <w:tcPr>
            <w:tcW w:type="dxa" w:w="6917"/>
            <w:shd w:val="clear" w:color="auto" w:fill="F2F2F2"/>
          </w:tcPr>
          <w:p>
            <w:r/>
            <w:r>
              <w:rPr>
                <w:rFonts w:ascii="宋体" w:hAnsi="宋体" w:eastAsia="宋体"/>
                <w:sz w:val="19"/>
              </w:rPr>
              <w:t>约 30 个月（跨 1～2 个台风季）</w:t>
            </w:r>
          </w:p>
        </w:tc>
      </w:tr>
    </w:tbl>
    <w:p>
      <w:pPr>
        <w:spacing w:after="40"/>
      </w:pPr>
    </w:p>
    <w:p>
      <w:pPr>
        <w:pStyle w:val="Heading2"/>
        <w:spacing w:before="120" w:after="80"/>
      </w:pPr>
      <w:r>
        <w:rPr>
          <w:rFonts w:ascii="黑体" w:hAnsi="黑体" w:eastAsia="黑体"/>
          <w:b/>
          <w:sz w:val="26"/>
        </w:rPr>
        <w:t>2.2  自然条件（安全风险评估关键输入）</w:t>
      </w:r>
    </w:p>
    <w:tbl>
      <w:tblPr>
        <w:tblStyle w:val="TableGrid"/>
        <w:tblW w:type="auto" w:w="0"/>
        <w:jc w:val="center"/>
        <w:tblLook w:firstColumn="1" w:firstRow="1" w:lastColumn="0" w:lastRow="0" w:noHBand="0" w:noVBand="1" w:val="04A0"/>
      </w:tblPr>
      <w:tblGrid>
        <w:gridCol w:w="2986"/>
        <w:gridCol w:w="2986"/>
        <w:gridCol w:w="2986"/>
      </w:tblGrid>
      <w:tr>
        <w:trPr>
          <w:trHeight w:val="397"/>
        </w:trPr>
        <w:tc>
          <w:tcPr>
            <w:tcW w:type="dxa" w:w="1701"/>
            <w:shd w:val="clear" w:color="auto" w:fill="1F4E79"/>
          </w:tcPr>
          <w:p>
            <w:r/>
            <w:r>
              <w:rPr>
                <w:rFonts w:ascii="微软雅黑" w:hAnsi="微软雅黑" w:eastAsia="微软雅黑"/>
                <w:b/>
                <w:color w:val="FFFFFF"/>
                <w:sz w:val="19"/>
              </w:rPr>
              <w:t>条件类别</w:t>
            </w:r>
          </w:p>
        </w:tc>
        <w:tc>
          <w:tcPr>
            <w:tcW w:type="dxa" w:w="4535"/>
            <w:shd w:val="clear" w:color="auto" w:fill="1F4E79"/>
          </w:tcPr>
          <w:p>
            <w:r/>
            <w:r>
              <w:rPr>
                <w:rFonts w:ascii="微软雅黑" w:hAnsi="微软雅黑" w:eastAsia="微软雅黑"/>
                <w:b/>
                <w:color w:val="FFFFFF"/>
                <w:sz w:val="19"/>
              </w:rPr>
              <w:t>示例特征</w:t>
            </w:r>
          </w:p>
        </w:tc>
        <w:tc>
          <w:tcPr>
            <w:tcW w:type="dxa" w:w="2948"/>
            <w:shd w:val="clear" w:color="auto" w:fill="1F4E79"/>
          </w:tcPr>
          <w:p>
            <w:r/>
            <w:r>
              <w:rPr>
                <w:rFonts w:ascii="微软雅黑" w:hAnsi="微软雅黑" w:eastAsia="微软雅黑"/>
                <w:b/>
                <w:color w:val="FFFFFF"/>
                <w:sz w:val="19"/>
              </w:rPr>
              <w:t>对施工安全的主要影响</w:t>
            </w:r>
          </w:p>
        </w:tc>
      </w:tr>
      <w:tr>
        <w:trPr>
          <w:trHeight w:val="397"/>
        </w:trPr>
        <w:tc>
          <w:tcPr>
            <w:tcW w:type="dxa" w:w="1701"/>
          </w:tcPr>
          <w:p>
            <w:r/>
            <w:r>
              <w:rPr>
                <w:rFonts w:ascii="宋体" w:hAnsi="宋体" w:eastAsia="宋体"/>
                <w:sz w:val="19"/>
              </w:rPr>
              <w:t>气象水文</w:t>
            </w:r>
          </w:p>
        </w:tc>
        <w:tc>
          <w:tcPr>
            <w:tcW w:type="dxa" w:w="4535"/>
          </w:tcPr>
          <w:p>
            <w:r/>
            <w:r>
              <w:rPr>
                <w:rFonts w:ascii="宋体" w:hAnsi="宋体" w:eastAsia="宋体"/>
                <w:sz w:val="19"/>
              </w:rPr>
              <w:t>台风影响区（近5年年均受台风影响 1～2 次）；最大潮差约 4.5 m；最大波高 H₁%约 3.0 m</w:t>
            </w:r>
          </w:p>
        </w:tc>
        <w:tc>
          <w:tcPr>
            <w:tcW w:type="dxa" w:w="2948"/>
          </w:tcPr>
          <w:p>
            <w:r/>
            <w:r>
              <w:rPr>
                <w:rFonts w:ascii="宋体" w:hAnsi="宋体" w:eastAsia="宋体"/>
                <w:sz w:val="19"/>
              </w:rPr>
              <w:t>台风/突风、大潮差、涌浪对水上作业与施工船舶安全影响大</w:t>
            </w:r>
          </w:p>
        </w:tc>
      </w:tr>
      <w:tr>
        <w:trPr>
          <w:trHeight w:val="397"/>
        </w:trPr>
        <w:tc>
          <w:tcPr>
            <w:tcW w:type="dxa" w:w="1701"/>
            <w:shd w:val="clear" w:color="auto" w:fill="F2F2F2"/>
          </w:tcPr>
          <w:p>
            <w:r/>
            <w:r>
              <w:rPr>
                <w:rFonts w:ascii="宋体" w:hAnsi="宋体" w:eastAsia="宋体"/>
                <w:sz w:val="19"/>
              </w:rPr>
              <w:t>地质条件</w:t>
            </w:r>
          </w:p>
        </w:tc>
        <w:tc>
          <w:tcPr>
            <w:tcW w:type="dxa" w:w="4535"/>
            <w:shd w:val="clear" w:color="auto" w:fill="F2F2F2"/>
          </w:tcPr>
          <w:p>
            <w:r/>
            <w:r>
              <w:rPr>
                <w:rFonts w:ascii="宋体" w:hAnsi="宋体" w:eastAsia="宋体"/>
                <w:sz w:val="19"/>
              </w:rPr>
              <w:t>河口淤积地貌，上部为淤泥质黏土（厚度 8～15 m），下卧粉砂、黏土互层</w:t>
            </w:r>
          </w:p>
        </w:tc>
        <w:tc>
          <w:tcPr>
            <w:tcW w:type="dxa" w:w="2948"/>
            <w:shd w:val="clear" w:color="auto" w:fill="F2F2F2"/>
          </w:tcPr>
          <w:p>
            <w:r/>
            <w:r>
              <w:rPr>
                <w:rFonts w:ascii="宋体" w:hAnsi="宋体" w:eastAsia="宋体"/>
                <w:sz w:val="19"/>
              </w:rPr>
              <w:t>软基沉桩难度大；岸坡稳定与基坑支护风险高</w:t>
            </w:r>
          </w:p>
        </w:tc>
      </w:tr>
      <w:tr>
        <w:trPr>
          <w:trHeight w:val="397"/>
        </w:trPr>
        <w:tc>
          <w:tcPr>
            <w:tcW w:type="dxa" w:w="1701"/>
          </w:tcPr>
          <w:p>
            <w:r/>
            <w:r>
              <w:rPr>
                <w:rFonts w:ascii="宋体" w:hAnsi="宋体" w:eastAsia="宋体"/>
                <w:sz w:val="19"/>
              </w:rPr>
              <w:t>水域环境</w:t>
            </w:r>
          </w:p>
        </w:tc>
        <w:tc>
          <w:tcPr>
            <w:tcW w:type="dxa" w:w="4535"/>
          </w:tcPr>
          <w:p>
            <w:r/>
            <w:r>
              <w:rPr>
                <w:rFonts w:ascii="宋体" w:hAnsi="宋体" w:eastAsia="宋体"/>
                <w:sz w:val="19"/>
              </w:rPr>
              <w:t>掩护条件较好（湾内），但航道通航密度较大</w:t>
            </w:r>
          </w:p>
        </w:tc>
        <w:tc>
          <w:tcPr>
            <w:tcW w:type="dxa" w:w="2948"/>
          </w:tcPr>
          <w:p>
            <w:r/>
            <w:r>
              <w:rPr>
                <w:rFonts w:ascii="宋体" w:hAnsi="宋体" w:eastAsia="宋体"/>
                <w:sz w:val="19"/>
              </w:rPr>
              <w:t>边通航边施工作业需通航安全保障</w:t>
            </w:r>
          </w:p>
        </w:tc>
      </w:tr>
      <w:tr>
        <w:trPr>
          <w:trHeight w:val="397"/>
        </w:trPr>
        <w:tc>
          <w:tcPr>
            <w:tcW w:type="dxa" w:w="1701"/>
            <w:shd w:val="clear" w:color="auto" w:fill="F2F2F2"/>
          </w:tcPr>
          <w:p>
            <w:r/>
            <w:r>
              <w:rPr>
                <w:rFonts w:ascii="宋体" w:hAnsi="宋体" w:eastAsia="宋体"/>
                <w:sz w:val="19"/>
              </w:rPr>
              <w:t>周边环境</w:t>
            </w:r>
          </w:p>
        </w:tc>
        <w:tc>
          <w:tcPr>
            <w:tcW w:type="dxa" w:w="4535"/>
            <w:shd w:val="clear" w:color="auto" w:fill="F2F2F2"/>
          </w:tcPr>
          <w:p>
            <w:r/>
            <w:r>
              <w:rPr>
                <w:rFonts w:ascii="宋体" w:hAnsi="宋体" w:eastAsia="宋体"/>
                <w:sz w:val="19"/>
              </w:rPr>
              <w:t>邻近既有码头与管线；陆域有既有建构筑物</w:t>
            </w:r>
          </w:p>
        </w:tc>
        <w:tc>
          <w:tcPr>
            <w:tcW w:type="dxa" w:w="2948"/>
            <w:shd w:val="clear" w:color="auto" w:fill="F2F2F2"/>
          </w:tcPr>
          <w:p>
            <w:r/>
            <w:r>
              <w:rPr>
                <w:rFonts w:ascii="宋体" w:hAnsi="宋体" w:eastAsia="宋体"/>
                <w:sz w:val="19"/>
              </w:rPr>
              <w:t>水上/水下施工与陆域衔接的安全距离与防护</w:t>
            </w:r>
          </w:p>
        </w:tc>
      </w:tr>
    </w:tbl>
    <w:p>
      <w:pPr>
        <w:spacing w:after="40"/>
      </w:pPr>
    </w:p>
    <w:p>
      <w:pPr>
        <w:spacing w:line="348" w:lineRule="auto" w:after="80"/>
        <w:ind w:firstLine="400"/>
        <w:jc w:val="both"/>
      </w:pPr>
      <w:r>
        <w:rPr>
          <w:rFonts w:ascii="宋体" w:hAnsi="宋体" w:eastAsia="宋体"/>
          <w:b w:val="0"/>
          <w:color w:val="595959"/>
          <w:sz w:val="20"/>
        </w:rPr>
        <w:t>注：总体风险评估应以经审批的施工图设计文件、地质勘察报告、水文气象资料、环评报告及现场调查资料为依据（JT/T 1375.1—2022 第 5.1.3 条）。</w:t>
      </w:r>
    </w:p>
    <w:p>
      <w:pPr>
        <w:pStyle w:val="Heading1"/>
        <w:spacing w:before="200" w:after="80"/>
      </w:pPr>
      <w:r>
        <w:rPr>
          <w:rFonts w:ascii="黑体" w:hAnsi="黑体" w:eastAsia="黑体"/>
          <w:b/>
          <w:sz w:val="30"/>
        </w:rPr>
        <w:t>第三章  评估范围、目的与程序</w:t>
      </w:r>
    </w:p>
    <w:p>
      <w:pPr>
        <w:pStyle w:val="Heading2"/>
        <w:spacing w:before="120" w:after="80"/>
      </w:pPr>
      <w:r>
        <w:rPr>
          <w:rFonts w:ascii="黑体" w:hAnsi="黑体" w:eastAsia="黑体"/>
          <w:b/>
          <w:sz w:val="26"/>
        </w:rPr>
        <w:t>3.1  评估对象与范围</w:t>
      </w:r>
    </w:p>
    <w:p>
      <w:pPr>
        <w:spacing w:line="348" w:lineRule="auto" w:after="80"/>
        <w:ind w:firstLine="440"/>
        <w:jc w:val="both"/>
      </w:pPr>
      <w:r>
        <w:rPr>
          <w:rFonts w:ascii="宋体" w:hAnsi="宋体" w:eastAsia="宋体"/>
          <w:b w:val="0"/>
          <w:sz w:val="22"/>
        </w:rPr>
        <w:t>本次为总体风险评估，评估对象为具有独立使用功能的水工主体结构——码头工程（含桩基、上部结构、接岸结构）整体施工风险；港区道路堆场、引桥、大型临时工程及改扩建部分参照执行。评估范围覆盖施工图阶段至建成交工的主要施工作业活动。</w:t>
      </w:r>
    </w:p>
    <w:p>
      <w:pPr>
        <w:pStyle w:val="Heading2"/>
        <w:spacing w:before="120" w:after="80"/>
      </w:pPr>
      <w:r>
        <w:rPr>
          <w:rFonts w:ascii="黑体" w:hAnsi="黑体" w:eastAsia="黑体"/>
          <w:b/>
          <w:sz w:val="26"/>
        </w:rPr>
        <w:t>3.2  评估目的</w:t>
      </w:r>
    </w:p>
    <w:p>
      <w:pPr>
        <w:spacing w:line="336" w:lineRule="auto" w:after="40"/>
        <w:ind w:left="340"/>
        <w:jc w:val="both"/>
      </w:pPr>
      <w:r>
        <w:rPr>
          <w:rFonts w:ascii="宋体" w:hAnsi="宋体" w:eastAsia="宋体"/>
          <w:sz w:val="22"/>
        </w:rPr>
        <w:t>识别港口工程施工全过程的主要致险因素与典型风险事件；</w:t>
      </w:r>
    </w:p>
    <w:p>
      <w:pPr>
        <w:spacing w:line="336" w:lineRule="auto" w:after="40"/>
        <w:ind w:left="340"/>
        <w:jc w:val="both"/>
      </w:pPr>
      <w:r>
        <w:rPr>
          <w:rFonts w:ascii="宋体" w:hAnsi="宋体" w:eastAsia="宋体"/>
          <w:sz w:val="22"/>
        </w:rPr>
        <w:t>通过指标体系法/专家调查法确定工程整体施工安全风险等级；</w:t>
      </w:r>
    </w:p>
    <w:p>
      <w:pPr>
        <w:spacing w:line="336" w:lineRule="auto" w:after="40"/>
        <w:ind w:left="340"/>
        <w:jc w:val="both"/>
      </w:pPr>
      <w:r>
        <w:rPr>
          <w:rFonts w:ascii="宋体" w:hAnsi="宋体" w:eastAsia="宋体"/>
          <w:sz w:val="22"/>
        </w:rPr>
        <w:t>为建设单位优化施工组织设计、配置安全管理力量与资源、选择施工单位提供决策支持；</w:t>
      </w:r>
    </w:p>
    <w:p>
      <w:pPr>
        <w:spacing w:line="336" w:lineRule="auto" w:after="40"/>
        <w:ind w:left="340"/>
        <w:jc w:val="both"/>
      </w:pPr>
      <w:r>
        <w:rPr>
          <w:rFonts w:ascii="宋体" w:hAnsi="宋体" w:eastAsia="宋体"/>
          <w:sz w:val="22"/>
        </w:rPr>
        <w:t>提出需开展专项风险评估的重大作业活动清单与风险控制方向。</w:t>
      </w:r>
    </w:p>
    <w:p>
      <w:pPr>
        <w:pStyle w:val="Heading2"/>
        <w:spacing w:before="120" w:after="80"/>
      </w:pPr>
      <w:r>
        <w:rPr>
          <w:rFonts w:ascii="黑体" w:hAnsi="黑体" w:eastAsia="黑体"/>
          <w:b/>
          <w:sz w:val="26"/>
        </w:rPr>
        <w:t>3.3  评估程序</w:t>
      </w:r>
    </w:p>
    <w:p>
      <w:pPr>
        <w:spacing w:line="348" w:lineRule="auto" w:after="80"/>
        <w:ind w:firstLine="440"/>
        <w:jc w:val="both"/>
      </w:pPr>
      <w:r>
        <w:rPr>
          <w:rFonts w:ascii="宋体" w:hAnsi="宋体" w:eastAsia="宋体"/>
          <w:b w:val="0"/>
          <w:sz w:val="22"/>
        </w:rPr>
        <w:t>依据 JT/T 1375.1—2022 第 4.3 条，评估工作按以下步骤开展：前期准备 → 现场调查 → 总体风险评估 → 专项风险评估（施工前/过程/预期效果评价）→ 评估报告编制 → 报告评审。总体风险评估应在项目施工招标前（最迟开工前）完成；专项风险评估贯穿施工全过程。</w:t>
      </w:r>
    </w:p>
    <w:p>
      <w:pPr>
        <w:pStyle w:val="Heading2"/>
        <w:spacing w:before="120" w:after="80"/>
      </w:pPr>
      <w:r>
        <w:rPr>
          <w:rFonts w:ascii="黑体" w:hAnsi="黑体" w:eastAsia="黑体"/>
          <w:b/>
          <w:sz w:val="26"/>
        </w:rPr>
        <w:t>3.4  评估组织</w:t>
      </w:r>
    </w:p>
    <w:p>
      <w:pPr>
        <w:spacing w:line="348" w:lineRule="auto" w:after="80"/>
        <w:ind w:firstLine="440"/>
        <w:jc w:val="both"/>
      </w:pPr>
      <w:r>
        <w:rPr>
          <w:rFonts w:ascii="宋体" w:hAnsi="宋体" w:eastAsia="宋体"/>
          <w:b w:val="0"/>
          <w:sz w:val="22"/>
        </w:rPr>
        <w:t>总体风险评估由项目建设单位牵头组织；评估小组专家不少于 5 名且为单数，应具备高级及以上技术职称、15 年及以上公路水运工程建设/施工/监理/勘察设计或风险评估经历（JT/T 1375.1—2022 第 5.2 条）。评估结果经评估小组集体讨论确定。</w:t>
      </w:r>
    </w:p>
    <w:p>
      <w:pPr>
        <w:pStyle w:val="Heading1"/>
        <w:spacing w:before="200" w:after="80"/>
      </w:pPr>
      <w:r>
        <w:rPr>
          <w:rFonts w:ascii="黑体" w:hAnsi="黑体" w:eastAsia="黑体"/>
          <w:b/>
          <w:sz w:val="30"/>
        </w:rPr>
        <w:t>第四章  评估方法</w:t>
      </w:r>
    </w:p>
    <w:p>
      <w:pPr>
        <w:spacing w:line="348" w:lineRule="auto" w:after="80"/>
        <w:ind w:firstLine="440"/>
        <w:jc w:val="both"/>
      </w:pPr>
      <w:r>
        <w:rPr>
          <w:rFonts w:ascii="宋体" w:hAnsi="宋体" w:eastAsia="宋体"/>
          <w:b w:val="0"/>
          <w:sz w:val="22"/>
        </w:rPr>
        <w:t>施工安全风险评估分为总体风险评估与专项风险评估两个阶段。方法选择遵循 JT/T 1375.1—2022 第 4.2 条：总体风险评估宜采用专家调查法和指标体系法；专项风险评估综合采用安全检查表法、LEC 法、风险矩阵法等，必要时采用两种以上方法比对。</w:t>
      </w:r>
    </w:p>
    <w:p>
      <w:pPr>
        <w:pStyle w:val="Heading2"/>
        <w:spacing w:before="120" w:after="80"/>
      </w:pPr>
      <w:r>
        <w:rPr>
          <w:rFonts w:ascii="黑体" w:hAnsi="黑体" w:eastAsia="黑体"/>
          <w:b/>
          <w:sz w:val="26"/>
        </w:rPr>
        <w:t>4.1  总体风险评估方法</w:t>
      </w:r>
    </w:p>
    <w:p>
      <w:pPr>
        <w:spacing w:line="336" w:lineRule="auto" w:after="40"/>
        <w:ind w:left="340"/>
        <w:jc w:val="both"/>
      </w:pPr>
      <w:r>
        <w:rPr>
          <w:rFonts w:ascii="宋体" w:hAnsi="宋体" w:eastAsia="宋体"/>
          <w:b/>
          <w:sz w:val="22"/>
        </w:rPr>
        <w:t>（1）专家调查法：</w:t>
      </w:r>
      <w:r>
        <w:rPr>
          <w:rFonts w:ascii="宋体" w:hAnsi="宋体" w:eastAsia="宋体"/>
          <w:sz w:val="22"/>
        </w:rPr>
        <w:t>从工程特点、施工环境、地质条件、气象水文、资料完整性等项别，由每位专家独立给出分项评估分值 Rᵢ（4/3/2/1，由高至低）与信心指数 Wᵢ（0～1）。</w:t>
      </w:r>
    </w:p>
    <w:p>
      <w:pPr>
        <w:spacing w:line="348" w:lineRule="auto" w:after="80"/>
        <w:ind w:firstLine="420"/>
        <w:jc w:val="both"/>
      </w:pPr>
      <w:r>
        <w:rPr>
          <w:rFonts w:ascii="宋体" w:hAnsi="宋体" w:eastAsia="宋体"/>
          <w:b w:val="0"/>
          <w:sz w:val="21"/>
        </w:rPr>
        <w:t>专家个人结果 Dᵣ = Σ(Wᵢ×Rᵢ) / ΣWᵢ；评估小组结果取各专家 Dᵣ 平均值，对照分级标准确定总体风险等级。</w:t>
      </w:r>
    </w:p>
    <w:p>
      <w:pPr>
        <w:spacing w:line="336" w:lineRule="auto" w:after="40"/>
        <w:ind w:left="340"/>
        <w:jc w:val="both"/>
      </w:pPr>
      <w:r>
        <w:rPr>
          <w:rFonts w:ascii="宋体" w:hAnsi="宋体" w:eastAsia="宋体"/>
          <w:b/>
          <w:sz w:val="22"/>
        </w:rPr>
        <w:t>（2）指标体系法：</w:t>
      </w:r>
      <w:r>
        <w:rPr>
          <w:rFonts w:ascii="宋体" w:hAnsi="宋体" w:eastAsia="宋体"/>
          <w:sz w:val="22"/>
        </w:rPr>
        <w:t>按标准附录 A 建立评估指标体系（涵盖工程特点、施工环境、地质、气象水文、资料完整性 5 类，指标数宜≤13），确定权重系数，计算总体风险分值后对照分级标准定级。</w:t>
      </w:r>
    </w:p>
    <w:p>
      <w:pPr>
        <w:pStyle w:val="Heading2"/>
        <w:spacing w:before="120" w:after="80"/>
      </w:pPr>
      <w:r>
        <w:rPr>
          <w:rFonts w:ascii="黑体" w:hAnsi="黑体" w:eastAsia="黑体"/>
          <w:b/>
          <w:sz w:val="26"/>
        </w:rPr>
        <w:t>4.2  专项风险评估方法</w:t>
      </w:r>
    </w:p>
    <w:p>
      <w:pPr>
        <w:spacing w:line="336" w:lineRule="auto" w:after="40"/>
        <w:ind w:left="340"/>
        <w:jc w:val="both"/>
      </w:pPr>
      <w:r>
        <w:rPr>
          <w:rFonts w:ascii="宋体" w:hAnsi="宋体" w:eastAsia="宋体"/>
          <w:b/>
          <w:sz w:val="22"/>
        </w:rPr>
        <w:t>（1）LEC 法（一般作业）：</w:t>
      </w:r>
      <w:r>
        <w:rPr>
          <w:rFonts w:ascii="宋体" w:hAnsi="宋体" w:eastAsia="宋体"/>
          <w:sz w:val="22"/>
        </w:rPr>
        <w:t>一般作业活动采用作业条件危险性评价法（LEC 法）：D = L × E × C。</w:t>
      </w:r>
    </w:p>
    <w:p>
      <w:pPr>
        <w:spacing w:line="336" w:lineRule="auto" w:after="40"/>
        <w:ind w:left="340"/>
        <w:jc w:val="both"/>
      </w:pPr>
      <w:r>
        <w:rPr>
          <w:rFonts w:ascii="宋体" w:hAnsi="宋体" w:eastAsia="宋体"/>
          <w:b/>
          <w:sz w:val="22"/>
        </w:rPr>
        <w:t>（2）风险矩阵法（重大作业）：</w:t>
      </w:r>
      <w:r>
        <w:rPr>
          <w:rFonts w:ascii="宋体" w:hAnsi="宋体" w:eastAsia="宋体"/>
          <w:sz w:val="22"/>
        </w:rPr>
        <w:t>重大作业活动先估测事故可能性（指标体系法/定性分析），再以专家调查法估测后果严重程度，采用风险矩阵法判定风险等级（JT/T 1375.5—2022 第 6 条）。</w:t>
      </w:r>
    </w:p>
    <w:p>
      <w:pPr>
        <w:spacing w:line="348" w:lineRule="auto" w:after="80"/>
        <w:ind w:firstLine="420"/>
        <w:jc w:val="both"/>
      </w:pPr>
      <w:r>
        <w:rPr>
          <w:rFonts w:ascii="宋体" w:hAnsi="宋体" w:eastAsia="宋体"/>
          <w:b w:val="0"/>
          <w:sz w:val="21"/>
        </w:rPr>
        <w:t>风险事件可能性等级与后果严重程度等级组合，形成 I 级（低风险）～ IV 级（重大风险）的风险等级。</w:t>
      </w:r>
    </w:p>
    <w:p>
      <w:pPr>
        <w:pStyle w:val="Heading2"/>
        <w:spacing w:before="120" w:after="80"/>
      </w:pPr>
      <w:r>
        <w:rPr>
          <w:rFonts w:ascii="黑体" w:hAnsi="黑体" w:eastAsia="黑体"/>
          <w:b/>
          <w:sz w:val="26"/>
        </w:rPr>
        <w:t>4.3  风险等级划分</w:t>
      </w:r>
    </w:p>
    <w:p>
      <w:pPr>
        <w:spacing w:line="348" w:lineRule="auto" w:after="80"/>
        <w:ind w:firstLine="440"/>
        <w:jc w:val="both"/>
      </w:pPr>
      <w:r>
        <w:rPr>
          <w:rFonts w:ascii="宋体" w:hAnsi="宋体" w:eastAsia="宋体"/>
          <w:b w:val="0"/>
          <w:sz w:val="22"/>
        </w:rPr>
        <w:t>总体与专项风险评估等级均分为四级（JT/T 1375.1—2022 第 4.4 条）：</w:t>
      </w:r>
    </w:p>
    <w:tbl>
      <w:tblPr>
        <w:tblStyle w:val="TableGrid"/>
        <w:tblW w:type="auto" w:w="0"/>
        <w:jc w:val="center"/>
        <w:tblLook w:firstColumn="1" w:firstRow="1" w:lastColumn="0" w:lastRow="0" w:noHBand="0" w:noVBand="1" w:val="04A0"/>
      </w:tblPr>
      <w:tblGrid>
        <w:gridCol w:w="2239"/>
        <w:gridCol w:w="2239"/>
        <w:gridCol w:w="2239"/>
        <w:gridCol w:w="2239"/>
      </w:tblGrid>
      <w:tr>
        <w:trPr>
          <w:trHeight w:val="397"/>
        </w:trPr>
        <w:tc>
          <w:tcPr>
            <w:tcW w:type="dxa" w:w="907"/>
            <w:shd w:val="clear" w:color="auto" w:fill="1F4E79"/>
          </w:tcPr>
          <w:p>
            <w:r/>
            <w:r>
              <w:rPr>
                <w:rFonts w:ascii="微软雅黑" w:hAnsi="微软雅黑" w:eastAsia="微软雅黑"/>
                <w:b/>
                <w:color w:val="FFFFFF"/>
                <w:sz w:val="19"/>
              </w:rPr>
              <w:t>风险等级</w:t>
            </w:r>
          </w:p>
        </w:tc>
        <w:tc>
          <w:tcPr>
            <w:tcW w:type="dxa" w:w="1247"/>
            <w:shd w:val="clear" w:color="auto" w:fill="1F4E79"/>
          </w:tcPr>
          <w:p>
            <w:r/>
            <w:r>
              <w:rPr>
                <w:rFonts w:ascii="微软雅黑" w:hAnsi="微软雅黑" w:eastAsia="微软雅黑"/>
                <w:b/>
                <w:color w:val="FFFFFF"/>
                <w:sz w:val="19"/>
              </w:rPr>
              <w:t>名称</w:t>
            </w:r>
          </w:p>
        </w:tc>
        <w:tc>
          <w:tcPr>
            <w:tcW w:type="dxa" w:w="3628"/>
            <w:shd w:val="clear" w:color="auto" w:fill="1F4E79"/>
          </w:tcPr>
          <w:p>
            <w:r/>
            <w:r>
              <w:rPr>
                <w:rFonts w:ascii="微软雅黑" w:hAnsi="微软雅黑" w:eastAsia="微软雅黑"/>
                <w:b/>
                <w:color w:val="FFFFFF"/>
                <w:sz w:val="19"/>
              </w:rPr>
              <w:t>含 义</w:t>
            </w:r>
          </w:p>
        </w:tc>
        <w:tc>
          <w:tcPr>
            <w:tcW w:type="dxa" w:w="3402"/>
            <w:shd w:val="clear" w:color="auto" w:fill="1F4E79"/>
          </w:tcPr>
          <w:p>
            <w:r/>
            <w:r>
              <w:rPr>
                <w:rFonts w:ascii="微软雅黑" w:hAnsi="微软雅黑" w:eastAsia="微软雅黑"/>
                <w:b/>
                <w:color w:val="FFFFFF"/>
                <w:sz w:val="19"/>
              </w:rPr>
              <w:t>管控基本要求</w:t>
            </w:r>
          </w:p>
        </w:tc>
      </w:tr>
      <w:tr>
        <w:trPr>
          <w:trHeight w:val="397"/>
        </w:trPr>
        <w:tc>
          <w:tcPr>
            <w:tcW w:type="dxa" w:w="907"/>
          </w:tcPr>
          <w:p>
            <w:r/>
            <w:r>
              <w:rPr>
                <w:rFonts w:ascii="宋体" w:hAnsi="宋体" w:eastAsia="宋体"/>
                <w:sz w:val="19"/>
              </w:rPr>
              <w:t>Ⅰ级</w:t>
            </w:r>
          </w:p>
        </w:tc>
        <w:tc>
          <w:tcPr>
            <w:tcW w:type="dxa" w:w="1247"/>
          </w:tcPr>
          <w:p>
            <w:r/>
            <w:r>
              <w:rPr>
                <w:rFonts w:ascii="宋体" w:hAnsi="宋体" w:eastAsia="宋体"/>
                <w:sz w:val="19"/>
              </w:rPr>
              <w:t>低风险</w:t>
            </w:r>
          </w:p>
        </w:tc>
        <w:tc>
          <w:tcPr>
            <w:tcW w:type="dxa" w:w="3628"/>
          </w:tcPr>
          <w:p>
            <w:r/>
            <w:r>
              <w:rPr>
                <w:rFonts w:ascii="宋体" w:hAnsi="宋体" w:eastAsia="宋体"/>
                <w:sz w:val="19"/>
              </w:rPr>
              <w:t>一定条件下易导致一般生产安全事故</w:t>
            </w:r>
          </w:p>
        </w:tc>
        <w:tc>
          <w:tcPr>
            <w:tcW w:type="dxa" w:w="3402"/>
          </w:tcPr>
          <w:p>
            <w:r/>
            <w:r>
              <w:rPr>
                <w:rFonts w:ascii="宋体" w:hAnsi="宋体" w:eastAsia="宋体"/>
                <w:sz w:val="19"/>
              </w:rPr>
              <w:t>常规管理，注意防范</w:t>
            </w:r>
          </w:p>
        </w:tc>
      </w:tr>
      <w:tr>
        <w:trPr>
          <w:trHeight w:val="397"/>
        </w:trPr>
        <w:tc>
          <w:tcPr>
            <w:tcW w:type="dxa" w:w="907"/>
            <w:shd w:val="clear" w:color="auto" w:fill="F2F2F2"/>
          </w:tcPr>
          <w:p>
            <w:r/>
            <w:r>
              <w:rPr>
                <w:rFonts w:ascii="宋体" w:hAnsi="宋体" w:eastAsia="宋体"/>
                <w:sz w:val="19"/>
              </w:rPr>
              <w:t>Ⅱ级</w:t>
            </w:r>
          </w:p>
        </w:tc>
        <w:tc>
          <w:tcPr>
            <w:tcW w:type="dxa" w:w="1247"/>
            <w:shd w:val="clear" w:color="auto" w:fill="F2F2F2"/>
          </w:tcPr>
          <w:p>
            <w:r/>
            <w:r>
              <w:rPr>
                <w:rFonts w:ascii="宋体" w:hAnsi="宋体" w:eastAsia="宋体"/>
                <w:sz w:val="19"/>
              </w:rPr>
              <w:t>一般风险</w:t>
            </w:r>
          </w:p>
        </w:tc>
        <w:tc>
          <w:tcPr>
            <w:tcW w:type="dxa" w:w="3628"/>
            <w:shd w:val="clear" w:color="auto" w:fill="F2F2F2"/>
          </w:tcPr>
          <w:p>
            <w:r/>
            <w:r>
              <w:rPr>
                <w:rFonts w:ascii="宋体" w:hAnsi="宋体" w:eastAsia="宋体"/>
                <w:sz w:val="19"/>
              </w:rPr>
              <w:t>一定条件下易导致较大生产安全事故</w:t>
            </w:r>
          </w:p>
        </w:tc>
        <w:tc>
          <w:tcPr>
            <w:tcW w:type="dxa" w:w="3402"/>
            <w:shd w:val="clear" w:color="auto" w:fill="F2F2F2"/>
          </w:tcPr>
          <w:p>
            <w:r/>
            <w:r>
              <w:rPr>
                <w:rFonts w:ascii="宋体" w:hAnsi="宋体" w:eastAsia="宋体"/>
                <w:sz w:val="19"/>
              </w:rPr>
              <w:t>加强监控，落实措施</w:t>
            </w:r>
          </w:p>
        </w:tc>
      </w:tr>
      <w:tr>
        <w:trPr>
          <w:trHeight w:val="397"/>
        </w:trPr>
        <w:tc>
          <w:tcPr>
            <w:tcW w:type="dxa" w:w="907"/>
          </w:tcPr>
          <w:p>
            <w:r/>
            <w:r>
              <w:rPr>
                <w:rFonts w:ascii="宋体" w:hAnsi="宋体" w:eastAsia="宋体"/>
                <w:sz w:val="19"/>
              </w:rPr>
              <w:t>Ⅲ级</w:t>
            </w:r>
          </w:p>
        </w:tc>
        <w:tc>
          <w:tcPr>
            <w:tcW w:type="dxa" w:w="1247"/>
          </w:tcPr>
          <w:p>
            <w:r/>
            <w:r>
              <w:rPr>
                <w:rFonts w:ascii="宋体" w:hAnsi="宋体" w:eastAsia="宋体"/>
                <w:sz w:val="19"/>
              </w:rPr>
              <w:t>较大风险</w:t>
            </w:r>
          </w:p>
        </w:tc>
        <w:tc>
          <w:tcPr>
            <w:tcW w:type="dxa" w:w="3628"/>
          </w:tcPr>
          <w:p>
            <w:r/>
            <w:r>
              <w:rPr>
                <w:rFonts w:ascii="宋体" w:hAnsi="宋体" w:eastAsia="宋体"/>
                <w:sz w:val="19"/>
              </w:rPr>
              <w:t>一定条件下易导致重大生产安全事故</w:t>
            </w:r>
          </w:p>
        </w:tc>
        <w:tc>
          <w:tcPr>
            <w:tcW w:type="dxa" w:w="3402"/>
          </w:tcPr>
          <w:p>
            <w:r/>
            <w:r>
              <w:rPr>
                <w:rFonts w:ascii="宋体" w:hAnsi="宋体" w:eastAsia="宋体"/>
                <w:sz w:val="19"/>
              </w:rPr>
              <w:t>制定专项方案，限期整改</w:t>
            </w:r>
          </w:p>
        </w:tc>
      </w:tr>
      <w:tr>
        <w:trPr>
          <w:trHeight w:val="397"/>
        </w:trPr>
        <w:tc>
          <w:tcPr>
            <w:tcW w:type="dxa" w:w="907"/>
            <w:shd w:val="clear" w:color="auto" w:fill="F2F2F2"/>
          </w:tcPr>
          <w:p>
            <w:r/>
            <w:r>
              <w:rPr>
                <w:rFonts w:ascii="宋体" w:hAnsi="宋体" w:eastAsia="宋体"/>
                <w:sz w:val="19"/>
              </w:rPr>
              <w:t>Ⅳ级</w:t>
            </w:r>
          </w:p>
        </w:tc>
        <w:tc>
          <w:tcPr>
            <w:tcW w:type="dxa" w:w="1247"/>
            <w:shd w:val="clear" w:color="auto" w:fill="F2F2F2"/>
          </w:tcPr>
          <w:p>
            <w:r/>
            <w:r>
              <w:rPr>
                <w:rFonts w:ascii="宋体" w:hAnsi="宋体" w:eastAsia="宋体"/>
                <w:sz w:val="19"/>
              </w:rPr>
              <w:t>重大风险</w:t>
            </w:r>
          </w:p>
        </w:tc>
        <w:tc>
          <w:tcPr>
            <w:tcW w:type="dxa" w:w="3628"/>
            <w:shd w:val="clear" w:color="auto" w:fill="F2F2F2"/>
          </w:tcPr>
          <w:p>
            <w:r/>
            <w:r>
              <w:rPr>
                <w:rFonts w:ascii="宋体" w:hAnsi="宋体" w:eastAsia="宋体"/>
                <w:sz w:val="19"/>
              </w:rPr>
              <w:t>一定条件下易导致特别重大生产安全事故</w:t>
            </w:r>
          </w:p>
        </w:tc>
        <w:tc>
          <w:tcPr>
            <w:tcW w:type="dxa" w:w="3402"/>
            <w:shd w:val="clear" w:color="auto" w:fill="F2F2F2"/>
          </w:tcPr>
          <w:p>
            <w:r/>
            <w:r>
              <w:rPr>
                <w:rFonts w:ascii="宋体" w:hAnsi="宋体" w:eastAsia="宋体"/>
                <w:sz w:val="19"/>
              </w:rPr>
              <w:t>专项方案+专家论证+领导带班，全过程监控</w:t>
            </w:r>
          </w:p>
        </w:tc>
      </w:tr>
    </w:tbl>
    <w:p>
      <w:pPr>
        <w:spacing w:after="40"/>
      </w:pPr>
    </w:p>
    <w:p>
      <w:pPr>
        <w:pStyle w:val="Heading2"/>
        <w:spacing w:before="120" w:after="80"/>
      </w:pPr>
      <w:r>
        <w:rPr>
          <w:rFonts w:ascii="黑体" w:hAnsi="黑体" w:eastAsia="黑体"/>
          <w:b/>
          <w:sz w:val="26"/>
        </w:rPr>
        <w:t>4.4  LEC 法分级参考</w:t>
      </w:r>
    </w:p>
    <w:tbl>
      <w:tblPr>
        <w:tblStyle w:val="TableGrid"/>
        <w:tblW w:type="auto" w:w="0"/>
        <w:jc w:val="center"/>
        <w:tblLook w:firstColumn="1" w:firstRow="1" w:lastColumn="0" w:lastRow="0" w:noHBand="0" w:noVBand="1" w:val="04A0"/>
      </w:tblPr>
      <w:tblGrid>
        <w:gridCol w:w="2986"/>
        <w:gridCol w:w="2986"/>
        <w:gridCol w:w="2986"/>
      </w:tblGrid>
      <w:tr>
        <w:trPr>
          <w:trHeight w:val="397"/>
        </w:trPr>
        <w:tc>
          <w:tcPr>
            <w:tcW w:type="dxa" w:w="1701"/>
            <w:shd w:val="clear" w:color="auto" w:fill="1F4E79"/>
          </w:tcPr>
          <w:p>
            <w:r/>
            <w:r>
              <w:rPr>
                <w:rFonts w:ascii="微软雅黑" w:hAnsi="微软雅黑" w:eastAsia="微软雅黑"/>
                <w:b/>
                <w:color w:val="FFFFFF"/>
                <w:sz w:val="19"/>
              </w:rPr>
              <w:t>D 值区间</w:t>
            </w:r>
          </w:p>
        </w:tc>
        <w:tc>
          <w:tcPr>
            <w:tcW w:type="dxa" w:w="3969"/>
            <w:shd w:val="clear" w:color="auto" w:fill="1F4E79"/>
          </w:tcPr>
          <w:p>
            <w:r/>
            <w:r>
              <w:rPr>
                <w:rFonts w:ascii="微软雅黑" w:hAnsi="微软雅黑" w:eastAsia="微软雅黑"/>
                <w:b/>
                <w:color w:val="FFFFFF"/>
                <w:sz w:val="19"/>
              </w:rPr>
              <w:t>危险程度</w:t>
            </w:r>
          </w:p>
        </w:tc>
        <w:tc>
          <w:tcPr>
            <w:tcW w:type="dxa" w:w="3515"/>
            <w:shd w:val="clear" w:color="auto" w:fill="1F4E79"/>
          </w:tcPr>
          <w:p>
            <w:r/>
            <w:r>
              <w:rPr>
                <w:rFonts w:ascii="微软雅黑" w:hAnsi="微软雅黑" w:eastAsia="微软雅黑"/>
                <w:b/>
                <w:color w:val="FFFFFF"/>
                <w:sz w:val="19"/>
              </w:rPr>
              <w:t>对应风险等级</w:t>
            </w:r>
          </w:p>
        </w:tc>
      </w:tr>
      <w:tr>
        <w:trPr>
          <w:trHeight w:val="397"/>
        </w:trPr>
        <w:tc>
          <w:tcPr>
            <w:tcW w:type="dxa" w:w="1701"/>
          </w:tcPr>
          <w:p>
            <w:r/>
            <w:r>
              <w:rPr>
                <w:rFonts w:ascii="宋体" w:hAnsi="宋体" w:eastAsia="宋体"/>
                <w:sz w:val="19"/>
              </w:rPr>
              <w:t>D ≥ 320</w:t>
            </w:r>
          </w:p>
        </w:tc>
        <w:tc>
          <w:tcPr>
            <w:tcW w:type="dxa" w:w="3969"/>
          </w:tcPr>
          <w:p>
            <w:r/>
            <w:r>
              <w:rPr>
                <w:rFonts w:ascii="宋体" w:hAnsi="宋体" w:eastAsia="宋体"/>
                <w:sz w:val="19"/>
              </w:rPr>
              <w:t>极其危险，应立即停工整改</w:t>
            </w:r>
          </w:p>
        </w:tc>
        <w:tc>
          <w:tcPr>
            <w:tcW w:type="dxa" w:w="3515"/>
          </w:tcPr>
          <w:p>
            <w:r/>
            <w:r>
              <w:rPr>
                <w:rFonts w:ascii="宋体" w:hAnsi="宋体" w:eastAsia="宋体"/>
                <w:sz w:val="19"/>
              </w:rPr>
              <w:t>Ⅳ级（重大风险）</w:t>
            </w:r>
          </w:p>
        </w:tc>
      </w:tr>
      <w:tr>
        <w:trPr>
          <w:trHeight w:val="397"/>
        </w:trPr>
        <w:tc>
          <w:tcPr>
            <w:tcW w:type="dxa" w:w="1701"/>
            <w:shd w:val="clear" w:color="auto" w:fill="F2F2F2"/>
          </w:tcPr>
          <w:p>
            <w:r/>
            <w:r>
              <w:rPr>
                <w:rFonts w:ascii="宋体" w:hAnsi="宋体" w:eastAsia="宋体"/>
                <w:sz w:val="19"/>
              </w:rPr>
              <w:t>160 ≤ D &lt; 320</w:t>
            </w:r>
          </w:p>
        </w:tc>
        <w:tc>
          <w:tcPr>
            <w:tcW w:type="dxa" w:w="3969"/>
            <w:shd w:val="clear" w:color="auto" w:fill="F2F2F2"/>
          </w:tcPr>
          <w:p>
            <w:r/>
            <w:r>
              <w:rPr>
                <w:rFonts w:ascii="宋体" w:hAnsi="宋体" w:eastAsia="宋体"/>
                <w:sz w:val="19"/>
              </w:rPr>
              <w:t>高度危险，需立即整改</w:t>
            </w:r>
          </w:p>
        </w:tc>
        <w:tc>
          <w:tcPr>
            <w:tcW w:type="dxa" w:w="3515"/>
            <w:shd w:val="clear" w:color="auto" w:fill="F2F2F2"/>
          </w:tcPr>
          <w:p>
            <w:r/>
            <w:r>
              <w:rPr>
                <w:rFonts w:ascii="宋体" w:hAnsi="宋体" w:eastAsia="宋体"/>
                <w:sz w:val="19"/>
              </w:rPr>
              <w:t>Ⅲ级（较大风险）</w:t>
            </w:r>
          </w:p>
        </w:tc>
      </w:tr>
      <w:tr>
        <w:trPr>
          <w:trHeight w:val="397"/>
        </w:trPr>
        <w:tc>
          <w:tcPr>
            <w:tcW w:type="dxa" w:w="1701"/>
          </w:tcPr>
          <w:p>
            <w:r/>
            <w:r>
              <w:rPr>
                <w:rFonts w:ascii="宋体" w:hAnsi="宋体" w:eastAsia="宋体"/>
                <w:sz w:val="19"/>
              </w:rPr>
              <w:t>70 ≤ D &lt; 160</w:t>
            </w:r>
          </w:p>
        </w:tc>
        <w:tc>
          <w:tcPr>
            <w:tcW w:type="dxa" w:w="3969"/>
          </w:tcPr>
          <w:p>
            <w:r/>
            <w:r>
              <w:rPr>
                <w:rFonts w:ascii="宋体" w:hAnsi="宋体" w:eastAsia="宋体"/>
                <w:sz w:val="19"/>
              </w:rPr>
              <w:t>显著危险，需加强管控</w:t>
            </w:r>
          </w:p>
        </w:tc>
        <w:tc>
          <w:tcPr>
            <w:tcW w:type="dxa" w:w="3515"/>
          </w:tcPr>
          <w:p>
            <w:r/>
            <w:r>
              <w:rPr>
                <w:rFonts w:ascii="宋体" w:hAnsi="宋体" w:eastAsia="宋体"/>
                <w:sz w:val="19"/>
              </w:rPr>
              <w:t>Ⅱ级（一般风险）</w:t>
            </w:r>
          </w:p>
        </w:tc>
      </w:tr>
      <w:tr>
        <w:trPr>
          <w:trHeight w:val="397"/>
        </w:trPr>
        <w:tc>
          <w:tcPr>
            <w:tcW w:type="dxa" w:w="1701"/>
            <w:shd w:val="clear" w:color="auto" w:fill="F2F2F2"/>
          </w:tcPr>
          <w:p>
            <w:r/>
            <w:r>
              <w:rPr>
                <w:rFonts w:ascii="宋体" w:hAnsi="宋体" w:eastAsia="宋体"/>
                <w:sz w:val="19"/>
              </w:rPr>
              <w:t>D &lt; 70</w:t>
            </w:r>
          </w:p>
        </w:tc>
        <w:tc>
          <w:tcPr>
            <w:tcW w:type="dxa" w:w="3969"/>
            <w:shd w:val="clear" w:color="auto" w:fill="F2F2F2"/>
          </w:tcPr>
          <w:p>
            <w:r/>
            <w:r>
              <w:rPr>
                <w:rFonts w:ascii="宋体" w:hAnsi="宋体" w:eastAsia="宋体"/>
                <w:sz w:val="19"/>
              </w:rPr>
              <w:t>一般危险，可接受</w:t>
            </w:r>
          </w:p>
        </w:tc>
        <w:tc>
          <w:tcPr>
            <w:tcW w:type="dxa" w:w="3515"/>
            <w:shd w:val="clear" w:color="auto" w:fill="F2F2F2"/>
          </w:tcPr>
          <w:p>
            <w:r/>
            <w:r>
              <w:rPr>
                <w:rFonts w:ascii="宋体" w:hAnsi="宋体" w:eastAsia="宋体"/>
                <w:sz w:val="19"/>
              </w:rPr>
              <w:t>Ⅰ级（低风险）</w:t>
            </w:r>
          </w:p>
        </w:tc>
      </w:tr>
    </w:tbl>
    <w:p>
      <w:pPr>
        <w:spacing w:after="40"/>
      </w:pPr>
    </w:p>
    <w:p>
      <w:pPr>
        <w:spacing w:line="348" w:lineRule="auto" w:after="80"/>
        <w:ind w:firstLine="400"/>
        <w:jc w:val="both"/>
      </w:pPr>
      <w:r>
        <w:rPr>
          <w:rFonts w:ascii="宋体" w:hAnsi="宋体" w:eastAsia="宋体"/>
          <w:b w:val="0"/>
          <w:color w:val="595959"/>
          <w:sz w:val="20"/>
        </w:rPr>
        <w:t>注：上表 D 值分级为施工安全风险评估常用参考，具体作业的风险判定应结合项目实际与标准规定。</w:t>
      </w:r>
    </w:p>
    <w:p>
      <w:pPr>
        <w:pStyle w:val="Heading2"/>
        <w:spacing w:before="120" w:after="80"/>
      </w:pPr>
      <w:r>
        <w:rPr>
          <w:rFonts w:ascii="黑体" w:hAnsi="黑体" w:eastAsia="黑体"/>
          <w:b/>
          <w:sz w:val="26"/>
        </w:rPr>
        <w:t>4.5  风险矩阵（可能性 × 后果严重程度）</w:t>
      </w:r>
    </w:p>
    <w:p>
      <w:pPr>
        <w:spacing w:line="348" w:lineRule="auto" w:after="80"/>
        <w:ind w:firstLine="420"/>
        <w:jc w:val="both"/>
      </w:pPr>
      <w:r>
        <w:rPr>
          <w:rFonts w:ascii="宋体" w:hAnsi="宋体" w:eastAsia="宋体"/>
          <w:b w:val="0"/>
          <w:color w:val="595959"/>
          <w:sz w:val="21"/>
        </w:rPr>
        <w:t>行=后果严重程度，列=事故可能性。单元格内数字为风险等级（Ⅰ～Ⅳ）。</w:t>
      </w:r>
    </w:p>
    <w:tbl>
      <w:tblPr>
        <w:tblStyle w:val="TableGrid"/>
        <w:tblW w:type="auto" w:w="0"/>
        <w:jc w:val="center"/>
        <w:tblLook w:firstColumn="1" w:firstRow="1" w:lastColumn="0" w:lastRow="0" w:noHBand="0" w:noVBand="1" w:val="04A0"/>
      </w:tblPr>
      <w:tblGrid>
        <w:gridCol w:w="1493"/>
        <w:gridCol w:w="1493"/>
        <w:gridCol w:w="1493"/>
        <w:gridCol w:w="1493"/>
        <w:gridCol w:w="1493"/>
        <w:gridCol w:w="1493"/>
      </w:tblGrid>
      <w:tr>
        <w:trPr>
          <w:trHeight w:val="397"/>
        </w:trPr>
        <w:tc>
          <w:tcPr>
            <w:tcW w:type="dxa" w:w="1814"/>
            <w:shd w:val="clear" w:color="auto" w:fill="1F4E79"/>
          </w:tcPr>
          <w:p>
            <w:r/>
            <w:r>
              <w:rPr>
                <w:rFonts w:ascii="微软雅黑" w:hAnsi="微软雅黑" w:eastAsia="微软雅黑"/>
                <w:b/>
                <w:color w:val="FFFFFF"/>
                <w:sz w:val="19"/>
              </w:rPr>
              <w:t>后果 \ 可能性</w:t>
            </w:r>
          </w:p>
        </w:tc>
        <w:tc>
          <w:tcPr>
            <w:tcW w:type="dxa" w:w="1474"/>
            <w:shd w:val="clear" w:color="auto" w:fill="1F4E79"/>
          </w:tcPr>
          <w:p>
            <w:r/>
            <w:r>
              <w:rPr>
                <w:rFonts w:ascii="微软雅黑" w:hAnsi="微软雅黑" w:eastAsia="微软雅黑"/>
                <w:b/>
                <w:color w:val="FFFFFF"/>
                <w:sz w:val="19"/>
              </w:rPr>
              <w:t>极低</w:t>
            </w:r>
          </w:p>
        </w:tc>
        <w:tc>
          <w:tcPr>
            <w:tcW w:type="dxa" w:w="1474"/>
            <w:shd w:val="clear" w:color="auto" w:fill="1F4E79"/>
          </w:tcPr>
          <w:p>
            <w:r/>
            <w:r>
              <w:rPr>
                <w:rFonts w:ascii="微软雅黑" w:hAnsi="微软雅黑" w:eastAsia="微软雅黑"/>
                <w:b/>
                <w:color w:val="FFFFFF"/>
                <w:sz w:val="19"/>
              </w:rPr>
              <w:t>低</w:t>
            </w:r>
          </w:p>
        </w:tc>
        <w:tc>
          <w:tcPr>
            <w:tcW w:type="dxa" w:w="1474"/>
            <w:shd w:val="clear" w:color="auto" w:fill="1F4E79"/>
          </w:tcPr>
          <w:p>
            <w:r/>
            <w:r>
              <w:rPr>
                <w:rFonts w:ascii="微软雅黑" w:hAnsi="微软雅黑" w:eastAsia="微软雅黑"/>
                <w:b/>
                <w:color w:val="FFFFFF"/>
                <w:sz w:val="19"/>
              </w:rPr>
              <w:t>中</w:t>
            </w:r>
          </w:p>
        </w:tc>
        <w:tc>
          <w:tcPr>
            <w:tcW w:type="dxa" w:w="1474"/>
            <w:shd w:val="clear" w:color="auto" w:fill="1F4E79"/>
          </w:tcPr>
          <w:p>
            <w:r/>
            <w:r>
              <w:rPr>
                <w:rFonts w:ascii="微软雅黑" w:hAnsi="微软雅黑" w:eastAsia="微软雅黑"/>
                <w:b/>
                <w:color w:val="FFFFFF"/>
                <w:sz w:val="19"/>
              </w:rPr>
              <w:t>高</w:t>
            </w:r>
          </w:p>
        </w:tc>
        <w:tc>
          <w:tcPr>
            <w:tcW w:type="dxa" w:w="1474"/>
            <w:shd w:val="clear" w:color="auto" w:fill="1F4E79"/>
          </w:tcPr>
          <w:p>
            <w:r/>
            <w:r>
              <w:rPr>
                <w:rFonts w:ascii="微软雅黑" w:hAnsi="微软雅黑" w:eastAsia="微软雅黑"/>
                <w:b/>
                <w:color w:val="FFFFFF"/>
                <w:sz w:val="19"/>
              </w:rPr>
              <w:t>极高</w:t>
            </w:r>
          </w:p>
        </w:tc>
      </w:tr>
      <w:tr>
        <w:trPr>
          <w:trHeight w:val="397"/>
        </w:trPr>
        <w:tc>
          <w:tcPr>
            <w:tcW w:type="dxa" w:w="1814"/>
          </w:tcPr>
          <w:p>
            <w:r/>
            <w:r>
              <w:rPr>
                <w:rFonts w:ascii="宋体" w:hAnsi="宋体" w:eastAsia="宋体"/>
                <w:sz w:val="19"/>
              </w:rPr>
              <w:t>轻微（可接受）</w:t>
            </w:r>
          </w:p>
        </w:tc>
        <w:tc>
          <w:tcPr>
            <w:tcW w:type="dxa" w:w="1474"/>
          </w:tcPr>
          <w:p>
            <w:r/>
            <w:r>
              <w:rPr>
                <w:rFonts w:ascii="宋体" w:hAnsi="宋体" w:eastAsia="宋体"/>
                <w:sz w:val="19"/>
              </w:rPr>
              <w:t>Ⅰ</w:t>
            </w:r>
          </w:p>
        </w:tc>
        <w:tc>
          <w:tcPr>
            <w:tcW w:type="dxa" w:w="1474"/>
          </w:tcPr>
          <w:p>
            <w:r/>
            <w:r>
              <w:rPr>
                <w:rFonts w:ascii="宋体" w:hAnsi="宋体" w:eastAsia="宋体"/>
                <w:sz w:val="19"/>
              </w:rPr>
              <w:t>Ⅰ</w:t>
            </w:r>
          </w:p>
        </w:tc>
        <w:tc>
          <w:tcPr>
            <w:tcW w:type="dxa" w:w="1474"/>
          </w:tcPr>
          <w:p>
            <w:r/>
            <w:r>
              <w:rPr>
                <w:rFonts w:ascii="宋体" w:hAnsi="宋体" w:eastAsia="宋体"/>
                <w:sz w:val="19"/>
              </w:rPr>
              <w:t>Ⅱ</w:t>
            </w:r>
          </w:p>
        </w:tc>
        <w:tc>
          <w:tcPr>
            <w:tcW w:type="dxa" w:w="1474"/>
          </w:tcPr>
          <w:p>
            <w:r/>
            <w:r>
              <w:rPr>
                <w:rFonts w:ascii="宋体" w:hAnsi="宋体" w:eastAsia="宋体"/>
                <w:sz w:val="19"/>
              </w:rPr>
              <w:t>Ⅱ</w:t>
            </w:r>
          </w:p>
        </w:tc>
        <w:tc>
          <w:tcPr>
            <w:tcW w:type="dxa" w:w="1474"/>
          </w:tcPr>
          <w:p>
            <w:r/>
            <w:r>
              <w:rPr>
                <w:rFonts w:ascii="宋体" w:hAnsi="宋体" w:eastAsia="宋体"/>
                <w:sz w:val="19"/>
              </w:rPr>
              <w:t>Ⅲ</w:t>
            </w:r>
          </w:p>
        </w:tc>
      </w:tr>
      <w:tr>
        <w:trPr>
          <w:trHeight w:val="397"/>
        </w:trPr>
        <w:tc>
          <w:tcPr>
            <w:tcW w:type="dxa" w:w="1814"/>
            <w:shd w:val="clear" w:color="auto" w:fill="F2F2F2"/>
          </w:tcPr>
          <w:p>
            <w:r/>
            <w:r>
              <w:rPr>
                <w:rFonts w:ascii="宋体" w:hAnsi="宋体" w:eastAsia="宋体"/>
                <w:sz w:val="19"/>
              </w:rPr>
              <w:t>不严重</w:t>
            </w:r>
          </w:p>
        </w:tc>
        <w:tc>
          <w:tcPr>
            <w:tcW w:type="dxa" w:w="1474"/>
            <w:shd w:val="clear" w:color="auto" w:fill="F2F2F2"/>
          </w:tcPr>
          <w:p>
            <w:r/>
            <w:r>
              <w:rPr>
                <w:rFonts w:ascii="宋体" w:hAnsi="宋体" w:eastAsia="宋体"/>
                <w:sz w:val="19"/>
              </w:rPr>
              <w:t>Ⅰ</w:t>
            </w:r>
          </w:p>
        </w:tc>
        <w:tc>
          <w:tcPr>
            <w:tcW w:type="dxa" w:w="1474"/>
            <w:shd w:val="clear" w:color="auto" w:fill="F2F2F2"/>
          </w:tcPr>
          <w:p>
            <w:r/>
            <w:r>
              <w:rPr>
                <w:rFonts w:ascii="宋体" w:hAnsi="宋体" w:eastAsia="宋体"/>
                <w:sz w:val="19"/>
              </w:rPr>
              <w:t>Ⅱ</w:t>
            </w:r>
          </w:p>
        </w:tc>
        <w:tc>
          <w:tcPr>
            <w:tcW w:type="dxa" w:w="1474"/>
            <w:shd w:val="clear" w:color="auto" w:fill="F2F2F2"/>
          </w:tcPr>
          <w:p>
            <w:r/>
            <w:r>
              <w:rPr>
                <w:rFonts w:ascii="宋体" w:hAnsi="宋体" w:eastAsia="宋体"/>
                <w:sz w:val="19"/>
              </w:rPr>
              <w:t>Ⅱ</w:t>
            </w:r>
          </w:p>
        </w:tc>
        <w:tc>
          <w:tcPr>
            <w:tcW w:type="dxa" w:w="1474"/>
            <w:shd w:val="clear" w:color="auto" w:fill="F2F2F2"/>
          </w:tcPr>
          <w:p>
            <w:r/>
            <w:r>
              <w:rPr>
                <w:rFonts w:ascii="宋体" w:hAnsi="宋体" w:eastAsia="宋体"/>
                <w:sz w:val="19"/>
              </w:rPr>
              <w:t>Ⅲ</w:t>
            </w:r>
          </w:p>
        </w:tc>
        <w:tc>
          <w:tcPr>
            <w:tcW w:type="dxa" w:w="1474"/>
            <w:shd w:val="clear" w:color="auto" w:fill="F2F2F2"/>
          </w:tcPr>
          <w:p>
            <w:r/>
            <w:r>
              <w:rPr>
                <w:rFonts w:ascii="宋体" w:hAnsi="宋体" w:eastAsia="宋体"/>
                <w:sz w:val="19"/>
              </w:rPr>
              <w:t>Ⅲ</w:t>
            </w:r>
          </w:p>
        </w:tc>
      </w:tr>
      <w:tr>
        <w:trPr>
          <w:trHeight w:val="397"/>
        </w:trPr>
        <w:tc>
          <w:tcPr>
            <w:tcW w:type="dxa" w:w="1814"/>
          </w:tcPr>
          <w:p>
            <w:r/>
            <w:r>
              <w:rPr>
                <w:rFonts w:ascii="宋体" w:hAnsi="宋体" w:eastAsia="宋体"/>
                <w:sz w:val="19"/>
              </w:rPr>
              <w:t>较严重</w:t>
            </w:r>
          </w:p>
        </w:tc>
        <w:tc>
          <w:tcPr>
            <w:tcW w:type="dxa" w:w="1474"/>
          </w:tcPr>
          <w:p>
            <w:r/>
            <w:r>
              <w:rPr>
                <w:rFonts w:ascii="宋体" w:hAnsi="宋体" w:eastAsia="宋体"/>
                <w:sz w:val="19"/>
              </w:rPr>
              <w:t>Ⅱ</w:t>
            </w:r>
          </w:p>
        </w:tc>
        <w:tc>
          <w:tcPr>
            <w:tcW w:type="dxa" w:w="1474"/>
          </w:tcPr>
          <w:p>
            <w:r/>
            <w:r>
              <w:rPr>
                <w:rFonts w:ascii="宋体" w:hAnsi="宋体" w:eastAsia="宋体"/>
                <w:sz w:val="19"/>
              </w:rPr>
              <w:t>Ⅱ</w:t>
            </w:r>
          </w:p>
        </w:tc>
        <w:tc>
          <w:tcPr>
            <w:tcW w:type="dxa" w:w="1474"/>
          </w:tcPr>
          <w:p>
            <w:r/>
            <w:r>
              <w:rPr>
                <w:rFonts w:ascii="宋体" w:hAnsi="宋体" w:eastAsia="宋体"/>
                <w:sz w:val="19"/>
              </w:rPr>
              <w:t>Ⅲ</w:t>
            </w:r>
          </w:p>
        </w:tc>
        <w:tc>
          <w:tcPr>
            <w:tcW w:type="dxa" w:w="1474"/>
          </w:tcPr>
          <w:p>
            <w:r/>
            <w:r>
              <w:rPr>
                <w:rFonts w:ascii="宋体" w:hAnsi="宋体" w:eastAsia="宋体"/>
                <w:sz w:val="19"/>
              </w:rPr>
              <w:t>Ⅲ</w:t>
            </w:r>
          </w:p>
        </w:tc>
        <w:tc>
          <w:tcPr>
            <w:tcW w:type="dxa" w:w="1474"/>
          </w:tcPr>
          <w:p>
            <w:r/>
            <w:r>
              <w:rPr>
                <w:rFonts w:ascii="宋体" w:hAnsi="宋体" w:eastAsia="宋体"/>
                <w:sz w:val="19"/>
              </w:rPr>
              <w:t>Ⅳ</w:t>
            </w:r>
          </w:p>
        </w:tc>
      </w:tr>
      <w:tr>
        <w:trPr>
          <w:trHeight w:val="397"/>
        </w:trPr>
        <w:tc>
          <w:tcPr>
            <w:tcW w:type="dxa" w:w="1814"/>
            <w:shd w:val="clear" w:color="auto" w:fill="F2F2F2"/>
          </w:tcPr>
          <w:p>
            <w:r/>
            <w:r>
              <w:rPr>
                <w:rFonts w:ascii="宋体" w:hAnsi="宋体" w:eastAsia="宋体"/>
                <w:sz w:val="19"/>
              </w:rPr>
              <w:t>严重</w:t>
            </w:r>
          </w:p>
        </w:tc>
        <w:tc>
          <w:tcPr>
            <w:tcW w:type="dxa" w:w="1474"/>
            <w:shd w:val="clear" w:color="auto" w:fill="F2F2F2"/>
          </w:tcPr>
          <w:p>
            <w:r/>
            <w:r>
              <w:rPr>
                <w:rFonts w:ascii="宋体" w:hAnsi="宋体" w:eastAsia="宋体"/>
                <w:sz w:val="19"/>
              </w:rPr>
              <w:t>Ⅱ</w:t>
            </w:r>
          </w:p>
        </w:tc>
        <w:tc>
          <w:tcPr>
            <w:tcW w:type="dxa" w:w="1474"/>
            <w:shd w:val="clear" w:color="auto" w:fill="F2F2F2"/>
          </w:tcPr>
          <w:p>
            <w:r/>
            <w:r>
              <w:rPr>
                <w:rFonts w:ascii="宋体" w:hAnsi="宋体" w:eastAsia="宋体"/>
                <w:sz w:val="19"/>
              </w:rPr>
              <w:t>Ⅲ</w:t>
            </w:r>
          </w:p>
        </w:tc>
        <w:tc>
          <w:tcPr>
            <w:tcW w:type="dxa" w:w="1474"/>
            <w:shd w:val="clear" w:color="auto" w:fill="F2F2F2"/>
          </w:tcPr>
          <w:p>
            <w:r/>
            <w:r>
              <w:rPr>
                <w:rFonts w:ascii="宋体" w:hAnsi="宋体" w:eastAsia="宋体"/>
                <w:sz w:val="19"/>
              </w:rPr>
              <w:t>Ⅲ</w:t>
            </w:r>
          </w:p>
        </w:tc>
        <w:tc>
          <w:tcPr>
            <w:tcW w:type="dxa" w:w="1474"/>
            <w:shd w:val="clear" w:color="auto" w:fill="F2F2F2"/>
          </w:tcPr>
          <w:p>
            <w:r/>
            <w:r>
              <w:rPr>
                <w:rFonts w:ascii="宋体" w:hAnsi="宋体" w:eastAsia="宋体"/>
                <w:sz w:val="19"/>
              </w:rPr>
              <w:t>Ⅳ</w:t>
            </w:r>
          </w:p>
        </w:tc>
        <w:tc>
          <w:tcPr>
            <w:tcW w:type="dxa" w:w="1474"/>
            <w:shd w:val="clear" w:color="auto" w:fill="F2F2F2"/>
          </w:tcPr>
          <w:p>
            <w:r/>
            <w:r>
              <w:rPr>
                <w:rFonts w:ascii="宋体" w:hAnsi="宋体" w:eastAsia="宋体"/>
                <w:sz w:val="19"/>
              </w:rPr>
              <w:t>Ⅳ</w:t>
            </w:r>
          </w:p>
        </w:tc>
      </w:tr>
      <w:tr>
        <w:trPr>
          <w:trHeight w:val="397"/>
        </w:trPr>
        <w:tc>
          <w:tcPr>
            <w:tcW w:type="dxa" w:w="1814"/>
          </w:tcPr>
          <w:p>
            <w:r/>
            <w:r>
              <w:rPr>
                <w:rFonts w:ascii="宋体" w:hAnsi="宋体" w:eastAsia="宋体"/>
                <w:sz w:val="19"/>
              </w:rPr>
              <w:t>灾难性</w:t>
            </w:r>
          </w:p>
        </w:tc>
        <w:tc>
          <w:tcPr>
            <w:tcW w:type="dxa" w:w="1474"/>
          </w:tcPr>
          <w:p>
            <w:r/>
            <w:r>
              <w:rPr>
                <w:rFonts w:ascii="宋体" w:hAnsi="宋体" w:eastAsia="宋体"/>
                <w:sz w:val="19"/>
              </w:rPr>
              <w:t>Ⅲ</w:t>
            </w:r>
          </w:p>
        </w:tc>
        <w:tc>
          <w:tcPr>
            <w:tcW w:type="dxa" w:w="1474"/>
          </w:tcPr>
          <w:p>
            <w:r/>
            <w:r>
              <w:rPr>
                <w:rFonts w:ascii="宋体" w:hAnsi="宋体" w:eastAsia="宋体"/>
                <w:sz w:val="19"/>
              </w:rPr>
              <w:t>Ⅲ</w:t>
            </w:r>
          </w:p>
        </w:tc>
        <w:tc>
          <w:tcPr>
            <w:tcW w:type="dxa" w:w="1474"/>
          </w:tcPr>
          <w:p>
            <w:r/>
            <w:r>
              <w:rPr>
                <w:rFonts w:ascii="宋体" w:hAnsi="宋体" w:eastAsia="宋体"/>
                <w:sz w:val="19"/>
              </w:rPr>
              <w:t>Ⅳ</w:t>
            </w:r>
          </w:p>
        </w:tc>
        <w:tc>
          <w:tcPr>
            <w:tcW w:type="dxa" w:w="1474"/>
          </w:tcPr>
          <w:p>
            <w:r/>
            <w:r>
              <w:rPr>
                <w:rFonts w:ascii="宋体" w:hAnsi="宋体" w:eastAsia="宋体"/>
                <w:sz w:val="19"/>
              </w:rPr>
              <w:t>Ⅳ</w:t>
            </w:r>
          </w:p>
        </w:tc>
        <w:tc>
          <w:tcPr>
            <w:tcW w:type="dxa" w:w="1474"/>
          </w:tcPr>
          <w:p>
            <w:r/>
            <w:r>
              <w:rPr>
                <w:rFonts w:ascii="宋体" w:hAnsi="宋体" w:eastAsia="宋体"/>
                <w:sz w:val="19"/>
              </w:rPr>
              <w:t>Ⅳ</w:t>
            </w:r>
          </w:p>
        </w:tc>
      </w:tr>
    </w:tbl>
    <w:p>
      <w:pPr>
        <w:spacing w:after="40"/>
      </w:pPr>
    </w:p>
    <w:p>
      <w:pPr>
        <w:spacing w:line="348" w:lineRule="auto" w:after="80"/>
        <w:ind w:firstLine="400"/>
        <w:jc w:val="both"/>
      </w:pPr>
      <w:r>
        <w:rPr>
          <w:rFonts w:ascii="宋体" w:hAnsi="宋体" w:eastAsia="宋体"/>
          <w:b w:val="0"/>
          <w:color w:val="595959"/>
          <w:sz w:val="20"/>
        </w:rPr>
        <w:t>注：矩阵法用于重大作业活动风险估测。当可能性与后果等级交叉落在不同色区时，按“就高”原则确定风险等级。</w:t>
      </w:r>
    </w:p>
    <w:p>
      <w:pPr>
        <w:pStyle w:val="Heading1"/>
        <w:spacing w:before="200" w:after="80"/>
      </w:pPr>
      <w:r>
        <w:rPr>
          <w:rFonts w:ascii="黑体" w:hAnsi="黑体" w:eastAsia="黑体"/>
          <w:b/>
          <w:sz w:val="30"/>
        </w:rPr>
        <w:t>第五章  施工安全风险辨识</w:t>
      </w:r>
    </w:p>
    <w:p>
      <w:pPr>
        <w:spacing w:line="348" w:lineRule="auto" w:after="80"/>
        <w:ind w:firstLine="440"/>
        <w:jc w:val="both"/>
      </w:pPr>
      <w:r>
        <w:rPr>
          <w:rFonts w:ascii="宋体" w:hAnsi="宋体" w:eastAsia="宋体"/>
          <w:b w:val="0"/>
          <w:sz w:val="22"/>
        </w:rPr>
        <w:t>依据 JT/T 1375.5—2022 附录 C（典型风险事件类型）与附录 D（常见重大作业活动清单），结合港口工程特点，识别主要分部分项工程/作业活动的典型风险事件、致险因素与可能后果。致险因素按 4M（人、机料、环境、管理）分析。</w:t>
      </w:r>
    </w:p>
    <w:p>
      <w:pPr>
        <w:pStyle w:val="Heading2"/>
        <w:spacing w:before="120" w:after="80"/>
      </w:pPr>
      <w:r>
        <w:rPr>
          <w:rFonts w:ascii="黑体" w:hAnsi="黑体" w:eastAsia="黑体"/>
          <w:b/>
          <w:sz w:val="26"/>
        </w:rPr>
        <w:t>5.1  主要风险源辨识清单</w:t>
      </w:r>
    </w:p>
    <w:tbl>
      <w:tblPr>
        <w:tblStyle w:val="TableGrid"/>
        <w:tblW w:type="auto" w:w="0"/>
        <w:jc w:val="center"/>
        <w:tblLook w:firstColumn="1" w:firstRow="1" w:lastColumn="0" w:lastRow="0" w:noHBand="0" w:noVBand="1" w:val="04A0"/>
      </w:tblPr>
      <w:tblGrid>
        <w:gridCol w:w="1792"/>
        <w:gridCol w:w="1792"/>
        <w:gridCol w:w="1792"/>
        <w:gridCol w:w="1792"/>
        <w:gridCol w:w="1792"/>
      </w:tblGrid>
      <w:tr>
        <w:trPr>
          <w:trHeight w:val="397"/>
        </w:trPr>
        <w:tc>
          <w:tcPr>
            <w:tcW w:type="dxa" w:w="567"/>
            <w:shd w:val="clear" w:color="auto" w:fill="1F4E79"/>
          </w:tcPr>
          <w:p>
            <w:r/>
            <w:r>
              <w:rPr>
                <w:rFonts w:ascii="微软雅黑" w:hAnsi="微软雅黑" w:eastAsia="微软雅黑"/>
                <w:b/>
                <w:color w:val="FFFFFF"/>
                <w:sz w:val="18"/>
              </w:rPr>
              <w:t>序号</w:t>
            </w:r>
          </w:p>
        </w:tc>
        <w:tc>
          <w:tcPr>
            <w:tcW w:type="dxa" w:w="1928"/>
            <w:shd w:val="clear" w:color="auto" w:fill="1F4E79"/>
          </w:tcPr>
          <w:p>
            <w:r/>
            <w:r>
              <w:rPr>
                <w:rFonts w:ascii="微软雅黑" w:hAnsi="微软雅黑" w:eastAsia="微软雅黑"/>
                <w:b/>
                <w:color w:val="FFFFFF"/>
                <w:sz w:val="18"/>
              </w:rPr>
              <w:t>分部分项/作业活动</w:t>
            </w:r>
          </w:p>
        </w:tc>
        <w:tc>
          <w:tcPr>
            <w:tcW w:type="dxa" w:w="2381"/>
            <w:shd w:val="clear" w:color="auto" w:fill="1F4E79"/>
          </w:tcPr>
          <w:p>
            <w:r/>
            <w:r>
              <w:rPr>
                <w:rFonts w:ascii="微软雅黑" w:hAnsi="微软雅黑" w:eastAsia="微软雅黑"/>
                <w:b/>
                <w:color w:val="FFFFFF"/>
                <w:sz w:val="18"/>
              </w:rPr>
              <w:t>典型风险事件</w:t>
            </w:r>
          </w:p>
        </w:tc>
        <w:tc>
          <w:tcPr>
            <w:tcW w:type="dxa" w:w="2381"/>
            <w:shd w:val="clear" w:color="auto" w:fill="1F4E79"/>
          </w:tcPr>
          <w:p>
            <w:r/>
            <w:r>
              <w:rPr>
                <w:rFonts w:ascii="微软雅黑" w:hAnsi="微软雅黑" w:eastAsia="微软雅黑"/>
                <w:b/>
                <w:color w:val="FFFFFF"/>
                <w:sz w:val="18"/>
              </w:rPr>
              <w:t>主要致险因素</w:t>
            </w:r>
          </w:p>
        </w:tc>
        <w:tc>
          <w:tcPr>
            <w:tcW w:type="dxa" w:w="1928"/>
            <w:shd w:val="clear" w:color="auto" w:fill="1F4E79"/>
          </w:tcPr>
          <w:p>
            <w:r/>
            <w:r>
              <w:rPr>
                <w:rFonts w:ascii="微软雅黑" w:hAnsi="微软雅黑" w:eastAsia="微软雅黑"/>
                <w:b/>
                <w:color w:val="FFFFFF"/>
                <w:sz w:val="18"/>
              </w:rPr>
              <w:t>可能后果</w:t>
            </w:r>
          </w:p>
        </w:tc>
      </w:tr>
      <w:tr>
        <w:trPr>
          <w:trHeight w:val="397"/>
        </w:trPr>
        <w:tc>
          <w:tcPr>
            <w:tcW w:type="dxa" w:w="567"/>
          </w:tcPr>
          <w:p>
            <w:r/>
            <w:r>
              <w:rPr>
                <w:rFonts w:ascii="宋体" w:hAnsi="宋体" w:eastAsia="宋体"/>
                <w:sz w:val="18"/>
              </w:rPr>
              <w:t>1</w:t>
            </w:r>
          </w:p>
        </w:tc>
        <w:tc>
          <w:tcPr>
            <w:tcW w:type="dxa" w:w="1928"/>
          </w:tcPr>
          <w:p>
            <w:r/>
            <w:r>
              <w:rPr>
                <w:rFonts w:ascii="宋体" w:hAnsi="宋体" w:eastAsia="宋体"/>
                <w:sz w:val="18"/>
              </w:rPr>
              <w:t>水上沉桩（打桩船）</w:t>
            </w:r>
          </w:p>
        </w:tc>
        <w:tc>
          <w:tcPr>
            <w:tcW w:type="dxa" w:w="2381"/>
          </w:tcPr>
          <w:p>
            <w:r/>
            <w:r>
              <w:rPr>
                <w:rFonts w:ascii="宋体" w:hAnsi="宋体" w:eastAsia="宋体"/>
                <w:sz w:val="18"/>
              </w:rPr>
              <w:t>船舶碰撞、桩架倾覆、桩身断裂、人员落水</w:t>
            </w:r>
          </w:p>
        </w:tc>
        <w:tc>
          <w:tcPr>
            <w:tcW w:type="dxa" w:w="2381"/>
          </w:tcPr>
          <w:p>
            <w:r/>
            <w:r>
              <w:rPr>
                <w:rFonts w:ascii="宋体" w:hAnsi="宋体" w:eastAsia="宋体"/>
                <w:sz w:val="18"/>
              </w:rPr>
              <w:t>环境（涌浪/突风/通航）、设备（桩架/吊索）、人（操作）</w:t>
            </w:r>
          </w:p>
        </w:tc>
        <w:tc>
          <w:tcPr>
            <w:tcW w:type="dxa" w:w="1928"/>
          </w:tcPr>
          <w:p>
            <w:r/>
            <w:r>
              <w:rPr>
                <w:rFonts w:ascii="宋体" w:hAnsi="宋体" w:eastAsia="宋体"/>
                <w:sz w:val="18"/>
              </w:rPr>
              <w:t>淹溺、物体打击、起重伤害</w:t>
            </w:r>
          </w:p>
        </w:tc>
      </w:tr>
      <w:tr>
        <w:trPr>
          <w:trHeight w:val="397"/>
        </w:trPr>
        <w:tc>
          <w:tcPr>
            <w:tcW w:type="dxa" w:w="567"/>
            <w:shd w:val="clear" w:color="auto" w:fill="F2F2F2"/>
          </w:tcPr>
          <w:p>
            <w:r/>
            <w:r>
              <w:rPr>
                <w:rFonts w:ascii="宋体" w:hAnsi="宋体" w:eastAsia="宋体"/>
                <w:sz w:val="18"/>
              </w:rPr>
              <w:t>2</w:t>
            </w:r>
          </w:p>
        </w:tc>
        <w:tc>
          <w:tcPr>
            <w:tcW w:type="dxa" w:w="1928"/>
            <w:shd w:val="clear" w:color="auto" w:fill="F2F2F2"/>
          </w:tcPr>
          <w:p>
            <w:r/>
            <w:r>
              <w:rPr>
                <w:rFonts w:ascii="宋体" w:hAnsi="宋体" w:eastAsia="宋体"/>
                <w:sz w:val="18"/>
              </w:rPr>
              <w:t>预制构件出运、吊运与安装</w:t>
            </w:r>
          </w:p>
        </w:tc>
        <w:tc>
          <w:tcPr>
            <w:tcW w:type="dxa" w:w="2381"/>
            <w:shd w:val="clear" w:color="auto" w:fill="F2F2F2"/>
          </w:tcPr>
          <w:p>
            <w:r/>
            <w:r>
              <w:rPr>
                <w:rFonts w:ascii="宋体" w:hAnsi="宋体" w:eastAsia="宋体"/>
                <w:sz w:val="18"/>
              </w:rPr>
              <w:t>构件坠落、起重船倾覆、碰撞</w:t>
            </w:r>
          </w:p>
        </w:tc>
        <w:tc>
          <w:tcPr>
            <w:tcW w:type="dxa" w:w="2381"/>
            <w:shd w:val="clear" w:color="auto" w:fill="F2F2F2"/>
          </w:tcPr>
          <w:p>
            <w:r/>
            <w:r>
              <w:rPr>
                <w:rFonts w:ascii="宋体" w:hAnsi="宋体" w:eastAsia="宋体"/>
                <w:sz w:val="18"/>
              </w:rPr>
              <w:t>设备（起重船/吊索）、环境（风浪）、工艺</w:t>
            </w:r>
          </w:p>
        </w:tc>
        <w:tc>
          <w:tcPr>
            <w:tcW w:type="dxa" w:w="1928"/>
            <w:shd w:val="clear" w:color="auto" w:fill="F2F2F2"/>
          </w:tcPr>
          <w:p>
            <w:r/>
            <w:r>
              <w:rPr>
                <w:rFonts w:ascii="宋体" w:hAnsi="宋体" w:eastAsia="宋体"/>
                <w:sz w:val="18"/>
              </w:rPr>
              <w:t>起重伤害、淹溺、结构损坏</w:t>
            </w:r>
          </w:p>
        </w:tc>
      </w:tr>
      <w:tr>
        <w:trPr>
          <w:trHeight w:val="397"/>
        </w:trPr>
        <w:tc>
          <w:tcPr>
            <w:tcW w:type="dxa" w:w="567"/>
          </w:tcPr>
          <w:p>
            <w:r/>
            <w:r>
              <w:rPr>
                <w:rFonts w:ascii="宋体" w:hAnsi="宋体" w:eastAsia="宋体"/>
                <w:sz w:val="18"/>
              </w:rPr>
              <w:t>3</w:t>
            </w:r>
          </w:p>
        </w:tc>
        <w:tc>
          <w:tcPr>
            <w:tcW w:type="dxa" w:w="1928"/>
          </w:tcPr>
          <w:p>
            <w:r/>
            <w:r>
              <w:rPr>
                <w:rFonts w:ascii="宋体" w:hAnsi="宋体" w:eastAsia="宋体"/>
                <w:sz w:val="18"/>
              </w:rPr>
              <w:t>深基坑/围堰开挖支护</w:t>
            </w:r>
          </w:p>
        </w:tc>
        <w:tc>
          <w:tcPr>
            <w:tcW w:type="dxa" w:w="2381"/>
          </w:tcPr>
          <w:p>
            <w:r/>
            <w:r>
              <w:rPr>
                <w:rFonts w:ascii="宋体" w:hAnsi="宋体" w:eastAsia="宋体"/>
                <w:sz w:val="18"/>
              </w:rPr>
              <w:t>坍塌、涌水、围堰失效</w:t>
            </w:r>
          </w:p>
        </w:tc>
        <w:tc>
          <w:tcPr>
            <w:tcW w:type="dxa" w:w="2381"/>
          </w:tcPr>
          <w:p>
            <w:r/>
            <w:r>
              <w:rPr>
                <w:rFonts w:ascii="宋体" w:hAnsi="宋体" w:eastAsia="宋体"/>
                <w:sz w:val="18"/>
              </w:rPr>
              <w:t>地质（软基/承压水）、支护、监测</w:t>
            </w:r>
          </w:p>
        </w:tc>
        <w:tc>
          <w:tcPr>
            <w:tcW w:type="dxa" w:w="1928"/>
          </w:tcPr>
          <w:p>
            <w:r/>
            <w:r>
              <w:rPr>
                <w:rFonts w:ascii="宋体" w:hAnsi="宋体" w:eastAsia="宋体"/>
                <w:sz w:val="18"/>
              </w:rPr>
              <w:t>坍塌、淹溺</w:t>
            </w:r>
          </w:p>
        </w:tc>
      </w:tr>
      <w:tr>
        <w:trPr>
          <w:trHeight w:val="397"/>
        </w:trPr>
        <w:tc>
          <w:tcPr>
            <w:tcW w:type="dxa" w:w="567"/>
            <w:shd w:val="clear" w:color="auto" w:fill="F2F2F2"/>
          </w:tcPr>
          <w:p>
            <w:r/>
            <w:r>
              <w:rPr>
                <w:rFonts w:ascii="宋体" w:hAnsi="宋体" w:eastAsia="宋体"/>
                <w:sz w:val="18"/>
              </w:rPr>
              <w:t>4</w:t>
            </w:r>
          </w:p>
        </w:tc>
        <w:tc>
          <w:tcPr>
            <w:tcW w:type="dxa" w:w="1928"/>
            <w:shd w:val="clear" w:color="auto" w:fill="F2F2F2"/>
          </w:tcPr>
          <w:p>
            <w:r/>
            <w:r>
              <w:rPr>
                <w:rFonts w:ascii="宋体" w:hAnsi="宋体" w:eastAsia="宋体"/>
                <w:sz w:val="18"/>
              </w:rPr>
              <w:t>临时用电</w:t>
            </w:r>
          </w:p>
        </w:tc>
        <w:tc>
          <w:tcPr>
            <w:tcW w:type="dxa" w:w="2381"/>
            <w:shd w:val="clear" w:color="auto" w:fill="F2F2F2"/>
          </w:tcPr>
          <w:p>
            <w:r/>
            <w:r>
              <w:rPr>
                <w:rFonts w:ascii="宋体" w:hAnsi="宋体" w:eastAsia="宋体"/>
                <w:sz w:val="18"/>
              </w:rPr>
              <w:t>触电、电气火灾</w:t>
            </w:r>
          </w:p>
        </w:tc>
        <w:tc>
          <w:tcPr>
            <w:tcW w:type="dxa" w:w="2381"/>
            <w:shd w:val="clear" w:color="auto" w:fill="F2F2F2"/>
          </w:tcPr>
          <w:p>
            <w:r/>
            <w:r>
              <w:rPr>
                <w:rFonts w:ascii="宋体" w:hAnsi="宋体" w:eastAsia="宋体"/>
                <w:sz w:val="18"/>
              </w:rPr>
              <w:t>私拉乱接、设备漏电、接地失效</w:t>
            </w:r>
          </w:p>
        </w:tc>
        <w:tc>
          <w:tcPr>
            <w:tcW w:type="dxa" w:w="1928"/>
            <w:shd w:val="clear" w:color="auto" w:fill="F2F2F2"/>
          </w:tcPr>
          <w:p>
            <w:r/>
            <w:r>
              <w:rPr>
                <w:rFonts w:ascii="宋体" w:hAnsi="宋体" w:eastAsia="宋体"/>
                <w:sz w:val="18"/>
              </w:rPr>
              <w:t>触电、火灾</w:t>
            </w:r>
          </w:p>
        </w:tc>
      </w:tr>
      <w:tr>
        <w:trPr>
          <w:trHeight w:val="397"/>
        </w:trPr>
        <w:tc>
          <w:tcPr>
            <w:tcW w:type="dxa" w:w="567"/>
          </w:tcPr>
          <w:p>
            <w:r/>
            <w:r>
              <w:rPr>
                <w:rFonts w:ascii="宋体" w:hAnsi="宋体" w:eastAsia="宋体"/>
                <w:sz w:val="18"/>
              </w:rPr>
              <w:t>5</w:t>
            </w:r>
          </w:p>
        </w:tc>
        <w:tc>
          <w:tcPr>
            <w:tcW w:type="dxa" w:w="1928"/>
          </w:tcPr>
          <w:p>
            <w:r/>
            <w:r>
              <w:rPr>
                <w:rFonts w:ascii="宋体" w:hAnsi="宋体" w:eastAsia="宋体"/>
                <w:sz w:val="18"/>
              </w:rPr>
              <w:t>高处作业/临边作业</w:t>
            </w:r>
          </w:p>
        </w:tc>
        <w:tc>
          <w:tcPr>
            <w:tcW w:type="dxa" w:w="2381"/>
          </w:tcPr>
          <w:p>
            <w:r/>
            <w:r>
              <w:rPr>
                <w:rFonts w:ascii="宋体" w:hAnsi="宋体" w:eastAsia="宋体"/>
                <w:sz w:val="18"/>
              </w:rPr>
              <w:t>高处坠落、物体打击</w:t>
            </w:r>
          </w:p>
        </w:tc>
        <w:tc>
          <w:tcPr>
            <w:tcW w:type="dxa" w:w="2381"/>
          </w:tcPr>
          <w:p>
            <w:r/>
            <w:r>
              <w:rPr>
                <w:rFonts w:ascii="宋体" w:hAnsi="宋体" w:eastAsia="宋体"/>
                <w:sz w:val="18"/>
              </w:rPr>
              <w:t>防护缺失、违章、风浪晃动</w:t>
            </w:r>
          </w:p>
        </w:tc>
        <w:tc>
          <w:tcPr>
            <w:tcW w:type="dxa" w:w="1928"/>
          </w:tcPr>
          <w:p>
            <w:r/>
            <w:r>
              <w:rPr>
                <w:rFonts w:ascii="宋体" w:hAnsi="宋体" w:eastAsia="宋体"/>
                <w:sz w:val="18"/>
              </w:rPr>
              <w:t>高处坠落、物体打击</w:t>
            </w:r>
          </w:p>
        </w:tc>
      </w:tr>
      <w:tr>
        <w:trPr>
          <w:trHeight w:val="397"/>
        </w:trPr>
        <w:tc>
          <w:tcPr>
            <w:tcW w:type="dxa" w:w="567"/>
            <w:shd w:val="clear" w:color="auto" w:fill="F2F2F2"/>
          </w:tcPr>
          <w:p>
            <w:r/>
            <w:r>
              <w:rPr>
                <w:rFonts w:ascii="宋体" w:hAnsi="宋体" w:eastAsia="宋体"/>
                <w:sz w:val="18"/>
              </w:rPr>
              <w:t>6</w:t>
            </w:r>
          </w:p>
        </w:tc>
        <w:tc>
          <w:tcPr>
            <w:tcW w:type="dxa" w:w="1928"/>
            <w:shd w:val="clear" w:color="auto" w:fill="F2F2F2"/>
          </w:tcPr>
          <w:p>
            <w:r/>
            <w:r>
              <w:rPr>
                <w:rFonts w:ascii="宋体" w:hAnsi="宋体" w:eastAsia="宋体"/>
                <w:sz w:val="18"/>
              </w:rPr>
              <w:t>施工船舶/水上交通</w:t>
            </w:r>
          </w:p>
        </w:tc>
        <w:tc>
          <w:tcPr>
            <w:tcW w:type="dxa" w:w="2381"/>
            <w:shd w:val="clear" w:color="auto" w:fill="F2F2F2"/>
          </w:tcPr>
          <w:p>
            <w:r/>
            <w:r>
              <w:rPr>
                <w:rFonts w:ascii="宋体" w:hAnsi="宋体" w:eastAsia="宋体"/>
                <w:sz w:val="18"/>
              </w:rPr>
              <w:t>翻沉、碰撞、走锚</w:t>
            </w:r>
          </w:p>
        </w:tc>
        <w:tc>
          <w:tcPr>
            <w:tcW w:type="dxa" w:w="2381"/>
            <w:shd w:val="clear" w:color="auto" w:fill="F2F2F2"/>
          </w:tcPr>
          <w:p>
            <w:r/>
            <w:r>
              <w:rPr>
                <w:rFonts w:ascii="宋体" w:hAnsi="宋体" w:eastAsia="宋体"/>
                <w:sz w:val="18"/>
              </w:rPr>
              <w:t>台风/突风、通航密度、锚泊</w:t>
            </w:r>
          </w:p>
        </w:tc>
        <w:tc>
          <w:tcPr>
            <w:tcW w:type="dxa" w:w="1928"/>
            <w:shd w:val="clear" w:color="auto" w:fill="F2F2F2"/>
          </w:tcPr>
          <w:p>
            <w:r/>
            <w:r>
              <w:rPr>
                <w:rFonts w:ascii="宋体" w:hAnsi="宋体" w:eastAsia="宋体"/>
                <w:sz w:val="18"/>
              </w:rPr>
              <w:t>淹溺、船舶损坏</w:t>
            </w:r>
          </w:p>
        </w:tc>
      </w:tr>
      <w:tr>
        <w:trPr>
          <w:trHeight w:val="397"/>
        </w:trPr>
        <w:tc>
          <w:tcPr>
            <w:tcW w:type="dxa" w:w="567"/>
          </w:tcPr>
          <w:p>
            <w:r/>
            <w:r>
              <w:rPr>
                <w:rFonts w:ascii="宋体" w:hAnsi="宋体" w:eastAsia="宋体"/>
                <w:sz w:val="18"/>
              </w:rPr>
              <w:t>7</w:t>
            </w:r>
          </w:p>
        </w:tc>
        <w:tc>
          <w:tcPr>
            <w:tcW w:type="dxa" w:w="1928"/>
          </w:tcPr>
          <w:p>
            <w:r/>
            <w:r>
              <w:rPr>
                <w:rFonts w:ascii="宋体" w:hAnsi="宋体" w:eastAsia="宋体"/>
                <w:sz w:val="18"/>
              </w:rPr>
              <w:t>潜水作业</w:t>
            </w:r>
          </w:p>
        </w:tc>
        <w:tc>
          <w:tcPr>
            <w:tcW w:type="dxa" w:w="2381"/>
          </w:tcPr>
          <w:p>
            <w:r/>
            <w:r>
              <w:rPr>
                <w:rFonts w:ascii="宋体" w:hAnsi="宋体" w:eastAsia="宋体"/>
                <w:sz w:val="18"/>
              </w:rPr>
              <w:t>窒息、减压病、溺水</w:t>
            </w:r>
          </w:p>
        </w:tc>
        <w:tc>
          <w:tcPr>
            <w:tcW w:type="dxa" w:w="2381"/>
          </w:tcPr>
          <w:p>
            <w:r/>
            <w:r>
              <w:rPr>
                <w:rFonts w:ascii="宋体" w:hAnsi="宋体" w:eastAsia="宋体"/>
                <w:sz w:val="18"/>
              </w:rPr>
              <w:t>设备（潜水装具）、环境（水流）</w:t>
            </w:r>
          </w:p>
        </w:tc>
        <w:tc>
          <w:tcPr>
            <w:tcW w:type="dxa" w:w="1928"/>
          </w:tcPr>
          <w:p>
            <w:r/>
            <w:r>
              <w:rPr>
                <w:rFonts w:ascii="宋体" w:hAnsi="宋体" w:eastAsia="宋体"/>
                <w:sz w:val="18"/>
              </w:rPr>
              <w:t>淹溺、急性伤害</w:t>
            </w:r>
          </w:p>
        </w:tc>
      </w:tr>
      <w:tr>
        <w:trPr>
          <w:trHeight w:val="397"/>
        </w:trPr>
        <w:tc>
          <w:tcPr>
            <w:tcW w:type="dxa" w:w="567"/>
            <w:shd w:val="clear" w:color="auto" w:fill="F2F2F2"/>
          </w:tcPr>
          <w:p>
            <w:r/>
            <w:r>
              <w:rPr>
                <w:rFonts w:ascii="宋体" w:hAnsi="宋体" w:eastAsia="宋体"/>
                <w:sz w:val="18"/>
              </w:rPr>
              <w:t>8</w:t>
            </w:r>
          </w:p>
        </w:tc>
        <w:tc>
          <w:tcPr>
            <w:tcW w:type="dxa" w:w="1928"/>
            <w:shd w:val="clear" w:color="auto" w:fill="F2F2F2"/>
          </w:tcPr>
          <w:p>
            <w:r/>
            <w:r>
              <w:rPr>
                <w:rFonts w:ascii="宋体" w:hAnsi="宋体" w:eastAsia="宋体"/>
                <w:sz w:val="18"/>
              </w:rPr>
              <w:t>水下爆破/基床爆夯</w:t>
            </w:r>
          </w:p>
        </w:tc>
        <w:tc>
          <w:tcPr>
            <w:tcW w:type="dxa" w:w="2381"/>
            <w:shd w:val="clear" w:color="auto" w:fill="F2F2F2"/>
          </w:tcPr>
          <w:p>
            <w:r/>
            <w:r>
              <w:rPr>
                <w:rFonts w:ascii="宋体" w:hAnsi="宋体" w:eastAsia="宋体"/>
                <w:sz w:val="18"/>
              </w:rPr>
              <w:t>飞石、冲击波、涌浪</w:t>
            </w:r>
          </w:p>
        </w:tc>
        <w:tc>
          <w:tcPr>
            <w:tcW w:type="dxa" w:w="2381"/>
            <w:shd w:val="clear" w:color="auto" w:fill="F2F2F2"/>
          </w:tcPr>
          <w:p>
            <w:r/>
            <w:r>
              <w:rPr>
                <w:rFonts w:ascii="宋体" w:hAnsi="宋体" w:eastAsia="宋体"/>
                <w:sz w:val="18"/>
              </w:rPr>
              <w:t>爆破参数、警戒、风向</w:t>
            </w:r>
          </w:p>
        </w:tc>
        <w:tc>
          <w:tcPr>
            <w:tcW w:type="dxa" w:w="1928"/>
            <w:shd w:val="clear" w:color="auto" w:fill="F2F2F2"/>
          </w:tcPr>
          <w:p>
            <w:r/>
            <w:r>
              <w:rPr>
                <w:rFonts w:ascii="宋体" w:hAnsi="宋体" w:eastAsia="宋体"/>
                <w:sz w:val="18"/>
              </w:rPr>
              <w:t>人员伤亡、结构损坏</w:t>
            </w:r>
          </w:p>
        </w:tc>
      </w:tr>
      <w:tr>
        <w:trPr>
          <w:trHeight w:val="397"/>
        </w:trPr>
        <w:tc>
          <w:tcPr>
            <w:tcW w:type="dxa" w:w="567"/>
          </w:tcPr>
          <w:p>
            <w:r/>
            <w:r>
              <w:rPr>
                <w:rFonts w:ascii="宋体" w:hAnsi="宋体" w:eastAsia="宋体"/>
                <w:sz w:val="18"/>
              </w:rPr>
              <w:t>9</w:t>
            </w:r>
          </w:p>
        </w:tc>
        <w:tc>
          <w:tcPr>
            <w:tcW w:type="dxa" w:w="1928"/>
          </w:tcPr>
          <w:p>
            <w:r/>
            <w:r>
              <w:rPr>
                <w:rFonts w:ascii="宋体" w:hAnsi="宋体" w:eastAsia="宋体"/>
                <w:sz w:val="18"/>
              </w:rPr>
              <w:t>防汛防台</w:t>
            </w:r>
          </w:p>
        </w:tc>
        <w:tc>
          <w:tcPr>
            <w:tcW w:type="dxa" w:w="2381"/>
          </w:tcPr>
          <w:p>
            <w:r/>
            <w:r>
              <w:rPr>
                <w:rFonts w:ascii="宋体" w:hAnsi="宋体" w:eastAsia="宋体"/>
                <w:sz w:val="18"/>
              </w:rPr>
              <w:t>台风损毁设施、人员受困</w:t>
            </w:r>
          </w:p>
        </w:tc>
        <w:tc>
          <w:tcPr>
            <w:tcW w:type="dxa" w:w="2381"/>
          </w:tcPr>
          <w:p>
            <w:r/>
            <w:r>
              <w:rPr>
                <w:rFonts w:ascii="宋体" w:hAnsi="宋体" w:eastAsia="宋体"/>
                <w:sz w:val="18"/>
              </w:rPr>
              <w:t>台风预警、避险锚地、加固</w:t>
            </w:r>
          </w:p>
        </w:tc>
        <w:tc>
          <w:tcPr>
            <w:tcW w:type="dxa" w:w="1928"/>
          </w:tcPr>
          <w:p>
            <w:r/>
            <w:r>
              <w:rPr>
                <w:rFonts w:ascii="宋体" w:hAnsi="宋体" w:eastAsia="宋体"/>
                <w:sz w:val="18"/>
              </w:rPr>
              <w:t>淹溺、设施损毁</w:t>
            </w:r>
          </w:p>
        </w:tc>
      </w:tr>
      <w:tr>
        <w:trPr>
          <w:trHeight w:val="397"/>
        </w:trPr>
        <w:tc>
          <w:tcPr>
            <w:tcW w:type="dxa" w:w="567"/>
            <w:shd w:val="clear" w:color="auto" w:fill="F2F2F2"/>
          </w:tcPr>
          <w:p>
            <w:r/>
            <w:r>
              <w:rPr>
                <w:rFonts w:ascii="宋体" w:hAnsi="宋体" w:eastAsia="宋体"/>
                <w:sz w:val="18"/>
              </w:rPr>
              <w:t>10</w:t>
            </w:r>
          </w:p>
        </w:tc>
        <w:tc>
          <w:tcPr>
            <w:tcW w:type="dxa" w:w="1928"/>
            <w:shd w:val="clear" w:color="auto" w:fill="F2F2F2"/>
          </w:tcPr>
          <w:p>
            <w:r/>
            <w:r>
              <w:rPr>
                <w:rFonts w:ascii="宋体" w:hAnsi="宋体" w:eastAsia="宋体"/>
                <w:sz w:val="18"/>
              </w:rPr>
              <w:t>模板支架/大型临时工程</w:t>
            </w:r>
          </w:p>
        </w:tc>
        <w:tc>
          <w:tcPr>
            <w:tcW w:type="dxa" w:w="2381"/>
            <w:shd w:val="clear" w:color="auto" w:fill="F2F2F2"/>
          </w:tcPr>
          <w:p>
            <w:r/>
            <w:r>
              <w:rPr>
                <w:rFonts w:ascii="宋体" w:hAnsi="宋体" w:eastAsia="宋体"/>
                <w:sz w:val="18"/>
              </w:rPr>
              <w:t>支架垮塌、平台倾覆</w:t>
            </w:r>
          </w:p>
        </w:tc>
        <w:tc>
          <w:tcPr>
            <w:tcW w:type="dxa" w:w="2381"/>
            <w:shd w:val="clear" w:color="auto" w:fill="F2F2F2"/>
          </w:tcPr>
          <w:p>
            <w:r/>
            <w:r>
              <w:rPr>
                <w:rFonts w:ascii="宋体" w:hAnsi="宋体" w:eastAsia="宋体"/>
                <w:sz w:val="18"/>
              </w:rPr>
              <w:t>设计验算、搭设质量、超载</w:t>
            </w:r>
          </w:p>
        </w:tc>
        <w:tc>
          <w:tcPr>
            <w:tcW w:type="dxa" w:w="1928"/>
            <w:shd w:val="clear" w:color="auto" w:fill="F2F2F2"/>
          </w:tcPr>
          <w:p>
            <w:r/>
            <w:r>
              <w:rPr>
                <w:rFonts w:ascii="宋体" w:hAnsi="宋体" w:eastAsia="宋体"/>
                <w:sz w:val="18"/>
              </w:rPr>
              <w:t>坍塌、高处坠落</w:t>
            </w:r>
          </w:p>
        </w:tc>
      </w:tr>
      <w:tr>
        <w:trPr>
          <w:trHeight w:val="397"/>
        </w:trPr>
        <w:tc>
          <w:tcPr>
            <w:tcW w:type="dxa" w:w="567"/>
          </w:tcPr>
          <w:p>
            <w:r/>
            <w:r>
              <w:rPr>
                <w:rFonts w:ascii="宋体" w:hAnsi="宋体" w:eastAsia="宋体"/>
                <w:sz w:val="18"/>
              </w:rPr>
              <w:t>11</w:t>
            </w:r>
          </w:p>
        </w:tc>
        <w:tc>
          <w:tcPr>
            <w:tcW w:type="dxa" w:w="1928"/>
          </w:tcPr>
          <w:p>
            <w:r/>
            <w:r>
              <w:rPr>
                <w:rFonts w:ascii="宋体" w:hAnsi="宋体" w:eastAsia="宋体"/>
                <w:sz w:val="18"/>
              </w:rPr>
              <w:t>疏浚与吹填</w:t>
            </w:r>
          </w:p>
        </w:tc>
        <w:tc>
          <w:tcPr>
            <w:tcW w:type="dxa" w:w="2381"/>
          </w:tcPr>
          <w:p>
            <w:r/>
            <w:r>
              <w:rPr>
                <w:rFonts w:ascii="宋体" w:hAnsi="宋体" w:eastAsia="宋体"/>
                <w:sz w:val="18"/>
              </w:rPr>
              <w:t>管线破损、滑坡、船舶搁浅</w:t>
            </w:r>
          </w:p>
        </w:tc>
        <w:tc>
          <w:tcPr>
            <w:tcW w:type="dxa" w:w="2381"/>
          </w:tcPr>
          <w:p>
            <w:r/>
            <w:r>
              <w:rPr>
                <w:rFonts w:ascii="宋体" w:hAnsi="宋体" w:eastAsia="宋体"/>
                <w:sz w:val="18"/>
              </w:rPr>
              <w:t>土质、边坡、管线</w:t>
            </w:r>
          </w:p>
        </w:tc>
        <w:tc>
          <w:tcPr>
            <w:tcW w:type="dxa" w:w="1928"/>
          </w:tcPr>
          <w:p>
            <w:r/>
            <w:r>
              <w:rPr>
                <w:rFonts w:ascii="宋体" w:hAnsi="宋体" w:eastAsia="宋体"/>
                <w:sz w:val="18"/>
              </w:rPr>
              <w:t>环境污染、船舶事故</w:t>
            </w:r>
          </w:p>
        </w:tc>
      </w:tr>
      <w:tr>
        <w:trPr>
          <w:trHeight w:val="397"/>
        </w:trPr>
        <w:tc>
          <w:tcPr>
            <w:tcW w:type="dxa" w:w="567"/>
            <w:shd w:val="clear" w:color="auto" w:fill="F2F2F2"/>
          </w:tcPr>
          <w:p>
            <w:r/>
            <w:r>
              <w:rPr>
                <w:rFonts w:ascii="宋体" w:hAnsi="宋体" w:eastAsia="宋体"/>
                <w:sz w:val="18"/>
              </w:rPr>
              <w:t>12</w:t>
            </w:r>
          </w:p>
        </w:tc>
        <w:tc>
          <w:tcPr>
            <w:tcW w:type="dxa" w:w="1928"/>
            <w:shd w:val="clear" w:color="auto" w:fill="F2F2F2"/>
          </w:tcPr>
          <w:p>
            <w:r/>
            <w:r>
              <w:rPr>
                <w:rFonts w:ascii="宋体" w:hAnsi="宋体" w:eastAsia="宋体"/>
                <w:sz w:val="18"/>
              </w:rPr>
              <w:t>边通航边施工</w:t>
            </w:r>
          </w:p>
        </w:tc>
        <w:tc>
          <w:tcPr>
            <w:tcW w:type="dxa" w:w="2381"/>
            <w:shd w:val="clear" w:color="auto" w:fill="F2F2F2"/>
          </w:tcPr>
          <w:p>
            <w:r/>
            <w:r>
              <w:rPr>
                <w:rFonts w:ascii="宋体" w:hAnsi="宋体" w:eastAsia="宋体"/>
                <w:sz w:val="18"/>
              </w:rPr>
              <w:t>船舶撞击、航行安全事故</w:t>
            </w:r>
          </w:p>
        </w:tc>
        <w:tc>
          <w:tcPr>
            <w:tcW w:type="dxa" w:w="2381"/>
            <w:shd w:val="clear" w:color="auto" w:fill="F2F2F2"/>
          </w:tcPr>
          <w:p>
            <w:r/>
            <w:r>
              <w:rPr>
                <w:rFonts w:ascii="宋体" w:hAnsi="宋体" w:eastAsia="宋体"/>
                <w:sz w:val="18"/>
              </w:rPr>
              <w:t>警戒、通航方案、沟通</w:t>
            </w:r>
          </w:p>
        </w:tc>
        <w:tc>
          <w:tcPr>
            <w:tcW w:type="dxa" w:w="1928"/>
            <w:shd w:val="clear" w:color="auto" w:fill="F2F2F2"/>
          </w:tcPr>
          <w:p>
            <w:r/>
            <w:r>
              <w:rPr>
                <w:rFonts w:ascii="宋体" w:hAnsi="宋体" w:eastAsia="宋体"/>
                <w:sz w:val="18"/>
              </w:rPr>
              <w:t>碰撞、人员伤亡</w:t>
            </w:r>
          </w:p>
        </w:tc>
      </w:tr>
    </w:tbl>
    <w:p>
      <w:pPr>
        <w:spacing w:after="40"/>
      </w:pPr>
    </w:p>
    <w:p>
      <w:pPr>
        <w:pStyle w:val="Heading2"/>
        <w:spacing w:before="120" w:after="80"/>
      </w:pPr>
      <w:r>
        <w:rPr>
          <w:rFonts w:ascii="黑体" w:hAnsi="黑体" w:eastAsia="黑体"/>
          <w:b/>
          <w:sz w:val="26"/>
        </w:rPr>
        <w:t>5.2  重大作业活动（需开展专项风险评估）</w:t>
      </w:r>
    </w:p>
    <w:p>
      <w:pPr>
        <w:spacing w:line="348" w:lineRule="auto" w:after="80"/>
        <w:ind w:firstLine="440"/>
        <w:jc w:val="both"/>
      </w:pPr>
      <w:r>
        <w:rPr>
          <w:rFonts w:ascii="宋体" w:hAnsi="宋体" w:eastAsia="宋体"/>
          <w:b w:val="0"/>
          <w:sz w:val="22"/>
        </w:rPr>
        <w:t>依据 JT/T 1375.5—2022 附录 D，本示例工程下列作业属重大作业活动，应逐一开展专项风险评估：水上沉桩施工、水上吊运及安装、深基坑/围堰开挖、预制构件出运与安装、水下爆破/基床爆夯、潜水作业、大型支架模板架设与拆除、岸坡开挖、码头前沿挖泥、防汛防台应急作业等。</w:t>
      </w:r>
    </w:p>
    <w:p>
      <w:pPr>
        <w:pStyle w:val="Heading1"/>
        <w:spacing w:before="200" w:after="80"/>
      </w:pPr>
      <w:r>
        <w:rPr>
          <w:rFonts w:ascii="黑体" w:hAnsi="黑体" w:eastAsia="黑体"/>
          <w:b/>
          <w:sz w:val="30"/>
        </w:rPr>
        <w:t>第六章  总体风险评估</w:t>
      </w:r>
    </w:p>
    <w:p>
      <w:pPr>
        <w:pStyle w:val="Heading2"/>
        <w:spacing w:before="120" w:after="80"/>
      </w:pPr>
      <w:r>
        <w:rPr>
          <w:rFonts w:ascii="黑体" w:hAnsi="黑体" w:eastAsia="黑体"/>
          <w:b/>
          <w:sz w:val="26"/>
        </w:rPr>
        <w:t>6.1  指标体系法（示例测算）</w:t>
      </w:r>
    </w:p>
    <w:p>
      <w:pPr>
        <w:spacing w:line="348" w:lineRule="auto" w:after="80"/>
        <w:ind w:firstLine="440"/>
        <w:jc w:val="both"/>
      </w:pPr>
      <w:r>
        <w:rPr>
          <w:rFonts w:ascii="宋体" w:hAnsi="宋体" w:eastAsia="宋体"/>
          <w:b w:val="0"/>
          <w:sz w:val="22"/>
        </w:rPr>
        <w:t>按标准附录 A 思路，选取与码头工程相关的核心指标进行赋分测算。下表为示例（权重与分级为演示，实际应依据标准附录 A 由评估小组确定）。</w:t>
      </w:r>
    </w:p>
    <w:tbl>
      <w:tblPr>
        <w:tblStyle w:val="TableGrid"/>
        <w:tblW w:type="auto" w:w="0"/>
        <w:jc w:val="center"/>
        <w:tblLook w:firstColumn="1" w:firstRow="1" w:lastColumn="0" w:lastRow="0" w:noHBand="0" w:noVBand="1" w:val="04A0"/>
      </w:tblPr>
      <w:tblGrid>
        <w:gridCol w:w="2239"/>
        <w:gridCol w:w="2239"/>
        <w:gridCol w:w="2239"/>
        <w:gridCol w:w="2239"/>
      </w:tblGrid>
      <w:tr>
        <w:trPr>
          <w:trHeight w:val="397"/>
        </w:trPr>
        <w:tc>
          <w:tcPr>
            <w:tcW w:type="dxa" w:w="1474"/>
            <w:shd w:val="clear" w:color="auto" w:fill="1F4E79"/>
          </w:tcPr>
          <w:p>
            <w:r/>
            <w:r>
              <w:rPr>
                <w:rFonts w:ascii="微软雅黑" w:hAnsi="微软雅黑" w:eastAsia="微软雅黑"/>
                <w:b/>
                <w:color w:val="FFFFFF"/>
                <w:sz w:val="19"/>
              </w:rPr>
              <w:t>指标类别</w:t>
            </w:r>
          </w:p>
        </w:tc>
        <w:tc>
          <w:tcPr>
            <w:tcW w:type="dxa" w:w="2608"/>
            <w:shd w:val="clear" w:color="auto" w:fill="1F4E79"/>
          </w:tcPr>
          <w:p>
            <w:r/>
            <w:r>
              <w:rPr>
                <w:rFonts w:ascii="微软雅黑" w:hAnsi="微软雅黑" w:eastAsia="微软雅黑"/>
                <w:b/>
                <w:color w:val="FFFFFF"/>
                <w:sz w:val="19"/>
              </w:rPr>
              <w:t>评估指标</w:t>
            </w:r>
          </w:p>
        </w:tc>
        <w:tc>
          <w:tcPr>
            <w:tcW w:type="dxa" w:w="3402"/>
            <w:shd w:val="clear" w:color="auto" w:fill="1F4E79"/>
          </w:tcPr>
          <w:p>
            <w:r/>
            <w:r>
              <w:rPr>
                <w:rFonts w:ascii="微软雅黑" w:hAnsi="微软雅黑" w:eastAsia="微软雅黑"/>
                <w:b/>
                <w:color w:val="FFFFFF"/>
                <w:sz w:val="19"/>
              </w:rPr>
              <w:t>代表性赋分说明</w:t>
            </w:r>
          </w:p>
        </w:tc>
        <w:tc>
          <w:tcPr>
            <w:tcW w:type="dxa" w:w="1134"/>
            <w:shd w:val="clear" w:color="auto" w:fill="1F4E79"/>
          </w:tcPr>
          <w:p>
            <w:r/>
            <w:r>
              <w:rPr>
                <w:rFonts w:ascii="微软雅黑" w:hAnsi="微软雅黑" w:eastAsia="微软雅黑"/>
                <w:b/>
                <w:color w:val="FFFFFF"/>
                <w:sz w:val="19"/>
              </w:rPr>
              <w:t>分值</w:t>
            </w:r>
          </w:p>
        </w:tc>
      </w:tr>
      <w:tr>
        <w:trPr>
          <w:trHeight w:val="397"/>
        </w:trPr>
        <w:tc>
          <w:tcPr>
            <w:tcW w:type="dxa" w:w="1474"/>
          </w:tcPr>
          <w:p>
            <w:r/>
            <w:r>
              <w:rPr>
                <w:rFonts w:ascii="宋体" w:hAnsi="宋体" w:eastAsia="宋体"/>
                <w:sz w:val="19"/>
              </w:rPr>
              <w:t>工程特点</w:t>
            </w:r>
          </w:p>
        </w:tc>
        <w:tc>
          <w:tcPr>
            <w:tcW w:type="dxa" w:w="2608"/>
          </w:tcPr>
          <w:p>
            <w:r/>
            <w:r>
              <w:rPr>
                <w:rFonts w:ascii="宋体" w:hAnsi="宋体" w:eastAsia="宋体"/>
                <w:sz w:val="19"/>
              </w:rPr>
              <w:t>泊位吨级（10万吨级集装箱）</w:t>
            </w:r>
          </w:p>
        </w:tc>
        <w:tc>
          <w:tcPr>
            <w:tcW w:type="dxa" w:w="3402"/>
          </w:tcPr>
          <w:p>
            <w:r/>
            <w:r>
              <w:rPr>
                <w:rFonts w:ascii="宋体" w:hAnsi="宋体" w:eastAsia="宋体"/>
                <w:sz w:val="19"/>
              </w:rPr>
              <w:t>规模大、风险高</w:t>
            </w:r>
          </w:p>
        </w:tc>
        <w:tc>
          <w:tcPr>
            <w:tcW w:type="dxa" w:w="1134"/>
          </w:tcPr>
          <w:p>
            <w:r/>
            <w:r>
              <w:rPr>
                <w:rFonts w:ascii="宋体" w:hAnsi="宋体" w:eastAsia="宋体"/>
                <w:sz w:val="19"/>
              </w:rPr>
              <w:t>4</w:t>
            </w:r>
          </w:p>
        </w:tc>
      </w:tr>
      <w:tr>
        <w:trPr>
          <w:trHeight w:val="397"/>
        </w:trPr>
        <w:tc>
          <w:tcPr>
            <w:tcW w:type="dxa" w:w="1474"/>
            <w:shd w:val="clear" w:color="auto" w:fill="F2F2F2"/>
          </w:tcPr>
          <w:p>
            <w:r/>
            <w:r>
              <w:rPr>
                <w:rFonts w:ascii="宋体" w:hAnsi="宋体" w:eastAsia="宋体"/>
                <w:sz w:val="19"/>
              </w:rPr>
              <w:t>工程特点</w:t>
            </w:r>
          </w:p>
        </w:tc>
        <w:tc>
          <w:tcPr>
            <w:tcW w:type="dxa" w:w="2608"/>
            <w:shd w:val="clear" w:color="auto" w:fill="F2F2F2"/>
          </w:tcPr>
          <w:p>
            <w:r/>
            <w:r>
              <w:rPr>
                <w:rFonts w:ascii="宋体" w:hAnsi="宋体" w:eastAsia="宋体"/>
                <w:sz w:val="19"/>
              </w:rPr>
              <w:t>基础与上部结构（高桩梁板）</w:t>
            </w:r>
          </w:p>
        </w:tc>
        <w:tc>
          <w:tcPr>
            <w:tcW w:type="dxa" w:w="3402"/>
            <w:shd w:val="clear" w:color="auto" w:fill="F2F2F2"/>
          </w:tcPr>
          <w:p>
            <w:r/>
            <w:r>
              <w:rPr>
                <w:rFonts w:ascii="宋体" w:hAnsi="宋体" w:eastAsia="宋体"/>
                <w:sz w:val="19"/>
              </w:rPr>
              <w:t>工艺成熟但水上作业多</w:t>
            </w:r>
          </w:p>
        </w:tc>
        <w:tc>
          <w:tcPr>
            <w:tcW w:type="dxa" w:w="1134"/>
            <w:shd w:val="clear" w:color="auto" w:fill="F2F2F2"/>
          </w:tcPr>
          <w:p>
            <w:r/>
            <w:r>
              <w:rPr>
                <w:rFonts w:ascii="宋体" w:hAnsi="宋体" w:eastAsia="宋体"/>
                <w:sz w:val="19"/>
              </w:rPr>
              <w:t>3</w:t>
            </w:r>
          </w:p>
        </w:tc>
      </w:tr>
      <w:tr>
        <w:trPr>
          <w:trHeight w:val="397"/>
        </w:trPr>
        <w:tc>
          <w:tcPr>
            <w:tcW w:type="dxa" w:w="1474"/>
          </w:tcPr>
          <w:p>
            <w:r/>
            <w:r>
              <w:rPr>
                <w:rFonts w:ascii="宋体" w:hAnsi="宋体" w:eastAsia="宋体"/>
                <w:sz w:val="19"/>
              </w:rPr>
              <w:t>施工环境</w:t>
            </w:r>
          </w:p>
        </w:tc>
        <w:tc>
          <w:tcPr>
            <w:tcW w:type="dxa" w:w="2608"/>
          </w:tcPr>
          <w:p>
            <w:r/>
            <w:r>
              <w:rPr>
                <w:rFonts w:ascii="宋体" w:hAnsi="宋体" w:eastAsia="宋体"/>
                <w:sz w:val="19"/>
              </w:rPr>
              <w:t>离岸距离（约80m）</w:t>
            </w:r>
          </w:p>
        </w:tc>
        <w:tc>
          <w:tcPr>
            <w:tcW w:type="dxa" w:w="3402"/>
          </w:tcPr>
          <w:p>
            <w:r/>
            <w:r>
              <w:rPr>
                <w:rFonts w:ascii="宋体" w:hAnsi="宋体" w:eastAsia="宋体"/>
                <w:sz w:val="19"/>
              </w:rPr>
              <w:t>顺岸、非远海</w:t>
            </w:r>
          </w:p>
        </w:tc>
        <w:tc>
          <w:tcPr>
            <w:tcW w:type="dxa" w:w="1134"/>
          </w:tcPr>
          <w:p>
            <w:r/>
            <w:r>
              <w:rPr>
                <w:rFonts w:ascii="宋体" w:hAnsi="宋体" w:eastAsia="宋体"/>
                <w:sz w:val="19"/>
              </w:rPr>
              <w:t>2</w:t>
            </w:r>
          </w:p>
        </w:tc>
      </w:tr>
      <w:tr>
        <w:trPr>
          <w:trHeight w:val="397"/>
        </w:trPr>
        <w:tc>
          <w:tcPr>
            <w:tcW w:type="dxa" w:w="1474"/>
            <w:shd w:val="clear" w:color="auto" w:fill="F2F2F2"/>
          </w:tcPr>
          <w:p>
            <w:r/>
            <w:r>
              <w:rPr>
                <w:rFonts w:ascii="宋体" w:hAnsi="宋体" w:eastAsia="宋体"/>
                <w:sz w:val="19"/>
              </w:rPr>
              <w:t>施工环境</w:t>
            </w:r>
          </w:p>
        </w:tc>
        <w:tc>
          <w:tcPr>
            <w:tcW w:type="dxa" w:w="2608"/>
            <w:shd w:val="clear" w:color="auto" w:fill="F2F2F2"/>
          </w:tcPr>
          <w:p>
            <w:r/>
            <w:r>
              <w:rPr>
                <w:rFonts w:ascii="宋体" w:hAnsi="宋体" w:eastAsia="宋体"/>
                <w:sz w:val="19"/>
              </w:rPr>
              <w:t>水域掩护/通航密度</w:t>
            </w:r>
          </w:p>
        </w:tc>
        <w:tc>
          <w:tcPr>
            <w:tcW w:type="dxa" w:w="3402"/>
            <w:shd w:val="clear" w:color="auto" w:fill="F2F2F2"/>
          </w:tcPr>
          <w:p>
            <w:r/>
            <w:r>
              <w:rPr>
                <w:rFonts w:ascii="宋体" w:hAnsi="宋体" w:eastAsia="宋体"/>
                <w:sz w:val="19"/>
              </w:rPr>
              <w:t>湾内掩护较好但通航密</w:t>
            </w:r>
          </w:p>
        </w:tc>
        <w:tc>
          <w:tcPr>
            <w:tcW w:type="dxa" w:w="1134"/>
            <w:shd w:val="clear" w:color="auto" w:fill="F2F2F2"/>
          </w:tcPr>
          <w:p>
            <w:r/>
            <w:r>
              <w:rPr>
                <w:rFonts w:ascii="宋体" w:hAnsi="宋体" w:eastAsia="宋体"/>
                <w:sz w:val="19"/>
              </w:rPr>
              <w:t>3</w:t>
            </w:r>
          </w:p>
        </w:tc>
      </w:tr>
      <w:tr>
        <w:trPr>
          <w:trHeight w:val="397"/>
        </w:trPr>
        <w:tc>
          <w:tcPr>
            <w:tcW w:type="dxa" w:w="1474"/>
          </w:tcPr>
          <w:p>
            <w:r/>
            <w:r>
              <w:rPr>
                <w:rFonts w:ascii="宋体" w:hAnsi="宋体" w:eastAsia="宋体"/>
                <w:sz w:val="19"/>
              </w:rPr>
              <w:t>地质条件</w:t>
            </w:r>
          </w:p>
        </w:tc>
        <w:tc>
          <w:tcPr>
            <w:tcW w:type="dxa" w:w="2608"/>
          </w:tcPr>
          <w:p>
            <w:r/>
            <w:r>
              <w:rPr>
                <w:rFonts w:ascii="宋体" w:hAnsi="宋体" w:eastAsia="宋体"/>
                <w:sz w:val="19"/>
              </w:rPr>
              <w:t>岸坡/水域地质（软基）</w:t>
            </w:r>
          </w:p>
        </w:tc>
        <w:tc>
          <w:tcPr>
            <w:tcW w:type="dxa" w:w="3402"/>
          </w:tcPr>
          <w:p>
            <w:r/>
            <w:r>
              <w:rPr>
                <w:rFonts w:ascii="宋体" w:hAnsi="宋体" w:eastAsia="宋体"/>
                <w:sz w:val="19"/>
              </w:rPr>
              <w:t>软土，沉桩与支护风险</w:t>
            </w:r>
          </w:p>
        </w:tc>
        <w:tc>
          <w:tcPr>
            <w:tcW w:type="dxa" w:w="1134"/>
          </w:tcPr>
          <w:p>
            <w:r/>
            <w:r>
              <w:rPr>
                <w:rFonts w:ascii="宋体" w:hAnsi="宋体" w:eastAsia="宋体"/>
                <w:sz w:val="19"/>
              </w:rPr>
              <w:t>3</w:t>
            </w:r>
          </w:p>
        </w:tc>
      </w:tr>
      <w:tr>
        <w:trPr>
          <w:trHeight w:val="397"/>
        </w:trPr>
        <w:tc>
          <w:tcPr>
            <w:tcW w:type="dxa" w:w="1474"/>
            <w:shd w:val="clear" w:color="auto" w:fill="F2F2F2"/>
          </w:tcPr>
          <w:p>
            <w:r/>
            <w:r>
              <w:rPr>
                <w:rFonts w:ascii="宋体" w:hAnsi="宋体" w:eastAsia="宋体"/>
                <w:sz w:val="19"/>
              </w:rPr>
              <w:t>气象水文</w:t>
            </w:r>
          </w:p>
        </w:tc>
        <w:tc>
          <w:tcPr>
            <w:tcW w:type="dxa" w:w="2608"/>
            <w:shd w:val="clear" w:color="auto" w:fill="F2F2F2"/>
          </w:tcPr>
          <w:p>
            <w:r/>
            <w:r>
              <w:rPr>
                <w:rFonts w:ascii="宋体" w:hAnsi="宋体" w:eastAsia="宋体"/>
                <w:sz w:val="19"/>
              </w:rPr>
              <w:t>台风/突风（年均1-2次）</w:t>
            </w:r>
          </w:p>
        </w:tc>
        <w:tc>
          <w:tcPr>
            <w:tcW w:type="dxa" w:w="3402"/>
            <w:shd w:val="clear" w:color="auto" w:fill="F2F2F2"/>
          </w:tcPr>
          <w:p>
            <w:r/>
            <w:r>
              <w:rPr>
                <w:rFonts w:ascii="宋体" w:hAnsi="宋体" w:eastAsia="宋体"/>
                <w:sz w:val="19"/>
              </w:rPr>
              <w:t>台风影响区</w:t>
            </w:r>
          </w:p>
        </w:tc>
        <w:tc>
          <w:tcPr>
            <w:tcW w:type="dxa" w:w="1134"/>
            <w:shd w:val="clear" w:color="auto" w:fill="F2F2F2"/>
          </w:tcPr>
          <w:p>
            <w:r/>
            <w:r>
              <w:rPr>
                <w:rFonts w:ascii="宋体" w:hAnsi="宋体" w:eastAsia="宋体"/>
                <w:sz w:val="19"/>
              </w:rPr>
              <w:t>4</w:t>
            </w:r>
          </w:p>
        </w:tc>
      </w:tr>
      <w:tr>
        <w:trPr>
          <w:trHeight w:val="397"/>
        </w:trPr>
        <w:tc>
          <w:tcPr>
            <w:tcW w:type="dxa" w:w="1474"/>
          </w:tcPr>
          <w:p>
            <w:r/>
            <w:r>
              <w:rPr>
                <w:rFonts w:ascii="宋体" w:hAnsi="宋体" w:eastAsia="宋体"/>
                <w:sz w:val="19"/>
              </w:rPr>
              <w:t>气象水文</w:t>
            </w:r>
          </w:p>
        </w:tc>
        <w:tc>
          <w:tcPr>
            <w:tcW w:type="dxa" w:w="2608"/>
          </w:tcPr>
          <w:p>
            <w:r/>
            <w:r>
              <w:rPr>
                <w:rFonts w:ascii="宋体" w:hAnsi="宋体" w:eastAsia="宋体"/>
                <w:sz w:val="19"/>
              </w:rPr>
              <w:t>潮差/波高（潮差4.5m）</w:t>
            </w:r>
          </w:p>
        </w:tc>
        <w:tc>
          <w:tcPr>
            <w:tcW w:type="dxa" w:w="3402"/>
          </w:tcPr>
          <w:p>
            <w:r/>
            <w:r>
              <w:rPr>
                <w:rFonts w:ascii="宋体" w:hAnsi="宋体" w:eastAsia="宋体"/>
                <w:sz w:val="19"/>
              </w:rPr>
              <w:t>潮差大</w:t>
            </w:r>
          </w:p>
        </w:tc>
        <w:tc>
          <w:tcPr>
            <w:tcW w:type="dxa" w:w="1134"/>
          </w:tcPr>
          <w:p>
            <w:r/>
            <w:r>
              <w:rPr>
                <w:rFonts w:ascii="宋体" w:hAnsi="宋体" w:eastAsia="宋体"/>
                <w:sz w:val="19"/>
              </w:rPr>
              <w:t>3</w:t>
            </w:r>
          </w:p>
        </w:tc>
      </w:tr>
      <w:tr>
        <w:trPr>
          <w:trHeight w:val="397"/>
        </w:trPr>
        <w:tc>
          <w:tcPr>
            <w:tcW w:type="dxa" w:w="1474"/>
            <w:shd w:val="clear" w:color="auto" w:fill="F2F2F2"/>
          </w:tcPr>
          <w:p>
            <w:r/>
            <w:r>
              <w:rPr>
                <w:rFonts w:ascii="宋体" w:hAnsi="宋体" w:eastAsia="宋体"/>
                <w:sz w:val="19"/>
              </w:rPr>
              <w:t>资料完整性</w:t>
            </w:r>
          </w:p>
        </w:tc>
        <w:tc>
          <w:tcPr>
            <w:tcW w:type="dxa" w:w="2608"/>
            <w:shd w:val="clear" w:color="auto" w:fill="F2F2F2"/>
          </w:tcPr>
          <w:p>
            <w:r/>
            <w:r>
              <w:rPr>
                <w:rFonts w:ascii="宋体" w:hAnsi="宋体" w:eastAsia="宋体"/>
                <w:sz w:val="19"/>
              </w:rPr>
              <w:t>地勘/水文/设计资料</w:t>
            </w:r>
          </w:p>
        </w:tc>
        <w:tc>
          <w:tcPr>
            <w:tcW w:type="dxa" w:w="3402"/>
            <w:shd w:val="clear" w:color="auto" w:fill="F2F2F2"/>
          </w:tcPr>
          <w:p>
            <w:r/>
            <w:r>
              <w:rPr>
                <w:rFonts w:ascii="宋体" w:hAnsi="宋体" w:eastAsia="宋体"/>
                <w:sz w:val="19"/>
              </w:rPr>
              <w:t>资料较完整</w:t>
            </w:r>
          </w:p>
        </w:tc>
        <w:tc>
          <w:tcPr>
            <w:tcW w:type="dxa" w:w="1134"/>
            <w:shd w:val="clear" w:color="auto" w:fill="F2F2F2"/>
          </w:tcPr>
          <w:p>
            <w:r/>
            <w:r>
              <w:rPr>
                <w:rFonts w:ascii="宋体" w:hAnsi="宋体" w:eastAsia="宋体"/>
                <w:sz w:val="19"/>
              </w:rPr>
              <w:t>2</w:t>
            </w:r>
          </w:p>
        </w:tc>
      </w:tr>
    </w:tbl>
    <w:p>
      <w:pPr>
        <w:spacing w:after="40"/>
      </w:pPr>
    </w:p>
    <w:p>
      <w:pPr>
        <w:spacing w:line="348" w:lineRule="auto" w:after="80"/>
        <w:ind w:firstLine="440"/>
        <w:jc w:val="both"/>
      </w:pPr>
      <w:r>
        <w:rPr>
          <w:rFonts w:ascii="宋体" w:hAnsi="宋体" w:eastAsia="宋体"/>
          <w:b w:val="0"/>
          <w:sz w:val="22"/>
        </w:rPr>
        <w:t>示例测算：经加权汇总（权重系数按标准“重要性排序法”确定），总体风险分值 F 处于“较大风险”区间，初步判定工程整体施工安全风险等级为 Ⅲ级（较大风险）。其中台风影响、水上沉桩与大型构件吊装、深基坑为拉高整体风险的关键项。</w:t>
      </w:r>
    </w:p>
    <w:p>
      <w:pPr>
        <w:pStyle w:val="Heading2"/>
        <w:spacing w:before="120" w:after="80"/>
      </w:pPr>
      <w:r>
        <w:rPr>
          <w:rFonts w:ascii="黑体" w:hAnsi="黑体" w:eastAsia="黑体"/>
          <w:b/>
          <w:sz w:val="26"/>
        </w:rPr>
        <w:t>6.2  专家调查法（示例结果）</w:t>
      </w:r>
    </w:p>
    <w:p>
      <w:pPr>
        <w:spacing w:line="348" w:lineRule="auto" w:after="80"/>
        <w:ind w:firstLine="440"/>
        <w:jc w:val="both"/>
      </w:pPr>
      <w:r>
        <w:rPr>
          <w:rFonts w:ascii="宋体" w:hAnsi="宋体" w:eastAsia="宋体"/>
          <w:b w:val="0"/>
          <w:sz w:val="22"/>
        </w:rPr>
        <w:t>评估小组 7 名专家按工程特点、施工环境、地质条件、气象水文、资料完整性 5 个项别独立评分（Rᵢ 4/3/2/1）并给出信心指数 Wᵢ。汇总各专家 Dᵣ = Σ(Wᵢ×Rᵢ)/ΣWᵢ，取均值 D ≈ 3.0～3.2，对应“较大风险”，与指标体系法结论一致。</w:t>
      </w:r>
    </w:p>
    <w:p>
      <w:pPr>
        <w:pStyle w:val="Heading2"/>
        <w:spacing w:before="120" w:after="80"/>
      </w:pPr>
      <w:r>
        <w:rPr>
          <w:rFonts w:ascii="黑体" w:hAnsi="黑体" w:eastAsia="黑体"/>
          <w:b/>
          <w:sz w:val="26"/>
        </w:rPr>
        <w:t>6.3  总体风险评估结论</w:t>
      </w:r>
    </w:p>
    <w:p>
      <w:pPr>
        <w:spacing w:line="348" w:lineRule="auto" w:after="80"/>
        <w:ind w:firstLine="440"/>
        <w:jc w:val="both"/>
      </w:pPr>
      <w:r>
        <w:rPr>
          <w:rFonts w:ascii="宋体" w:hAnsi="宋体" w:eastAsia="宋体"/>
          <w:b/>
          <w:color w:val="1F4E79"/>
          <w:sz w:val="22"/>
        </w:rPr>
        <w:t>综合两种方法，本示例工程整体施工安全风险等级评定为 Ⅲ级（较大风险）。该等级表明工程整体风险较高，须在施工组织设计与资源配置中重点管控水上作业、起重吊装、深基坑、防汛防台等关键环节，并对相关重大作业活动开展专项风险评估。</w:t>
      </w:r>
    </w:p>
    <w:p>
      <w:pPr>
        <w:pStyle w:val="Heading1"/>
        <w:spacing w:before="200" w:after="80"/>
      </w:pPr>
      <w:r>
        <w:rPr>
          <w:rFonts w:ascii="黑体" w:hAnsi="黑体" w:eastAsia="黑体"/>
          <w:b/>
          <w:sz w:val="30"/>
        </w:rPr>
        <w:t>第七章  专项风险评估（重大作业活动）</w:t>
      </w:r>
    </w:p>
    <w:p>
      <w:pPr>
        <w:spacing w:line="348" w:lineRule="auto" w:after="80"/>
        <w:ind w:firstLine="440"/>
        <w:jc w:val="both"/>
      </w:pPr>
      <w:r>
        <w:rPr>
          <w:rFonts w:ascii="宋体" w:hAnsi="宋体" w:eastAsia="宋体"/>
          <w:b w:val="0"/>
          <w:sz w:val="22"/>
        </w:rPr>
        <w:t>专项风险评估在施工前、施工过程中及风险控制预期效果评价环节动态开展。以下对示例工程 4 项关键重大作业活动进行风险估测示例（方法：重大作业采用风险矩阵法）。</w:t>
      </w:r>
    </w:p>
    <w:tbl>
      <w:tblPr>
        <w:tblStyle w:val="TableGrid"/>
        <w:tblW w:type="auto" w:w="0"/>
        <w:jc w:val="center"/>
        <w:tblLook w:firstColumn="1" w:firstRow="1" w:lastColumn="0" w:lastRow="0" w:noHBand="0" w:noVBand="1" w:val="04A0"/>
      </w:tblPr>
      <w:tblGrid>
        <w:gridCol w:w="1493"/>
        <w:gridCol w:w="1493"/>
        <w:gridCol w:w="1493"/>
        <w:gridCol w:w="1493"/>
        <w:gridCol w:w="1493"/>
        <w:gridCol w:w="1493"/>
      </w:tblGrid>
      <w:tr>
        <w:trPr>
          <w:trHeight w:val="397"/>
        </w:trPr>
        <w:tc>
          <w:tcPr>
            <w:tcW w:type="dxa" w:w="1701"/>
            <w:shd w:val="clear" w:color="auto" w:fill="1F4E79"/>
          </w:tcPr>
          <w:p>
            <w:r/>
            <w:r>
              <w:rPr>
                <w:rFonts w:ascii="微软雅黑" w:hAnsi="微软雅黑" w:eastAsia="微软雅黑"/>
                <w:b/>
                <w:color w:val="FFFFFF"/>
                <w:sz w:val="18"/>
              </w:rPr>
              <w:t>重大作业活动</w:t>
            </w:r>
          </w:p>
        </w:tc>
        <w:tc>
          <w:tcPr>
            <w:tcW w:type="dxa" w:w="1928"/>
            <w:shd w:val="clear" w:color="auto" w:fill="1F4E79"/>
          </w:tcPr>
          <w:p>
            <w:r/>
            <w:r>
              <w:rPr>
                <w:rFonts w:ascii="微软雅黑" w:hAnsi="微软雅黑" w:eastAsia="微软雅黑"/>
                <w:b/>
                <w:color w:val="FFFFFF"/>
                <w:sz w:val="18"/>
              </w:rPr>
              <w:t>主要风险事件</w:t>
            </w:r>
          </w:p>
        </w:tc>
        <w:tc>
          <w:tcPr>
            <w:tcW w:type="dxa" w:w="907"/>
            <w:shd w:val="clear" w:color="auto" w:fill="1F4E79"/>
          </w:tcPr>
          <w:p>
            <w:r/>
            <w:r>
              <w:rPr>
                <w:rFonts w:ascii="微软雅黑" w:hAnsi="微软雅黑" w:eastAsia="微软雅黑"/>
                <w:b/>
                <w:color w:val="FFFFFF"/>
                <w:sz w:val="18"/>
              </w:rPr>
              <w:t>可能性</w:t>
            </w:r>
          </w:p>
        </w:tc>
        <w:tc>
          <w:tcPr>
            <w:tcW w:type="dxa" w:w="1247"/>
            <w:shd w:val="clear" w:color="auto" w:fill="1F4E79"/>
          </w:tcPr>
          <w:p>
            <w:r/>
            <w:r>
              <w:rPr>
                <w:rFonts w:ascii="微软雅黑" w:hAnsi="微软雅黑" w:eastAsia="微软雅黑"/>
                <w:b/>
                <w:color w:val="FFFFFF"/>
                <w:sz w:val="18"/>
              </w:rPr>
              <w:t>后果严重程度</w:t>
            </w:r>
          </w:p>
        </w:tc>
        <w:tc>
          <w:tcPr>
            <w:tcW w:type="dxa" w:w="1361"/>
            <w:shd w:val="clear" w:color="auto" w:fill="1F4E79"/>
          </w:tcPr>
          <w:p>
            <w:r/>
            <w:r>
              <w:rPr>
                <w:rFonts w:ascii="微软雅黑" w:hAnsi="微软雅黑" w:eastAsia="微软雅黑"/>
                <w:b/>
                <w:color w:val="FFFFFF"/>
                <w:sz w:val="18"/>
              </w:rPr>
              <w:t>风险等级</w:t>
            </w:r>
          </w:p>
        </w:tc>
        <w:tc>
          <w:tcPr>
            <w:tcW w:type="dxa" w:w="2041"/>
            <w:shd w:val="clear" w:color="auto" w:fill="1F4E79"/>
          </w:tcPr>
          <w:p>
            <w:r/>
            <w:r>
              <w:rPr>
                <w:rFonts w:ascii="微软雅黑" w:hAnsi="微软雅黑" w:eastAsia="微软雅黑"/>
                <w:b/>
                <w:color w:val="FFFFFF"/>
                <w:sz w:val="18"/>
              </w:rPr>
              <w:t>主要管控方向</w:t>
            </w:r>
          </w:p>
        </w:tc>
      </w:tr>
      <w:tr>
        <w:trPr>
          <w:trHeight w:val="397"/>
        </w:trPr>
        <w:tc>
          <w:tcPr>
            <w:tcW w:type="dxa" w:w="1701"/>
          </w:tcPr>
          <w:p>
            <w:r/>
            <w:r>
              <w:rPr>
                <w:rFonts w:ascii="宋体" w:hAnsi="宋体" w:eastAsia="宋体"/>
                <w:sz w:val="18"/>
              </w:rPr>
              <w:t>水上沉桩施工</w:t>
            </w:r>
          </w:p>
        </w:tc>
        <w:tc>
          <w:tcPr>
            <w:tcW w:type="dxa" w:w="1928"/>
          </w:tcPr>
          <w:p>
            <w:r/>
            <w:r>
              <w:rPr>
                <w:rFonts w:ascii="宋体" w:hAnsi="宋体" w:eastAsia="宋体"/>
                <w:sz w:val="18"/>
              </w:rPr>
              <w:t>船舶碰撞、桩架倾覆、落水</w:t>
            </w:r>
          </w:p>
        </w:tc>
        <w:tc>
          <w:tcPr>
            <w:tcW w:type="dxa" w:w="907"/>
          </w:tcPr>
          <w:p>
            <w:r/>
            <w:r>
              <w:rPr>
                <w:rFonts w:ascii="宋体" w:hAnsi="宋体" w:eastAsia="宋体"/>
                <w:sz w:val="18"/>
              </w:rPr>
              <w:t>高</w:t>
            </w:r>
          </w:p>
        </w:tc>
        <w:tc>
          <w:tcPr>
            <w:tcW w:type="dxa" w:w="1247"/>
          </w:tcPr>
          <w:p>
            <w:r/>
            <w:r>
              <w:rPr>
                <w:rFonts w:ascii="宋体" w:hAnsi="宋体" w:eastAsia="宋体"/>
                <w:sz w:val="18"/>
              </w:rPr>
              <w:t>严重</w:t>
            </w:r>
          </w:p>
        </w:tc>
        <w:tc>
          <w:tcPr>
            <w:tcW w:type="dxa" w:w="1361"/>
          </w:tcPr>
          <w:p>
            <w:r/>
            <w:r>
              <w:rPr>
                <w:rFonts w:ascii="宋体" w:hAnsi="宋体" w:eastAsia="宋体"/>
                <w:sz w:val="18"/>
              </w:rPr>
              <w:t>Ⅳ级（重大）</w:t>
            </w:r>
          </w:p>
        </w:tc>
        <w:tc>
          <w:tcPr>
            <w:tcW w:type="dxa" w:w="2041"/>
          </w:tcPr>
          <w:p>
            <w:r/>
            <w:r>
              <w:rPr>
                <w:rFonts w:ascii="宋体" w:hAnsi="宋体" w:eastAsia="宋体"/>
                <w:sz w:val="18"/>
              </w:rPr>
              <w:t>通航安全保障、风浪窗口期、船机验收</w:t>
            </w:r>
          </w:p>
        </w:tc>
      </w:tr>
      <w:tr>
        <w:trPr>
          <w:trHeight w:val="397"/>
        </w:trPr>
        <w:tc>
          <w:tcPr>
            <w:tcW w:type="dxa" w:w="1701"/>
            <w:shd w:val="clear" w:color="auto" w:fill="F2F2F2"/>
          </w:tcPr>
          <w:p>
            <w:r/>
            <w:r>
              <w:rPr>
                <w:rFonts w:ascii="宋体" w:hAnsi="宋体" w:eastAsia="宋体"/>
                <w:sz w:val="18"/>
              </w:rPr>
              <w:t>大型构件吊运安装</w:t>
            </w:r>
          </w:p>
        </w:tc>
        <w:tc>
          <w:tcPr>
            <w:tcW w:type="dxa" w:w="1928"/>
            <w:shd w:val="clear" w:color="auto" w:fill="F2F2F2"/>
          </w:tcPr>
          <w:p>
            <w:r/>
            <w:r>
              <w:rPr>
                <w:rFonts w:ascii="宋体" w:hAnsi="宋体" w:eastAsia="宋体"/>
                <w:sz w:val="18"/>
              </w:rPr>
              <w:t>构件坠落、起重船倾覆</w:t>
            </w:r>
          </w:p>
        </w:tc>
        <w:tc>
          <w:tcPr>
            <w:tcW w:type="dxa" w:w="907"/>
            <w:shd w:val="clear" w:color="auto" w:fill="F2F2F2"/>
          </w:tcPr>
          <w:p>
            <w:r/>
            <w:r>
              <w:rPr>
                <w:rFonts w:ascii="宋体" w:hAnsi="宋体" w:eastAsia="宋体"/>
                <w:sz w:val="18"/>
              </w:rPr>
              <w:t>中</w:t>
            </w:r>
          </w:p>
        </w:tc>
        <w:tc>
          <w:tcPr>
            <w:tcW w:type="dxa" w:w="1247"/>
            <w:shd w:val="clear" w:color="auto" w:fill="F2F2F2"/>
          </w:tcPr>
          <w:p>
            <w:r/>
            <w:r>
              <w:rPr>
                <w:rFonts w:ascii="宋体" w:hAnsi="宋体" w:eastAsia="宋体"/>
                <w:sz w:val="18"/>
              </w:rPr>
              <w:t>严重</w:t>
            </w:r>
          </w:p>
        </w:tc>
        <w:tc>
          <w:tcPr>
            <w:tcW w:type="dxa" w:w="1361"/>
            <w:shd w:val="clear" w:color="auto" w:fill="F2F2F2"/>
          </w:tcPr>
          <w:p>
            <w:r/>
            <w:r>
              <w:rPr>
                <w:rFonts w:ascii="宋体" w:hAnsi="宋体" w:eastAsia="宋体"/>
                <w:sz w:val="18"/>
              </w:rPr>
              <w:t>Ⅲ级（较大）</w:t>
            </w:r>
          </w:p>
        </w:tc>
        <w:tc>
          <w:tcPr>
            <w:tcW w:type="dxa" w:w="2041"/>
            <w:shd w:val="clear" w:color="auto" w:fill="F2F2F2"/>
          </w:tcPr>
          <w:p>
            <w:r/>
            <w:r>
              <w:rPr>
                <w:rFonts w:ascii="宋体" w:hAnsi="宋体" w:eastAsia="宋体"/>
                <w:sz w:val="18"/>
              </w:rPr>
              <w:t>吊装方案、吊索具检验、警戒</w:t>
            </w:r>
          </w:p>
        </w:tc>
      </w:tr>
      <w:tr>
        <w:trPr>
          <w:trHeight w:val="397"/>
        </w:trPr>
        <w:tc>
          <w:tcPr>
            <w:tcW w:type="dxa" w:w="1701"/>
          </w:tcPr>
          <w:p>
            <w:r/>
            <w:r>
              <w:rPr>
                <w:rFonts w:ascii="宋体" w:hAnsi="宋体" w:eastAsia="宋体"/>
                <w:sz w:val="18"/>
              </w:rPr>
              <w:t>深基坑/围堰</w:t>
            </w:r>
          </w:p>
        </w:tc>
        <w:tc>
          <w:tcPr>
            <w:tcW w:type="dxa" w:w="1928"/>
          </w:tcPr>
          <w:p>
            <w:r/>
            <w:r>
              <w:rPr>
                <w:rFonts w:ascii="宋体" w:hAnsi="宋体" w:eastAsia="宋体"/>
                <w:sz w:val="18"/>
              </w:rPr>
              <w:t>坍塌、涌水</w:t>
            </w:r>
          </w:p>
        </w:tc>
        <w:tc>
          <w:tcPr>
            <w:tcW w:type="dxa" w:w="907"/>
          </w:tcPr>
          <w:p>
            <w:r/>
            <w:r>
              <w:rPr>
                <w:rFonts w:ascii="宋体" w:hAnsi="宋体" w:eastAsia="宋体"/>
                <w:sz w:val="18"/>
              </w:rPr>
              <w:t>中</w:t>
            </w:r>
          </w:p>
        </w:tc>
        <w:tc>
          <w:tcPr>
            <w:tcW w:type="dxa" w:w="1247"/>
          </w:tcPr>
          <w:p>
            <w:r/>
            <w:r>
              <w:rPr>
                <w:rFonts w:ascii="宋体" w:hAnsi="宋体" w:eastAsia="宋体"/>
                <w:sz w:val="18"/>
              </w:rPr>
              <w:t>较严重</w:t>
            </w:r>
          </w:p>
        </w:tc>
        <w:tc>
          <w:tcPr>
            <w:tcW w:type="dxa" w:w="1361"/>
          </w:tcPr>
          <w:p>
            <w:r/>
            <w:r>
              <w:rPr>
                <w:rFonts w:ascii="宋体" w:hAnsi="宋体" w:eastAsia="宋体"/>
                <w:sz w:val="18"/>
              </w:rPr>
              <w:t>Ⅲ级（较大）</w:t>
            </w:r>
          </w:p>
        </w:tc>
        <w:tc>
          <w:tcPr>
            <w:tcW w:type="dxa" w:w="2041"/>
          </w:tcPr>
          <w:p>
            <w:r/>
            <w:r>
              <w:rPr>
                <w:rFonts w:ascii="宋体" w:hAnsi="宋体" w:eastAsia="宋体"/>
                <w:sz w:val="18"/>
              </w:rPr>
              <w:t>支护设计、监测、降排水</w:t>
            </w:r>
          </w:p>
        </w:tc>
      </w:tr>
      <w:tr>
        <w:trPr>
          <w:trHeight w:val="397"/>
        </w:trPr>
        <w:tc>
          <w:tcPr>
            <w:tcW w:type="dxa" w:w="1701"/>
            <w:shd w:val="clear" w:color="auto" w:fill="F2F2F2"/>
          </w:tcPr>
          <w:p>
            <w:r/>
            <w:r>
              <w:rPr>
                <w:rFonts w:ascii="宋体" w:hAnsi="宋体" w:eastAsia="宋体"/>
                <w:sz w:val="18"/>
              </w:rPr>
              <w:t>水下爆破/基床爆夯</w:t>
            </w:r>
          </w:p>
        </w:tc>
        <w:tc>
          <w:tcPr>
            <w:tcW w:type="dxa" w:w="1928"/>
            <w:shd w:val="clear" w:color="auto" w:fill="F2F2F2"/>
          </w:tcPr>
          <w:p>
            <w:r/>
            <w:r>
              <w:rPr>
                <w:rFonts w:ascii="宋体" w:hAnsi="宋体" w:eastAsia="宋体"/>
                <w:sz w:val="18"/>
              </w:rPr>
              <w:t>飞石、冲击波</w:t>
            </w:r>
          </w:p>
        </w:tc>
        <w:tc>
          <w:tcPr>
            <w:tcW w:type="dxa" w:w="907"/>
            <w:shd w:val="clear" w:color="auto" w:fill="F2F2F2"/>
          </w:tcPr>
          <w:p>
            <w:r/>
            <w:r>
              <w:rPr>
                <w:rFonts w:ascii="宋体" w:hAnsi="宋体" w:eastAsia="宋体"/>
                <w:sz w:val="18"/>
              </w:rPr>
              <w:t>低</w:t>
            </w:r>
          </w:p>
        </w:tc>
        <w:tc>
          <w:tcPr>
            <w:tcW w:type="dxa" w:w="1247"/>
            <w:shd w:val="clear" w:color="auto" w:fill="F2F2F2"/>
          </w:tcPr>
          <w:p>
            <w:r/>
            <w:r>
              <w:rPr>
                <w:rFonts w:ascii="宋体" w:hAnsi="宋体" w:eastAsia="宋体"/>
                <w:sz w:val="18"/>
              </w:rPr>
              <w:t>严重</w:t>
            </w:r>
          </w:p>
        </w:tc>
        <w:tc>
          <w:tcPr>
            <w:tcW w:type="dxa" w:w="1361"/>
            <w:shd w:val="clear" w:color="auto" w:fill="F2F2F2"/>
          </w:tcPr>
          <w:p>
            <w:r/>
            <w:r>
              <w:rPr>
                <w:rFonts w:ascii="宋体" w:hAnsi="宋体" w:eastAsia="宋体"/>
                <w:sz w:val="18"/>
              </w:rPr>
              <w:t>Ⅲ级（较大）</w:t>
            </w:r>
          </w:p>
        </w:tc>
        <w:tc>
          <w:tcPr>
            <w:tcW w:type="dxa" w:w="2041"/>
            <w:shd w:val="clear" w:color="auto" w:fill="F2F2F2"/>
          </w:tcPr>
          <w:p>
            <w:r/>
            <w:r>
              <w:rPr>
                <w:rFonts w:ascii="宋体" w:hAnsi="宋体" w:eastAsia="宋体"/>
                <w:sz w:val="18"/>
              </w:rPr>
              <w:t>爆破设计、警戒距离、气象</w:t>
            </w:r>
          </w:p>
        </w:tc>
      </w:tr>
      <w:tr>
        <w:trPr>
          <w:trHeight w:val="397"/>
        </w:trPr>
        <w:tc>
          <w:tcPr>
            <w:tcW w:type="dxa" w:w="1701"/>
          </w:tcPr>
          <w:p>
            <w:r/>
            <w:r>
              <w:rPr>
                <w:rFonts w:ascii="宋体" w:hAnsi="宋体" w:eastAsia="宋体"/>
                <w:sz w:val="18"/>
              </w:rPr>
              <w:t>防汛防台</w:t>
            </w:r>
          </w:p>
        </w:tc>
        <w:tc>
          <w:tcPr>
            <w:tcW w:type="dxa" w:w="1928"/>
          </w:tcPr>
          <w:p>
            <w:r/>
            <w:r>
              <w:rPr>
                <w:rFonts w:ascii="宋体" w:hAnsi="宋体" w:eastAsia="宋体"/>
                <w:sz w:val="18"/>
              </w:rPr>
              <w:t>设施损毁、人员受困</w:t>
            </w:r>
          </w:p>
        </w:tc>
        <w:tc>
          <w:tcPr>
            <w:tcW w:type="dxa" w:w="907"/>
          </w:tcPr>
          <w:p>
            <w:r/>
            <w:r>
              <w:rPr>
                <w:rFonts w:ascii="宋体" w:hAnsi="宋体" w:eastAsia="宋体"/>
                <w:sz w:val="18"/>
              </w:rPr>
              <w:t>中</w:t>
            </w:r>
          </w:p>
        </w:tc>
        <w:tc>
          <w:tcPr>
            <w:tcW w:type="dxa" w:w="1247"/>
          </w:tcPr>
          <w:p>
            <w:r/>
            <w:r>
              <w:rPr>
                <w:rFonts w:ascii="宋体" w:hAnsi="宋体" w:eastAsia="宋体"/>
                <w:sz w:val="18"/>
              </w:rPr>
              <w:t>灾难性</w:t>
            </w:r>
          </w:p>
        </w:tc>
        <w:tc>
          <w:tcPr>
            <w:tcW w:type="dxa" w:w="1361"/>
          </w:tcPr>
          <w:p>
            <w:r/>
            <w:r>
              <w:rPr>
                <w:rFonts w:ascii="宋体" w:hAnsi="宋体" w:eastAsia="宋体"/>
                <w:sz w:val="18"/>
              </w:rPr>
              <w:t>Ⅳ级（重大）</w:t>
            </w:r>
          </w:p>
        </w:tc>
        <w:tc>
          <w:tcPr>
            <w:tcW w:type="dxa" w:w="2041"/>
          </w:tcPr>
          <w:p>
            <w:r/>
            <w:r>
              <w:rPr>
                <w:rFonts w:ascii="宋体" w:hAnsi="宋体" w:eastAsia="宋体"/>
                <w:sz w:val="18"/>
              </w:rPr>
              <w:t>预警、避险锚地、加固、撤离</w:t>
            </w:r>
          </w:p>
        </w:tc>
      </w:tr>
    </w:tbl>
    <w:p>
      <w:pPr>
        <w:spacing w:after="40"/>
      </w:pPr>
    </w:p>
    <w:p>
      <w:pPr>
        <w:spacing w:line="348" w:lineRule="auto" w:after="80"/>
        <w:ind w:firstLine="400"/>
        <w:jc w:val="both"/>
      </w:pPr>
      <w:r>
        <w:rPr>
          <w:rFonts w:ascii="宋体" w:hAnsi="宋体" w:eastAsia="宋体"/>
          <w:b w:val="0"/>
          <w:color w:val="595959"/>
          <w:sz w:val="20"/>
        </w:rPr>
        <w:t>说明：上表“可能性/后果”为示例定性判断，正式专项评估应依据 JT/T 1375.5—2022 附录 E 的“重大作业活动风险事件可能性评估指标体系”量化打分，并经施工单位组织专家审查。风险等级为 Ⅲ级及以上的关键作业，应在落实控制措施、完成典型施工后开展风险控制预期效果评价。</w:t>
      </w:r>
    </w:p>
    <w:p>
      <w:pPr>
        <w:pStyle w:val="Heading1"/>
        <w:spacing w:before="200" w:after="80"/>
      </w:pPr>
      <w:r>
        <w:rPr>
          <w:rFonts w:ascii="黑体" w:hAnsi="黑体" w:eastAsia="黑体"/>
          <w:b/>
          <w:sz w:val="30"/>
        </w:rPr>
        <w:t>第八章  安全风险控制措施</w:t>
      </w:r>
    </w:p>
    <w:p>
      <w:pPr>
        <w:pStyle w:val="Heading2"/>
        <w:spacing w:before="120" w:after="80"/>
      </w:pPr>
      <w:r>
        <w:rPr>
          <w:rFonts w:ascii="黑体" w:hAnsi="黑体" w:eastAsia="黑体"/>
          <w:b/>
          <w:sz w:val="26"/>
        </w:rPr>
        <w:t>8.1  分级管控原则</w:t>
      </w:r>
    </w:p>
    <w:p>
      <w:pPr>
        <w:spacing w:line="336" w:lineRule="auto" w:after="40"/>
        <w:ind w:left="340"/>
        <w:jc w:val="both"/>
      </w:pPr>
      <w:r>
        <w:rPr>
          <w:rFonts w:ascii="宋体" w:hAnsi="宋体" w:eastAsia="宋体"/>
          <w:sz w:val="22"/>
        </w:rPr>
        <w:t>Ⅰ级（低风险）：纳入日常安全管理，常规防范；</w:t>
      </w:r>
    </w:p>
    <w:p>
      <w:pPr>
        <w:spacing w:line="336" w:lineRule="auto" w:after="40"/>
        <w:ind w:left="340"/>
        <w:jc w:val="both"/>
      </w:pPr>
      <w:r>
        <w:rPr>
          <w:rFonts w:ascii="宋体" w:hAnsi="宋体" w:eastAsia="宋体"/>
          <w:sz w:val="22"/>
        </w:rPr>
        <w:t>Ⅱ级（一般风险）：加强监控，落实安全交底与技术措施；</w:t>
      </w:r>
    </w:p>
    <w:p>
      <w:pPr>
        <w:spacing w:line="336" w:lineRule="auto" w:after="40"/>
        <w:ind w:left="340"/>
        <w:jc w:val="both"/>
      </w:pPr>
      <w:r>
        <w:rPr>
          <w:rFonts w:ascii="宋体" w:hAnsi="宋体" w:eastAsia="宋体"/>
          <w:sz w:val="22"/>
        </w:rPr>
        <w:t>Ⅲ级（较大风险）：编制专项施工方案，限期整改，过程巡查；</w:t>
      </w:r>
    </w:p>
    <w:p>
      <w:pPr>
        <w:spacing w:line="336" w:lineRule="auto" w:after="40"/>
        <w:ind w:left="340"/>
        <w:jc w:val="both"/>
      </w:pPr>
      <w:r>
        <w:rPr>
          <w:rFonts w:ascii="宋体" w:hAnsi="宋体" w:eastAsia="宋体"/>
          <w:sz w:val="22"/>
        </w:rPr>
        <w:t>Ⅳ级（重大风险）：专项施工方案 + 专家论证 + 领导带班 + 全过程监控预警，必要时立即停工整改。</w:t>
      </w:r>
    </w:p>
    <w:p>
      <w:pPr>
        <w:pStyle w:val="Heading2"/>
        <w:spacing w:before="120" w:after="80"/>
      </w:pPr>
      <w:r>
        <w:rPr>
          <w:rFonts w:ascii="黑体" w:hAnsi="黑体" w:eastAsia="黑体"/>
          <w:b/>
          <w:sz w:val="26"/>
        </w:rPr>
        <w:t>8.2  各重大风险源主要控制措施</w:t>
      </w:r>
    </w:p>
    <w:tbl>
      <w:tblPr>
        <w:tblStyle w:val="TableGrid"/>
        <w:tblW w:type="auto" w:w="0"/>
        <w:jc w:val="center"/>
        <w:tblLook w:firstColumn="1" w:firstRow="1" w:lastColumn="0" w:lastRow="0" w:noHBand="0" w:noVBand="1" w:val="04A0"/>
      </w:tblPr>
      <w:tblGrid>
        <w:gridCol w:w="2986"/>
        <w:gridCol w:w="2986"/>
        <w:gridCol w:w="2986"/>
      </w:tblGrid>
      <w:tr>
        <w:trPr>
          <w:trHeight w:val="397"/>
        </w:trPr>
        <w:tc>
          <w:tcPr>
            <w:tcW w:type="dxa" w:w="1701"/>
            <w:shd w:val="clear" w:color="auto" w:fill="1F4E79"/>
          </w:tcPr>
          <w:p>
            <w:r/>
            <w:r>
              <w:rPr>
                <w:rFonts w:ascii="微软雅黑" w:hAnsi="微软雅黑" w:eastAsia="微软雅黑"/>
                <w:b/>
                <w:color w:val="FFFFFF"/>
                <w:sz w:val="18"/>
              </w:rPr>
              <w:t>风险源</w:t>
            </w:r>
          </w:p>
        </w:tc>
        <w:tc>
          <w:tcPr>
            <w:tcW w:type="dxa" w:w="1134"/>
            <w:shd w:val="clear" w:color="auto" w:fill="1F4E79"/>
          </w:tcPr>
          <w:p>
            <w:r/>
            <w:r>
              <w:rPr>
                <w:rFonts w:ascii="微软雅黑" w:hAnsi="微软雅黑" w:eastAsia="微软雅黑"/>
                <w:b/>
                <w:color w:val="FFFFFF"/>
                <w:sz w:val="18"/>
              </w:rPr>
              <w:t>等级</w:t>
            </w:r>
          </w:p>
        </w:tc>
        <w:tc>
          <w:tcPr>
            <w:tcW w:type="dxa" w:w="6350"/>
            <w:shd w:val="clear" w:color="auto" w:fill="1F4E79"/>
          </w:tcPr>
          <w:p>
            <w:r/>
            <w:r>
              <w:rPr>
                <w:rFonts w:ascii="微软雅黑" w:hAnsi="微软雅黑" w:eastAsia="微软雅黑"/>
                <w:b/>
                <w:color w:val="FFFFFF"/>
                <w:sz w:val="18"/>
              </w:rPr>
              <w:t>主要控制措施</w:t>
            </w:r>
          </w:p>
        </w:tc>
      </w:tr>
      <w:tr>
        <w:trPr>
          <w:trHeight w:val="397"/>
        </w:trPr>
        <w:tc>
          <w:tcPr>
            <w:tcW w:type="dxa" w:w="1701"/>
          </w:tcPr>
          <w:p>
            <w:r/>
            <w:r>
              <w:rPr>
                <w:rFonts w:ascii="宋体" w:hAnsi="宋体" w:eastAsia="宋体"/>
                <w:sz w:val="18"/>
              </w:rPr>
              <w:t>水上沉桩/吊装</w:t>
            </w:r>
          </w:p>
        </w:tc>
        <w:tc>
          <w:tcPr>
            <w:tcW w:type="dxa" w:w="1134"/>
          </w:tcPr>
          <w:p>
            <w:r/>
            <w:r>
              <w:rPr>
                <w:rFonts w:ascii="宋体" w:hAnsi="宋体" w:eastAsia="宋体"/>
                <w:sz w:val="18"/>
              </w:rPr>
              <w:t>Ⅳ/Ⅲ</w:t>
            </w:r>
          </w:p>
        </w:tc>
        <w:tc>
          <w:tcPr>
            <w:tcW w:type="dxa" w:w="6350"/>
          </w:tcPr>
          <w:p>
            <w:r/>
            <w:r>
              <w:rPr>
                <w:rFonts w:ascii="宋体" w:hAnsi="宋体" w:eastAsia="宋体"/>
                <w:sz w:val="18"/>
              </w:rPr>
              <w:t>①编制水上施工作业与通航安全保障方案，向海事机构申请许可并核定安全作业区；②打桩船/起重船进场验收，吊索具检验；③严格风浪窗口期作业，突风/涌浪超限停工作业；④设置警戒船与VHF守听，昼夜显示号灯号型</w:t>
            </w:r>
          </w:p>
        </w:tc>
      </w:tr>
      <w:tr>
        <w:trPr>
          <w:trHeight w:val="397"/>
        </w:trPr>
        <w:tc>
          <w:tcPr>
            <w:tcW w:type="dxa" w:w="1701"/>
            <w:shd w:val="clear" w:color="auto" w:fill="F2F2F2"/>
          </w:tcPr>
          <w:p>
            <w:r/>
            <w:r>
              <w:rPr>
                <w:rFonts w:ascii="宋体" w:hAnsi="宋体" w:eastAsia="宋体"/>
                <w:sz w:val="18"/>
              </w:rPr>
              <w:t>深基坑/围堰</w:t>
            </w:r>
          </w:p>
        </w:tc>
        <w:tc>
          <w:tcPr>
            <w:tcW w:type="dxa" w:w="1134"/>
            <w:shd w:val="clear" w:color="auto" w:fill="F2F2F2"/>
          </w:tcPr>
          <w:p>
            <w:r/>
            <w:r>
              <w:rPr>
                <w:rFonts w:ascii="宋体" w:hAnsi="宋体" w:eastAsia="宋体"/>
                <w:sz w:val="18"/>
              </w:rPr>
              <w:t>Ⅲ</w:t>
            </w:r>
          </w:p>
        </w:tc>
        <w:tc>
          <w:tcPr>
            <w:tcW w:type="dxa" w:w="6350"/>
            <w:shd w:val="clear" w:color="auto" w:fill="F2F2F2"/>
          </w:tcPr>
          <w:p>
            <w:r/>
            <w:r>
              <w:rPr>
                <w:rFonts w:ascii="宋体" w:hAnsi="宋体" w:eastAsia="宋体"/>
                <w:sz w:val="18"/>
              </w:rPr>
              <w:t>①支护结构设计与安全验算，超过一定规模组织专家论证；②第三方监测（位移/水位/应力），异常即处置；③降排水与防洪度汛措施；④基坑边沿设防护与警示</w:t>
            </w:r>
          </w:p>
        </w:tc>
      </w:tr>
      <w:tr>
        <w:trPr>
          <w:trHeight w:val="397"/>
        </w:trPr>
        <w:tc>
          <w:tcPr>
            <w:tcW w:type="dxa" w:w="1701"/>
          </w:tcPr>
          <w:p>
            <w:r/>
            <w:r>
              <w:rPr>
                <w:rFonts w:ascii="宋体" w:hAnsi="宋体" w:eastAsia="宋体"/>
                <w:sz w:val="18"/>
              </w:rPr>
              <w:t>临时用电</w:t>
            </w:r>
          </w:p>
        </w:tc>
        <w:tc>
          <w:tcPr>
            <w:tcW w:type="dxa" w:w="1134"/>
          </w:tcPr>
          <w:p>
            <w:r/>
            <w:r>
              <w:rPr>
                <w:rFonts w:ascii="宋体" w:hAnsi="宋体" w:eastAsia="宋体"/>
                <w:sz w:val="18"/>
              </w:rPr>
              <w:t>Ⅱ</w:t>
            </w:r>
          </w:p>
        </w:tc>
        <w:tc>
          <w:tcPr>
            <w:tcW w:type="dxa" w:w="6350"/>
          </w:tcPr>
          <w:p>
            <w:r/>
            <w:r>
              <w:rPr>
                <w:rFonts w:ascii="宋体" w:hAnsi="宋体" w:eastAsia="宋体"/>
                <w:sz w:val="18"/>
              </w:rPr>
              <w:t>①编制临时用电方案；②TN-S系统、三级配电二级保护、一机一闸一漏；③电工持证，定期巡检，严禁私拉</w:t>
            </w:r>
          </w:p>
        </w:tc>
      </w:tr>
      <w:tr>
        <w:trPr>
          <w:trHeight w:val="397"/>
        </w:trPr>
        <w:tc>
          <w:tcPr>
            <w:tcW w:type="dxa" w:w="1701"/>
            <w:shd w:val="clear" w:color="auto" w:fill="F2F2F2"/>
          </w:tcPr>
          <w:p>
            <w:r/>
            <w:r>
              <w:rPr>
                <w:rFonts w:ascii="宋体" w:hAnsi="宋体" w:eastAsia="宋体"/>
                <w:sz w:val="18"/>
              </w:rPr>
              <w:t>高处/临边作业</w:t>
            </w:r>
          </w:p>
        </w:tc>
        <w:tc>
          <w:tcPr>
            <w:tcW w:type="dxa" w:w="1134"/>
            <w:shd w:val="clear" w:color="auto" w:fill="F2F2F2"/>
          </w:tcPr>
          <w:p>
            <w:r/>
            <w:r>
              <w:rPr>
                <w:rFonts w:ascii="宋体" w:hAnsi="宋体" w:eastAsia="宋体"/>
                <w:sz w:val="18"/>
              </w:rPr>
              <w:t>Ⅱ</w:t>
            </w:r>
          </w:p>
        </w:tc>
        <w:tc>
          <w:tcPr>
            <w:tcW w:type="dxa" w:w="6350"/>
            <w:shd w:val="clear" w:color="auto" w:fill="F2F2F2"/>
          </w:tcPr>
          <w:p>
            <w:r/>
            <w:r>
              <w:rPr>
                <w:rFonts w:ascii="宋体" w:hAnsi="宋体" w:eastAsia="宋体"/>
                <w:sz w:val="18"/>
              </w:rPr>
              <w:t>①临边洞口防护栏杆+密目网；②作业人员安全带高挂低用；③风浪大时停止临水高处作业</w:t>
            </w:r>
          </w:p>
        </w:tc>
      </w:tr>
      <w:tr>
        <w:trPr>
          <w:trHeight w:val="397"/>
        </w:trPr>
        <w:tc>
          <w:tcPr>
            <w:tcW w:type="dxa" w:w="1701"/>
          </w:tcPr>
          <w:p>
            <w:r/>
            <w:r>
              <w:rPr>
                <w:rFonts w:ascii="宋体" w:hAnsi="宋体" w:eastAsia="宋体"/>
                <w:sz w:val="18"/>
              </w:rPr>
              <w:t>施工船舶/防汛防台</w:t>
            </w:r>
          </w:p>
        </w:tc>
        <w:tc>
          <w:tcPr>
            <w:tcW w:type="dxa" w:w="1134"/>
          </w:tcPr>
          <w:p>
            <w:r/>
            <w:r>
              <w:rPr>
                <w:rFonts w:ascii="宋体" w:hAnsi="宋体" w:eastAsia="宋体"/>
                <w:sz w:val="18"/>
              </w:rPr>
              <w:t>Ⅳ</w:t>
            </w:r>
          </w:p>
        </w:tc>
        <w:tc>
          <w:tcPr>
            <w:tcW w:type="dxa" w:w="6350"/>
          </w:tcPr>
          <w:p>
            <w:r/>
            <w:r>
              <w:rPr>
                <w:rFonts w:ascii="宋体" w:hAnsi="宋体" w:eastAsia="宋体"/>
                <w:sz w:val="18"/>
              </w:rPr>
              <w:t>①船舶适航适任，签订安全生产管理协议；②接收台风预警，落实避险锚地与加固；③超预警启动人员撤离；④编制防台应急预案并演练</w:t>
            </w:r>
          </w:p>
        </w:tc>
      </w:tr>
      <w:tr>
        <w:trPr>
          <w:trHeight w:val="397"/>
        </w:trPr>
        <w:tc>
          <w:tcPr>
            <w:tcW w:type="dxa" w:w="1701"/>
            <w:shd w:val="clear" w:color="auto" w:fill="F2F2F2"/>
          </w:tcPr>
          <w:p>
            <w:r/>
            <w:r>
              <w:rPr>
                <w:rFonts w:ascii="宋体" w:hAnsi="宋体" w:eastAsia="宋体"/>
                <w:sz w:val="18"/>
              </w:rPr>
              <w:t>水下爆破</w:t>
            </w:r>
          </w:p>
        </w:tc>
        <w:tc>
          <w:tcPr>
            <w:tcW w:type="dxa" w:w="1134"/>
            <w:shd w:val="clear" w:color="auto" w:fill="F2F2F2"/>
          </w:tcPr>
          <w:p>
            <w:r/>
            <w:r>
              <w:rPr>
                <w:rFonts w:ascii="宋体" w:hAnsi="宋体" w:eastAsia="宋体"/>
                <w:sz w:val="18"/>
              </w:rPr>
              <w:t>Ⅲ</w:t>
            </w:r>
          </w:p>
        </w:tc>
        <w:tc>
          <w:tcPr>
            <w:tcW w:type="dxa" w:w="6350"/>
            <w:shd w:val="clear" w:color="auto" w:fill="F2F2F2"/>
          </w:tcPr>
          <w:p>
            <w:r/>
            <w:r>
              <w:rPr>
                <w:rFonts w:ascii="宋体" w:hAnsi="宋体" w:eastAsia="宋体"/>
                <w:sz w:val="18"/>
              </w:rPr>
              <w:t>①爆破设计+GA/GB 6722合规；②警戒距离与公告、禁航；③避开大风浪与通航高峰；④哑炮处理预案</w:t>
            </w:r>
          </w:p>
        </w:tc>
      </w:tr>
      <w:tr>
        <w:trPr>
          <w:trHeight w:val="397"/>
        </w:trPr>
        <w:tc>
          <w:tcPr>
            <w:tcW w:type="dxa" w:w="1701"/>
          </w:tcPr>
          <w:p>
            <w:r/>
            <w:r>
              <w:rPr>
                <w:rFonts w:ascii="宋体" w:hAnsi="宋体" w:eastAsia="宋体"/>
                <w:sz w:val="18"/>
              </w:rPr>
              <w:t>边通航边施工</w:t>
            </w:r>
          </w:p>
        </w:tc>
        <w:tc>
          <w:tcPr>
            <w:tcW w:type="dxa" w:w="1134"/>
          </w:tcPr>
          <w:p>
            <w:r/>
            <w:r>
              <w:rPr>
                <w:rFonts w:ascii="宋体" w:hAnsi="宋体" w:eastAsia="宋体"/>
                <w:sz w:val="18"/>
              </w:rPr>
              <w:t>Ⅲ</w:t>
            </w:r>
          </w:p>
        </w:tc>
        <w:tc>
          <w:tcPr>
            <w:tcW w:type="dxa" w:w="6350"/>
          </w:tcPr>
          <w:p>
            <w:r/>
            <w:r>
              <w:rPr>
                <w:rFonts w:ascii="宋体" w:hAnsi="宋体" w:eastAsia="宋体"/>
                <w:sz w:val="18"/>
              </w:rPr>
              <w:t>①施工通航安全保障方案专家评审；②警示标识、警戒船、VHF；③与海事/港航部门联动，发布航行通告</w:t>
            </w:r>
          </w:p>
        </w:tc>
      </w:tr>
    </w:tbl>
    <w:p>
      <w:pPr>
        <w:spacing w:after="40"/>
      </w:pPr>
    </w:p>
    <w:p>
      <w:pPr>
        <w:pStyle w:val="Heading2"/>
        <w:spacing w:before="120" w:after="80"/>
      </w:pPr>
      <w:r>
        <w:rPr>
          <w:rFonts w:ascii="黑体" w:hAnsi="黑体" w:eastAsia="黑体"/>
          <w:b/>
          <w:sz w:val="26"/>
        </w:rPr>
        <w:t>8.3  专项施工方案与专家论证</w:t>
      </w:r>
    </w:p>
    <w:p>
      <w:pPr>
        <w:spacing w:line="348" w:lineRule="auto" w:after="80"/>
        <w:ind w:firstLine="440"/>
        <w:jc w:val="both"/>
      </w:pPr>
      <w:r>
        <w:rPr>
          <w:rFonts w:ascii="宋体" w:hAnsi="宋体" w:eastAsia="宋体"/>
          <w:b w:val="0"/>
          <w:sz w:val="22"/>
        </w:rPr>
        <w:t>对危险性较大的分部分项工程（深基坑、起重吊装、模板支架、爆破、围堰、水上作业平台等），施工单位应在施工前编制专项施工方案，按 JT/T 1495—2024 / 住建部令第 37 号 审核、审查；超过一定规模的危大工程（如水深≥10 m 围堰、单件起吊≥100 kN、C 级及以上及水下爆破、三级及以上航道水上水下施工等）须组织≥5 名专家论证。方案实施前交底，实施中旁站/巡视，验收合格方可进入下道工序。</w:t>
      </w:r>
    </w:p>
    <w:p>
      <w:pPr>
        <w:pStyle w:val="Heading2"/>
        <w:spacing w:before="120" w:after="80"/>
      </w:pPr>
      <w:r>
        <w:rPr>
          <w:rFonts w:ascii="黑体" w:hAnsi="黑体" w:eastAsia="黑体"/>
          <w:b/>
          <w:sz w:val="26"/>
        </w:rPr>
        <w:t>8.4  应急管理与演练</w:t>
      </w:r>
    </w:p>
    <w:p>
      <w:pPr>
        <w:spacing w:line="336" w:lineRule="auto" w:after="40"/>
        <w:ind w:left="340"/>
        <w:jc w:val="both"/>
      </w:pPr>
      <w:r>
        <w:rPr>
          <w:rFonts w:ascii="宋体" w:hAnsi="宋体" w:eastAsia="宋体"/>
          <w:sz w:val="22"/>
        </w:rPr>
        <w:t>建立防汛防台、水上救助、船舶碰撞、触电、坍塌、爆破事故等专项应急预案；</w:t>
      </w:r>
    </w:p>
    <w:p>
      <w:pPr>
        <w:spacing w:line="336" w:lineRule="auto" w:after="40"/>
        <w:ind w:left="340"/>
        <w:jc w:val="both"/>
      </w:pPr>
      <w:r>
        <w:rPr>
          <w:rFonts w:ascii="宋体" w:hAnsi="宋体" w:eastAsia="宋体"/>
          <w:sz w:val="22"/>
        </w:rPr>
        <w:t>配置救生、消防、医疗与通信装备，施工船舶配有效通信设备并指定专人警戒；</w:t>
      </w:r>
    </w:p>
    <w:p>
      <w:pPr>
        <w:spacing w:line="336" w:lineRule="auto" w:after="40"/>
        <w:ind w:left="340"/>
        <w:jc w:val="both"/>
      </w:pPr>
      <w:r>
        <w:rPr>
          <w:rFonts w:ascii="宋体" w:hAnsi="宋体" w:eastAsia="宋体"/>
          <w:sz w:val="22"/>
        </w:rPr>
        <w:t>定期演练（防台撤离、人员落水救助），与海事、 rescue 力量建立联动机制。</w:t>
      </w:r>
    </w:p>
    <w:p>
      <w:pPr>
        <w:pStyle w:val="Heading1"/>
        <w:spacing w:before="200" w:after="80"/>
      </w:pPr>
      <w:r>
        <w:rPr>
          <w:rFonts w:ascii="黑体" w:hAnsi="黑体" w:eastAsia="黑体"/>
          <w:b/>
          <w:sz w:val="30"/>
        </w:rPr>
        <w:t>第九章  风险评估结论</w:t>
      </w:r>
    </w:p>
    <w:p>
      <w:pPr>
        <w:spacing w:line="348" w:lineRule="auto" w:after="80"/>
        <w:ind w:firstLine="440"/>
        <w:jc w:val="both"/>
      </w:pPr>
      <w:r>
        <w:rPr>
          <w:rFonts w:ascii="宋体" w:hAnsi="宋体" w:eastAsia="宋体"/>
          <w:b/>
          <w:sz w:val="22"/>
        </w:rPr>
        <w:t>（1）本示例工程整体施工安全风险等级为 Ⅲ级（较大风险），须重点管控水上作业、起重吊装、深基坑与防汛防台。</w:t>
      </w:r>
    </w:p>
    <w:p>
      <w:pPr>
        <w:spacing w:line="348" w:lineRule="auto" w:after="80"/>
        <w:ind w:firstLine="440"/>
        <w:jc w:val="both"/>
      </w:pPr>
      <w:r>
        <w:rPr>
          <w:rFonts w:ascii="宋体" w:hAnsi="宋体" w:eastAsia="宋体"/>
          <w:b w:val="0"/>
          <w:sz w:val="22"/>
        </w:rPr>
        <w:t>（2）识别重大作业活动若干项，其中水上沉桩施工、防汛防台应急作业评定为 Ⅳ级（重大风险），必须编制专项方案并组织专家论证、全过程监控；大型构件吊装、深基坑/围堰、水下爆破、边通航边施工等为 Ⅲ级（较大风险），须编制专项方案并落实措施。</w:t>
      </w:r>
    </w:p>
    <w:p>
      <w:pPr>
        <w:spacing w:line="348" w:lineRule="auto" w:after="80"/>
        <w:ind w:firstLine="440"/>
        <w:jc w:val="both"/>
      </w:pPr>
      <w:r>
        <w:rPr>
          <w:rFonts w:ascii="宋体" w:hAnsi="宋体" w:eastAsia="宋体"/>
          <w:b w:val="0"/>
          <w:sz w:val="22"/>
        </w:rPr>
        <w:t>（3）建议：建设单位在施工招标前将总体评估结论纳入施工组织设计优化与资源配置决策；施工单位对 Ⅲ级及以上作业在施工前完成专项风险评估，施工过程中动态评估，并在典型施工后开展风险控制预期效果评价。</w:t>
      </w:r>
    </w:p>
    <w:p>
      <w:pPr>
        <w:spacing w:line="348" w:lineRule="auto" w:after="80"/>
        <w:ind w:firstLine="440"/>
        <w:jc w:val="both"/>
      </w:pPr>
      <w:r>
        <w:rPr>
          <w:rFonts w:ascii="宋体" w:hAnsi="宋体" w:eastAsia="宋体"/>
          <w:b w:val="0"/>
          <w:sz w:val="22"/>
        </w:rPr>
        <w:t>（4）本工程位于台风影响区且涉水作业多，通航安全与防台度汛是风险控制的关键外部条件，须严格落实水上水下活动许可、安全作业区与通航安全保障要求。</w:t>
      </w:r>
    </w:p>
    <w:p>
      <w:pPr>
        <w:pStyle w:val="Heading1"/>
        <w:spacing w:before="200" w:after="80"/>
      </w:pPr>
      <w:r>
        <w:rPr>
          <w:rFonts w:ascii="黑体" w:hAnsi="黑体" w:eastAsia="黑体"/>
          <w:b/>
          <w:sz w:val="30"/>
        </w:rPr>
        <w:t>第十章  附录</w:t>
      </w:r>
    </w:p>
    <w:p>
      <w:pPr>
        <w:pStyle w:val="Heading2"/>
        <w:spacing w:before="120" w:after="80"/>
      </w:pPr>
      <w:r>
        <w:rPr>
          <w:rFonts w:ascii="黑体" w:hAnsi="黑体" w:eastAsia="黑体"/>
          <w:b/>
          <w:sz w:val="26"/>
        </w:rPr>
        <w:t>附录 A  施工安全风险清单（汇总）</w:t>
      </w:r>
    </w:p>
    <w:tbl>
      <w:tblPr>
        <w:tblStyle w:val="TableGrid"/>
        <w:tblW w:type="auto" w:w="0"/>
        <w:jc w:val="center"/>
        <w:tblLook w:firstColumn="1" w:firstRow="1" w:lastColumn="0" w:lastRow="0" w:noHBand="0" w:noVBand="1" w:val="04A0"/>
      </w:tblPr>
      <w:tblGrid>
        <w:gridCol w:w="2239"/>
        <w:gridCol w:w="2239"/>
        <w:gridCol w:w="2239"/>
        <w:gridCol w:w="2239"/>
      </w:tblGrid>
      <w:tr>
        <w:trPr>
          <w:trHeight w:val="397"/>
        </w:trPr>
        <w:tc>
          <w:tcPr>
            <w:tcW w:type="dxa" w:w="907"/>
            <w:shd w:val="clear" w:color="auto" w:fill="1F4E79"/>
          </w:tcPr>
          <w:p>
            <w:r/>
            <w:r>
              <w:rPr>
                <w:rFonts w:ascii="微软雅黑" w:hAnsi="微软雅黑" w:eastAsia="微软雅黑"/>
                <w:b/>
                <w:color w:val="FFFFFF"/>
                <w:sz w:val="19"/>
              </w:rPr>
              <w:t>编号</w:t>
            </w:r>
          </w:p>
        </w:tc>
        <w:tc>
          <w:tcPr>
            <w:tcW w:type="dxa" w:w="2608"/>
            <w:shd w:val="clear" w:color="auto" w:fill="1F4E79"/>
          </w:tcPr>
          <w:p>
            <w:r/>
            <w:r>
              <w:rPr>
                <w:rFonts w:ascii="微软雅黑" w:hAnsi="微软雅黑" w:eastAsia="微软雅黑"/>
                <w:b/>
                <w:color w:val="FFFFFF"/>
                <w:sz w:val="19"/>
              </w:rPr>
              <w:t>风险源</w:t>
            </w:r>
          </w:p>
        </w:tc>
        <w:tc>
          <w:tcPr>
            <w:tcW w:type="dxa" w:w="1361"/>
            <w:shd w:val="clear" w:color="auto" w:fill="1F4E79"/>
          </w:tcPr>
          <w:p>
            <w:r/>
            <w:r>
              <w:rPr>
                <w:rFonts w:ascii="微软雅黑" w:hAnsi="微软雅黑" w:eastAsia="微软雅黑"/>
                <w:b/>
                <w:color w:val="FFFFFF"/>
                <w:sz w:val="19"/>
              </w:rPr>
              <w:t>风险等级</w:t>
            </w:r>
          </w:p>
        </w:tc>
        <w:tc>
          <w:tcPr>
            <w:tcW w:type="dxa" w:w="4309"/>
            <w:shd w:val="clear" w:color="auto" w:fill="1F4E79"/>
          </w:tcPr>
          <w:p>
            <w:r/>
            <w:r>
              <w:rPr>
                <w:rFonts w:ascii="微软雅黑" w:hAnsi="微软雅黑" w:eastAsia="微软雅黑"/>
                <w:b/>
                <w:color w:val="FFFFFF"/>
                <w:sz w:val="19"/>
              </w:rPr>
              <w:t>控制措施文件</w:t>
            </w:r>
          </w:p>
        </w:tc>
      </w:tr>
      <w:tr>
        <w:trPr>
          <w:trHeight w:val="397"/>
        </w:trPr>
        <w:tc>
          <w:tcPr>
            <w:tcW w:type="dxa" w:w="907"/>
          </w:tcPr>
          <w:p>
            <w:r/>
            <w:r>
              <w:rPr>
                <w:rFonts w:ascii="宋体" w:hAnsi="宋体" w:eastAsia="宋体"/>
                <w:sz w:val="19"/>
              </w:rPr>
              <w:t>R-01</w:t>
            </w:r>
          </w:p>
        </w:tc>
        <w:tc>
          <w:tcPr>
            <w:tcW w:type="dxa" w:w="2608"/>
          </w:tcPr>
          <w:p>
            <w:r/>
            <w:r>
              <w:rPr>
                <w:rFonts w:ascii="宋体" w:hAnsi="宋体" w:eastAsia="宋体"/>
                <w:sz w:val="19"/>
              </w:rPr>
              <w:t>水上沉桩施工</w:t>
            </w:r>
          </w:p>
        </w:tc>
        <w:tc>
          <w:tcPr>
            <w:tcW w:type="dxa" w:w="1361"/>
          </w:tcPr>
          <w:p>
            <w:r/>
            <w:r>
              <w:rPr>
                <w:rFonts w:ascii="宋体" w:hAnsi="宋体" w:eastAsia="宋体"/>
                <w:sz w:val="19"/>
              </w:rPr>
              <w:t>Ⅳ</w:t>
            </w:r>
          </w:p>
        </w:tc>
        <w:tc>
          <w:tcPr>
            <w:tcW w:type="dxa" w:w="4309"/>
          </w:tcPr>
          <w:p>
            <w:r/>
            <w:r>
              <w:rPr>
                <w:rFonts w:ascii="宋体" w:hAnsi="宋体" w:eastAsia="宋体"/>
                <w:sz w:val="19"/>
              </w:rPr>
              <w:t>水上专项方案+通航保障方案</w:t>
            </w:r>
          </w:p>
        </w:tc>
      </w:tr>
      <w:tr>
        <w:trPr>
          <w:trHeight w:val="397"/>
        </w:trPr>
        <w:tc>
          <w:tcPr>
            <w:tcW w:type="dxa" w:w="907"/>
            <w:shd w:val="clear" w:color="auto" w:fill="F2F2F2"/>
          </w:tcPr>
          <w:p>
            <w:r/>
            <w:r>
              <w:rPr>
                <w:rFonts w:ascii="宋体" w:hAnsi="宋体" w:eastAsia="宋体"/>
                <w:sz w:val="19"/>
              </w:rPr>
              <w:t>R-02</w:t>
            </w:r>
          </w:p>
        </w:tc>
        <w:tc>
          <w:tcPr>
            <w:tcW w:type="dxa" w:w="2608"/>
            <w:shd w:val="clear" w:color="auto" w:fill="F2F2F2"/>
          </w:tcPr>
          <w:p>
            <w:r/>
            <w:r>
              <w:rPr>
                <w:rFonts w:ascii="宋体" w:hAnsi="宋体" w:eastAsia="宋体"/>
                <w:sz w:val="19"/>
              </w:rPr>
              <w:t>大型构件吊运安装</w:t>
            </w:r>
          </w:p>
        </w:tc>
        <w:tc>
          <w:tcPr>
            <w:tcW w:type="dxa" w:w="1361"/>
            <w:shd w:val="clear" w:color="auto" w:fill="F2F2F2"/>
          </w:tcPr>
          <w:p>
            <w:r/>
            <w:r>
              <w:rPr>
                <w:rFonts w:ascii="宋体" w:hAnsi="宋体" w:eastAsia="宋体"/>
                <w:sz w:val="19"/>
              </w:rPr>
              <w:t>Ⅲ</w:t>
            </w:r>
          </w:p>
        </w:tc>
        <w:tc>
          <w:tcPr>
            <w:tcW w:type="dxa" w:w="4309"/>
            <w:shd w:val="clear" w:color="auto" w:fill="F2F2F2"/>
          </w:tcPr>
          <w:p>
            <w:r/>
            <w:r>
              <w:rPr>
                <w:rFonts w:ascii="宋体" w:hAnsi="宋体" w:eastAsia="宋体"/>
                <w:sz w:val="19"/>
              </w:rPr>
              <w:t>起重吊装专项方案</w:t>
            </w:r>
          </w:p>
        </w:tc>
      </w:tr>
      <w:tr>
        <w:trPr>
          <w:trHeight w:val="397"/>
        </w:trPr>
        <w:tc>
          <w:tcPr>
            <w:tcW w:type="dxa" w:w="907"/>
          </w:tcPr>
          <w:p>
            <w:r/>
            <w:r>
              <w:rPr>
                <w:rFonts w:ascii="宋体" w:hAnsi="宋体" w:eastAsia="宋体"/>
                <w:sz w:val="19"/>
              </w:rPr>
              <w:t>R-03</w:t>
            </w:r>
          </w:p>
        </w:tc>
        <w:tc>
          <w:tcPr>
            <w:tcW w:type="dxa" w:w="2608"/>
          </w:tcPr>
          <w:p>
            <w:r/>
            <w:r>
              <w:rPr>
                <w:rFonts w:ascii="宋体" w:hAnsi="宋体" w:eastAsia="宋体"/>
                <w:sz w:val="19"/>
              </w:rPr>
              <w:t>深基坑/围堰开挖</w:t>
            </w:r>
          </w:p>
        </w:tc>
        <w:tc>
          <w:tcPr>
            <w:tcW w:type="dxa" w:w="1361"/>
          </w:tcPr>
          <w:p>
            <w:r/>
            <w:r>
              <w:rPr>
                <w:rFonts w:ascii="宋体" w:hAnsi="宋体" w:eastAsia="宋体"/>
                <w:sz w:val="19"/>
              </w:rPr>
              <w:t>Ⅲ</w:t>
            </w:r>
          </w:p>
        </w:tc>
        <w:tc>
          <w:tcPr>
            <w:tcW w:type="dxa" w:w="4309"/>
          </w:tcPr>
          <w:p>
            <w:r/>
            <w:r>
              <w:rPr>
                <w:rFonts w:ascii="宋体" w:hAnsi="宋体" w:eastAsia="宋体"/>
                <w:sz w:val="19"/>
              </w:rPr>
              <w:t>基坑支护专项方案+监测</w:t>
            </w:r>
          </w:p>
        </w:tc>
      </w:tr>
      <w:tr>
        <w:trPr>
          <w:trHeight w:val="397"/>
        </w:trPr>
        <w:tc>
          <w:tcPr>
            <w:tcW w:type="dxa" w:w="907"/>
            <w:shd w:val="clear" w:color="auto" w:fill="F2F2F2"/>
          </w:tcPr>
          <w:p>
            <w:r/>
            <w:r>
              <w:rPr>
                <w:rFonts w:ascii="宋体" w:hAnsi="宋体" w:eastAsia="宋体"/>
                <w:sz w:val="19"/>
              </w:rPr>
              <w:t>R-04</w:t>
            </w:r>
          </w:p>
        </w:tc>
        <w:tc>
          <w:tcPr>
            <w:tcW w:type="dxa" w:w="2608"/>
            <w:shd w:val="clear" w:color="auto" w:fill="F2F2F2"/>
          </w:tcPr>
          <w:p>
            <w:r/>
            <w:r>
              <w:rPr>
                <w:rFonts w:ascii="宋体" w:hAnsi="宋体" w:eastAsia="宋体"/>
                <w:sz w:val="19"/>
              </w:rPr>
              <w:t>临时用电</w:t>
            </w:r>
          </w:p>
        </w:tc>
        <w:tc>
          <w:tcPr>
            <w:tcW w:type="dxa" w:w="1361"/>
            <w:shd w:val="clear" w:color="auto" w:fill="F2F2F2"/>
          </w:tcPr>
          <w:p>
            <w:r/>
            <w:r>
              <w:rPr>
                <w:rFonts w:ascii="宋体" w:hAnsi="宋体" w:eastAsia="宋体"/>
                <w:sz w:val="19"/>
              </w:rPr>
              <w:t>Ⅱ</w:t>
            </w:r>
          </w:p>
        </w:tc>
        <w:tc>
          <w:tcPr>
            <w:tcW w:type="dxa" w:w="4309"/>
            <w:shd w:val="clear" w:color="auto" w:fill="F2F2F2"/>
          </w:tcPr>
          <w:p>
            <w:r/>
            <w:r>
              <w:rPr>
                <w:rFonts w:ascii="宋体" w:hAnsi="宋体" w:eastAsia="宋体"/>
                <w:sz w:val="19"/>
              </w:rPr>
              <w:t>临时用电方案</w:t>
            </w:r>
          </w:p>
        </w:tc>
      </w:tr>
      <w:tr>
        <w:trPr>
          <w:trHeight w:val="397"/>
        </w:trPr>
        <w:tc>
          <w:tcPr>
            <w:tcW w:type="dxa" w:w="907"/>
          </w:tcPr>
          <w:p>
            <w:r/>
            <w:r>
              <w:rPr>
                <w:rFonts w:ascii="宋体" w:hAnsi="宋体" w:eastAsia="宋体"/>
                <w:sz w:val="19"/>
              </w:rPr>
              <w:t>R-05</w:t>
            </w:r>
          </w:p>
        </w:tc>
        <w:tc>
          <w:tcPr>
            <w:tcW w:type="dxa" w:w="2608"/>
          </w:tcPr>
          <w:p>
            <w:r/>
            <w:r>
              <w:rPr>
                <w:rFonts w:ascii="宋体" w:hAnsi="宋体" w:eastAsia="宋体"/>
                <w:sz w:val="19"/>
              </w:rPr>
              <w:t>高处/临边作业</w:t>
            </w:r>
          </w:p>
        </w:tc>
        <w:tc>
          <w:tcPr>
            <w:tcW w:type="dxa" w:w="1361"/>
          </w:tcPr>
          <w:p>
            <w:r/>
            <w:r>
              <w:rPr>
                <w:rFonts w:ascii="宋体" w:hAnsi="宋体" w:eastAsia="宋体"/>
                <w:sz w:val="19"/>
              </w:rPr>
              <w:t>Ⅱ</w:t>
            </w:r>
          </w:p>
        </w:tc>
        <w:tc>
          <w:tcPr>
            <w:tcW w:type="dxa" w:w="4309"/>
          </w:tcPr>
          <w:p>
            <w:r/>
            <w:r>
              <w:rPr>
                <w:rFonts w:ascii="宋体" w:hAnsi="宋体" w:eastAsia="宋体"/>
                <w:sz w:val="19"/>
              </w:rPr>
              <w:t>高处作业防护交底</w:t>
            </w:r>
          </w:p>
        </w:tc>
      </w:tr>
      <w:tr>
        <w:trPr>
          <w:trHeight w:val="397"/>
        </w:trPr>
        <w:tc>
          <w:tcPr>
            <w:tcW w:type="dxa" w:w="907"/>
            <w:shd w:val="clear" w:color="auto" w:fill="F2F2F2"/>
          </w:tcPr>
          <w:p>
            <w:r/>
            <w:r>
              <w:rPr>
                <w:rFonts w:ascii="宋体" w:hAnsi="宋体" w:eastAsia="宋体"/>
                <w:sz w:val="19"/>
              </w:rPr>
              <w:t>R-06</w:t>
            </w:r>
          </w:p>
        </w:tc>
        <w:tc>
          <w:tcPr>
            <w:tcW w:type="dxa" w:w="2608"/>
            <w:shd w:val="clear" w:color="auto" w:fill="F2F2F2"/>
          </w:tcPr>
          <w:p>
            <w:r/>
            <w:r>
              <w:rPr>
                <w:rFonts w:ascii="宋体" w:hAnsi="宋体" w:eastAsia="宋体"/>
                <w:sz w:val="19"/>
              </w:rPr>
              <w:t>施工船舶安全</w:t>
            </w:r>
          </w:p>
        </w:tc>
        <w:tc>
          <w:tcPr>
            <w:tcW w:type="dxa" w:w="1361"/>
            <w:shd w:val="clear" w:color="auto" w:fill="F2F2F2"/>
          </w:tcPr>
          <w:p>
            <w:r/>
            <w:r>
              <w:rPr>
                <w:rFonts w:ascii="宋体" w:hAnsi="宋体" w:eastAsia="宋体"/>
                <w:sz w:val="19"/>
              </w:rPr>
              <w:t>Ⅲ</w:t>
            </w:r>
          </w:p>
        </w:tc>
        <w:tc>
          <w:tcPr>
            <w:tcW w:type="dxa" w:w="4309"/>
            <w:shd w:val="clear" w:color="auto" w:fill="F2F2F2"/>
          </w:tcPr>
          <w:p>
            <w:r/>
            <w:r>
              <w:rPr>
                <w:rFonts w:ascii="宋体" w:hAnsi="宋体" w:eastAsia="宋体"/>
                <w:sz w:val="19"/>
              </w:rPr>
              <w:t>船舶安全管理协议</w:t>
            </w:r>
          </w:p>
        </w:tc>
      </w:tr>
      <w:tr>
        <w:trPr>
          <w:trHeight w:val="397"/>
        </w:trPr>
        <w:tc>
          <w:tcPr>
            <w:tcW w:type="dxa" w:w="907"/>
          </w:tcPr>
          <w:p>
            <w:r/>
            <w:r>
              <w:rPr>
                <w:rFonts w:ascii="宋体" w:hAnsi="宋体" w:eastAsia="宋体"/>
                <w:sz w:val="19"/>
              </w:rPr>
              <w:t>R-07</w:t>
            </w:r>
          </w:p>
        </w:tc>
        <w:tc>
          <w:tcPr>
            <w:tcW w:type="dxa" w:w="2608"/>
          </w:tcPr>
          <w:p>
            <w:r/>
            <w:r>
              <w:rPr>
                <w:rFonts w:ascii="宋体" w:hAnsi="宋体" w:eastAsia="宋体"/>
                <w:sz w:val="19"/>
              </w:rPr>
              <w:t>潜水作业</w:t>
            </w:r>
          </w:p>
        </w:tc>
        <w:tc>
          <w:tcPr>
            <w:tcW w:type="dxa" w:w="1361"/>
          </w:tcPr>
          <w:p>
            <w:r/>
            <w:r>
              <w:rPr>
                <w:rFonts w:ascii="宋体" w:hAnsi="宋体" w:eastAsia="宋体"/>
                <w:sz w:val="19"/>
              </w:rPr>
              <w:t>Ⅲ</w:t>
            </w:r>
          </w:p>
        </w:tc>
        <w:tc>
          <w:tcPr>
            <w:tcW w:type="dxa" w:w="4309"/>
          </w:tcPr>
          <w:p>
            <w:r/>
            <w:r>
              <w:rPr>
                <w:rFonts w:ascii="宋体" w:hAnsi="宋体" w:eastAsia="宋体"/>
                <w:sz w:val="19"/>
              </w:rPr>
              <w:t>潜水作业专项方案</w:t>
            </w:r>
          </w:p>
        </w:tc>
      </w:tr>
      <w:tr>
        <w:trPr>
          <w:trHeight w:val="397"/>
        </w:trPr>
        <w:tc>
          <w:tcPr>
            <w:tcW w:type="dxa" w:w="907"/>
            <w:shd w:val="clear" w:color="auto" w:fill="F2F2F2"/>
          </w:tcPr>
          <w:p>
            <w:r/>
            <w:r>
              <w:rPr>
                <w:rFonts w:ascii="宋体" w:hAnsi="宋体" w:eastAsia="宋体"/>
                <w:sz w:val="19"/>
              </w:rPr>
              <w:t>R-08</w:t>
            </w:r>
          </w:p>
        </w:tc>
        <w:tc>
          <w:tcPr>
            <w:tcW w:type="dxa" w:w="2608"/>
            <w:shd w:val="clear" w:color="auto" w:fill="F2F2F2"/>
          </w:tcPr>
          <w:p>
            <w:r/>
            <w:r>
              <w:rPr>
                <w:rFonts w:ascii="宋体" w:hAnsi="宋体" w:eastAsia="宋体"/>
                <w:sz w:val="19"/>
              </w:rPr>
              <w:t>水下爆破/爆夯</w:t>
            </w:r>
          </w:p>
        </w:tc>
        <w:tc>
          <w:tcPr>
            <w:tcW w:type="dxa" w:w="1361"/>
            <w:shd w:val="clear" w:color="auto" w:fill="F2F2F2"/>
          </w:tcPr>
          <w:p>
            <w:r/>
            <w:r>
              <w:rPr>
                <w:rFonts w:ascii="宋体" w:hAnsi="宋体" w:eastAsia="宋体"/>
                <w:sz w:val="19"/>
              </w:rPr>
              <w:t>Ⅲ</w:t>
            </w:r>
          </w:p>
        </w:tc>
        <w:tc>
          <w:tcPr>
            <w:tcW w:type="dxa" w:w="4309"/>
            <w:shd w:val="clear" w:color="auto" w:fill="F2F2F2"/>
          </w:tcPr>
          <w:p>
            <w:r/>
            <w:r>
              <w:rPr>
                <w:rFonts w:ascii="宋体" w:hAnsi="宋体" w:eastAsia="宋体"/>
                <w:sz w:val="19"/>
              </w:rPr>
              <w:t>爆破专项方案</w:t>
            </w:r>
          </w:p>
        </w:tc>
      </w:tr>
      <w:tr>
        <w:trPr>
          <w:trHeight w:val="397"/>
        </w:trPr>
        <w:tc>
          <w:tcPr>
            <w:tcW w:type="dxa" w:w="907"/>
          </w:tcPr>
          <w:p>
            <w:r/>
            <w:r>
              <w:rPr>
                <w:rFonts w:ascii="宋体" w:hAnsi="宋体" w:eastAsia="宋体"/>
                <w:sz w:val="19"/>
              </w:rPr>
              <w:t>R-09</w:t>
            </w:r>
          </w:p>
        </w:tc>
        <w:tc>
          <w:tcPr>
            <w:tcW w:type="dxa" w:w="2608"/>
          </w:tcPr>
          <w:p>
            <w:r/>
            <w:r>
              <w:rPr>
                <w:rFonts w:ascii="宋体" w:hAnsi="宋体" w:eastAsia="宋体"/>
                <w:sz w:val="19"/>
              </w:rPr>
              <w:t>防汛防台</w:t>
            </w:r>
          </w:p>
        </w:tc>
        <w:tc>
          <w:tcPr>
            <w:tcW w:type="dxa" w:w="1361"/>
          </w:tcPr>
          <w:p>
            <w:r/>
            <w:r>
              <w:rPr>
                <w:rFonts w:ascii="宋体" w:hAnsi="宋体" w:eastAsia="宋体"/>
                <w:sz w:val="19"/>
              </w:rPr>
              <w:t>Ⅳ</w:t>
            </w:r>
          </w:p>
        </w:tc>
        <w:tc>
          <w:tcPr>
            <w:tcW w:type="dxa" w:w="4309"/>
          </w:tcPr>
          <w:p>
            <w:r/>
            <w:r>
              <w:rPr>
                <w:rFonts w:ascii="宋体" w:hAnsi="宋体" w:eastAsia="宋体"/>
                <w:sz w:val="19"/>
              </w:rPr>
              <w:t>防台应急预案+演练</w:t>
            </w:r>
          </w:p>
        </w:tc>
      </w:tr>
      <w:tr>
        <w:trPr>
          <w:trHeight w:val="397"/>
        </w:trPr>
        <w:tc>
          <w:tcPr>
            <w:tcW w:type="dxa" w:w="907"/>
            <w:shd w:val="clear" w:color="auto" w:fill="F2F2F2"/>
          </w:tcPr>
          <w:p>
            <w:r/>
            <w:r>
              <w:rPr>
                <w:rFonts w:ascii="宋体" w:hAnsi="宋体" w:eastAsia="宋体"/>
                <w:sz w:val="19"/>
              </w:rPr>
              <w:t>R-10</w:t>
            </w:r>
          </w:p>
        </w:tc>
        <w:tc>
          <w:tcPr>
            <w:tcW w:type="dxa" w:w="2608"/>
            <w:shd w:val="clear" w:color="auto" w:fill="F2F2F2"/>
          </w:tcPr>
          <w:p>
            <w:r/>
            <w:r>
              <w:rPr>
                <w:rFonts w:ascii="宋体" w:hAnsi="宋体" w:eastAsia="宋体"/>
                <w:sz w:val="19"/>
              </w:rPr>
              <w:t>边通航边施工</w:t>
            </w:r>
          </w:p>
        </w:tc>
        <w:tc>
          <w:tcPr>
            <w:tcW w:type="dxa" w:w="1361"/>
            <w:shd w:val="clear" w:color="auto" w:fill="F2F2F2"/>
          </w:tcPr>
          <w:p>
            <w:r/>
            <w:r>
              <w:rPr>
                <w:rFonts w:ascii="宋体" w:hAnsi="宋体" w:eastAsia="宋体"/>
                <w:sz w:val="19"/>
              </w:rPr>
              <w:t>Ⅲ</w:t>
            </w:r>
          </w:p>
        </w:tc>
        <w:tc>
          <w:tcPr>
            <w:tcW w:type="dxa" w:w="4309"/>
            <w:shd w:val="clear" w:color="auto" w:fill="F2F2F2"/>
          </w:tcPr>
          <w:p>
            <w:r/>
            <w:r>
              <w:rPr>
                <w:rFonts w:ascii="宋体" w:hAnsi="宋体" w:eastAsia="宋体"/>
                <w:sz w:val="19"/>
              </w:rPr>
              <w:t>通航安全保障方案</w:t>
            </w:r>
          </w:p>
        </w:tc>
      </w:tr>
    </w:tbl>
    <w:p>
      <w:pPr>
        <w:spacing w:after="40"/>
      </w:pPr>
    </w:p>
    <w:p>
      <w:pPr>
        <w:pStyle w:val="Heading2"/>
        <w:spacing w:before="120" w:after="80"/>
      </w:pPr>
      <w:r>
        <w:rPr>
          <w:rFonts w:ascii="黑体" w:hAnsi="黑体" w:eastAsia="黑体"/>
          <w:b/>
          <w:sz w:val="26"/>
        </w:rPr>
        <w:t>附录 B  港口工程常见重大作业活动清单（依据 JT/T 1375.5—2022 附录 D）</w:t>
      </w:r>
    </w:p>
    <w:p>
      <w:pPr>
        <w:spacing w:line="348" w:lineRule="auto" w:after="80"/>
        <w:ind w:firstLine="440"/>
        <w:jc w:val="both"/>
      </w:pPr>
      <w:r>
        <w:rPr>
          <w:rFonts w:ascii="宋体" w:hAnsi="宋体" w:eastAsia="宋体"/>
          <w:b w:val="0"/>
          <w:sz w:val="22"/>
        </w:rPr>
        <w:t>沿海港口工程重大作业活动（节选）：沉箱预制、沉箱出运下水、沉箱运输及安装、水上沉桩施工、水上灌注桩施工、潜水作业、水下爆破、水上吊运及安装、大型平台便桥架设与拆除、大型支架模板架设与拆除、岸坡开挖、基床爆夯、基床整平、地下连续墙成槽施工、地下连续墙钢筋笼起重吊装、基坑开挖、拉杆安装、码头前沿挖泥、高边坡加固等。内河港口工程还须考虑围堰施工、筑岛施工、陆上爆破等。</w:t>
      </w:r>
    </w:p>
    <w:p>
      <w:pPr>
        <w:pStyle w:val="Heading2"/>
        <w:spacing w:before="120" w:after="80"/>
      </w:pPr>
      <w:r>
        <w:rPr>
          <w:rFonts w:ascii="黑体" w:hAnsi="黑体" w:eastAsia="黑体"/>
          <w:b/>
          <w:sz w:val="26"/>
        </w:rPr>
        <w:t>附录 C  评估小组（示例）</w:t>
      </w:r>
    </w:p>
    <w:tbl>
      <w:tblPr>
        <w:tblStyle w:val="TableGrid"/>
        <w:tblW w:type="auto" w:w="0"/>
        <w:jc w:val="center"/>
        <w:tblLook w:firstColumn="1" w:firstRow="1" w:lastColumn="0" w:lastRow="0" w:noHBand="0" w:noVBand="1" w:val="04A0"/>
      </w:tblPr>
      <w:tblGrid>
        <w:gridCol w:w="2986"/>
        <w:gridCol w:w="2986"/>
        <w:gridCol w:w="2986"/>
      </w:tblGrid>
      <w:tr>
        <w:trPr>
          <w:trHeight w:val="397"/>
        </w:trPr>
        <w:tc>
          <w:tcPr>
            <w:tcW w:type="dxa" w:w="1701"/>
            <w:shd w:val="clear" w:color="auto" w:fill="1F4E79"/>
          </w:tcPr>
          <w:p>
            <w:r/>
            <w:r>
              <w:rPr>
                <w:rFonts w:ascii="微软雅黑" w:hAnsi="微软雅黑" w:eastAsia="微软雅黑"/>
                <w:b/>
                <w:color w:val="FFFFFF"/>
                <w:sz w:val="19"/>
              </w:rPr>
              <w:t>角色</w:t>
            </w:r>
          </w:p>
        </w:tc>
        <w:tc>
          <w:tcPr>
            <w:tcW w:type="dxa" w:w="5102"/>
            <w:shd w:val="clear" w:color="auto" w:fill="1F4E79"/>
          </w:tcPr>
          <w:p>
            <w:r/>
            <w:r>
              <w:rPr>
                <w:rFonts w:ascii="微软雅黑" w:hAnsi="微软雅黑" w:eastAsia="微软雅黑"/>
                <w:b/>
                <w:color w:val="FFFFFF"/>
                <w:sz w:val="19"/>
              </w:rPr>
              <w:t>专业要求</w:t>
            </w:r>
          </w:p>
        </w:tc>
        <w:tc>
          <w:tcPr>
            <w:tcW w:type="dxa" w:w="2381"/>
            <w:shd w:val="clear" w:color="auto" w:fill="1F4E79"/>
          </w:tcPr>
          <w:p>
            <w:r/>
            <w:r>
              <w:rPr>
                <w:rFonts w:ascii="微软雅黑" w:hAnsi="微软雅黑" w:eastAsia="微软雅黑"/>
                <w:b/>
                <w:color w:val="FFFFFF"/>
                <w:sz w:val="19"/>
              </w:rPr>
              <w:t>人数</w:t>
            </w:r>
          </w:p>
        </w:tc>
      </w:tr>
      <w:tr>
        <w:trPr>
          <w:trHeight w:val="397"/>
        </w:trPr>
        <w:tc>
          <w:tcPr>
            <w:tcW w:type="dxa" w:w="1701"/>
          </w:tcPr>
          <w:p>
            <w:r/>
            <w:r>
              <w:rPr>
                <w:rFonts w:ascii="宋体" w:hAnsi="宋体" w:eastAsia="宋体"/>
                <w:sz w:val="19"/>
              </w:rPr>
              <w:t>组长</w:t>
            </w:r>
          </w:p>
        </w:tc>
        <w:tc>
          <w:tcPr>
            <w:tcW w:type="dxa" w:w="5102"/>
          </w:tcPr>
          <w:p>
            <w:r/>
            <w:r>
              <w:rPr>
                <w:rFonts w:ascii="宋体" w:hAnsi="宋体" w:eastAsia="宋体"/>
                <w:sz w:val="19"/>
              </w:rPr>
              <w:t>港口/水运工程，高工，15年以上经历</w:t>
            </w:r>
          </w:p>
        </w:tc>
        <w:tc>
          <w:tcPr>
            <w:tcW w:type="dxa" w:w="2381"/>
          </w:tcPr>
          <w:p>
            <w:r/>
            <w:r>
              <w:rPr>
                <w:rFonts w:ascii="宋体" w:hAnsi="宋体" w:eastAsia="宋体"/>
                <w:sz w:val="19"/>
              </w:rPr>
              <w:t>1</w:t>
            </w:r>
          </w:p>
        </w:tc>
      </w:tr>
      <w:tr>
        <w:trPr>
          <w:trHeight w:val="397"/>
        </w:trPr>
        <w:tc>
          <w:tcPr>
            <w:tcW w:type="dxa" w:w="1701"/>
            <w:shd w:val="clear" w:color="auto" w:fill="F2F2F2"/>
          </w:tcPr>
          <w:p>
            <w:r/>
            <w:r>
              <w:rPr>
                <w:rFonts w:ascii="宋体" w:hAnsi="宋体" w:eastAsia="宋体"/>
                <w:sz w:val="19"/>
              </w:rPr>
              <w:t>成员</w:t>
            </w:r>
          </w:p>
        </w:tc>
        <w:tc>
          <w:tcPr>
            <w:tcW w:type="dxa" w:w="5102"/>
            <w:shd w:val="clear" w:color="auto" w:fill="F2F2F2"/>
          </w:tcPr>
          <w:p>
            <w:r/>
            <w:r>
              <w:rPr>
                <w:rFonts w:ascii="宋体" w:hAnsi="宋体" w:eastAsia="宋体"/>
                <w:sz w:val="19"/>
              </w:rPr>
              <w:t>施工/监理/勘察设计/风险评估</w:t>
            </w:r>
          </w:p>
        </w:tc>
        <w:tc>
          <w:tcPr>
            <w:tcW w:type="dxa" w:w="2381"/>
            <w:shd w:val="clear" w:color="auto" w:fill="F2F2F2"/>
          </w:tcPr>
          <w:p>
            <w:r/>
            <w:r>
              <w:rPr>
                <w:rFonts w:ascii="宋体" w:hAnsi="宋体" w:eastAsia="宋体"/>
                <w:sz w:val="19"/>
              </w:rPr>
              <w:t>≥4（单数，合计≥5）</w:t>
            </w:r>
          </w:p>
        </w:tc>
      </w:tr>
      <w:tr>
        <w:trPr>
          <w:trHeight w:val="397"/>
        </w:trPr>
        <w:tc>
          <w:tcPr>
            <w:tcW w:type="dxa" w:w="1701"/>
          </w:tcPr>
          <w:p>
            <w:r/>
            <w:r>
              <w:rPr>
                <w:rFonts w:ascii="宋体" w:hAnsi="宋体" w:eastAsia="宋体"/>
                <w:sz w:val="19"/>
              </w:rPr>
              <w:t>备注</w:t>
            </w:r>
          </w:p>
        </w:tc>
        <w:tc>
          <w:tcPr>
            <w:tcW w:type="dxa" w:w="5102"/>
          </w:tcPr>
          <w:p>
            <w:r/>
            <w:r>
              <w:rPr>
                <w:rFonts w:ascii="宋体" w:hAnsi="宋体" w:eastAsia="宋体"/>
                <w:sz w:val="19"/>
              </w:rPr>
              <w:t>与本项目无利害关系的专家</w:t>
            </w:r>
          </w:p>
        </w:tc>
        <w:tc>
          <w:tcPr>
            <w:tcW w:type="dxa" w:w="2381"/>
          </w:tcPr>
          <w:p>
            <w:r/>
            <w:r>
              <w:rPr>
                <w:rFonts w:ascii="宋体" w:hAnsi="宋体" w:eastAsia="宋体"/>
                <w:sz w:val="19"/>
              </w:rPr>
              <w:t>—</w:t>
            </w:r>
          </w:p>
        </w:tc>
      </w:tr>
    </w:tbl>
    <w:p>
      <w:pPr>
        <w:spacing w:after="40"/>
      </w:pPr>
    </w:p>
    <w:p/>
    <w:p>
      <w:pPr>
        <w:jc w:val="center"/>
      </w:pPr>
      <w:r>
        <w:rPr>
          <w:rFonts w:ascii="微软雅黑" w:hAnsi="微软雅黑" w:eastAsia="微软雅黑"/>
          <w:color w:val="595959"/>
          <w:sz w:val="22"/>
        </w:rPr>
        <w:t>— 报告结束 —</w:t>
      </w:r>
    </w:p>
    <w:sectPr w:rsidR="00FC693F" w:rsidRPr="0006063C" w:rsidSect="00034616">
      <w:footerReference w:type="default" r:id="rId9"/>
      <w:pgSz w:w="11906" w:h="16838"/>
      <w:pgMar w:top="1361" w:right="1474" w:bottom="124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宋体" w:hAnsi="宋体" w:eastAsia="宋体"/>
        <w:color w:val="595959"/>
        <w:sz w:val="16"/>
      </w:rPr>
      <w:t xml:space="preserve">港口码头总体施工安全风险评估报告（示例）　　第 </w:t>
    </w:r>
    <w:r>
      <w:fldChar w:fldCharType="begin"/>
      <w:instrText xml:space="preserve">PAGE</w:instrText>
      <w:fldChar w:fldCharType="end"/>
    </w:r>
    <w:r>
      <w:rPr>
        <w:rFonts w:ascii="宋体" w:hAnsi="宋体" w:eastAsia="宋体"/>
        <w:color w:val="595959"/>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