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87456" w14:textId="77777777" w:rsidR="00237AB2" w:rsidRDefault="00000000" w:rsidP="00237AB2">
      <w:pPr>
        <w:pStyle w:val="a3"/>
        <w:widowControl/>
        <w:shd w:val="clear" w:color="auto" w:fill="FFFFFF"/>
        <w:spacing w:beforeAutospacing="0" w:afterAutospacing="0"/>
        <w:jc w:val="center"/>
        <w:rPr>
          <w:rFonts w:ascii="Microsoft YaHei UI" w:eastAsia="Microsoft YaHei UI" w:hAnsi="Microsoft YaHei UI" w:cs="Microsoft YaHei UI"/>
          <w:spacing w:val="5"/>
          <w:sz w:val="25"/>
          <w:szCs w:val="25"/>
          <w:shd w:val="clear" w:color="auto" w:fill="FFFFFF"/>
        </w:rPr>
      </w:pPr>
      <w:r>
        <w:rPr>
          <w:rFonts w:ascii="Microsoft YaHei UI" w:eastAsia="Microsoft YaHei UI" w:hAnsi="Microsoft YaHei UI" w:cs="Microsoft YaHei UI" w:hint="eastAsia"/>
          <w:b/>
          <w:bCs/>
          <w:spacing w:val="5"/>
          <w:sz w:val="44"/>
          <w:szCs w:val="44"/>
          <w:shd w:val="clear" w:color="auto" w:fill="FFFFFF"/>
        </w:rPr>
        <w:t>三十条安全追责红线</w:t>
      </w:r>
    </w:p>
    <w:p w14:paraId="78E5C715" w14:textId="06BBC530" w:rsidR="00A6158A" w:rsidRPr="00237AB2" w:rsidRDefault="00000000" w:rsidP="00237AB2">
      <w:pPr>
        <w:pStyle w:val="a3"/>
        <w:widowControl/>
        <w:shd w:val="clear" w:color="auto" w:fill="FFFFFF"/>
        <w:spacing w:beforeAutospacing="0" w:afterAutospacing="0"/>
        <w:rPr>
          <w:rFonts w:ascii="Microsoft YaHei UI" w:eastAsia="Microsoft YaHei UI" w:hAnsi="Microsoft YaHei UI" w:cs="Microsoft YaHei UI" w:hint="eastAsia"/>
          <w:spacing w:val="5"/>
          <w:sz w:val="44"/>
          <w:szCs w:val="44"/>
          <w:shd w:val="clear" w:color="auto" w:fill="FFFFFF"/>
        </w:rPr>
      </w:pP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红线1：企业主要负责人未依法履行七项法定安全管理职责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查处结果：负责人罚款2-5万，企业限期整改；逾期停工并追加罚款；出事直接撤职，终身行业禁入。</w:t>
      </w:r>
    </w:p>
    <w:p w14:paraId="169B0690" w14:textId="77777777" w:rsidR="00A6158A" w:rsidRDefault="00A6158A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</w:p>
    <w:p w14:paraId="63D7465F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t>如何规避：每月主持安全专题会议，足额计提安全经费，牵头风险分级管控、隐患闭环、应急演练，按时如实上报各类安全事故。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红线2：全员安全生产责任体系虚化、无落地考核机制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查处结果：责令30日内重新修订全员责任书，企业罚款5万内，项目负责人约谈问责。</w:t>
      </w:r>
    </w:p>
    <w:p w14:paraId="5AFE432F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如何规避：分层制定贴合岗位的安全责任书，每月开展履职考核，安全绩效与薪酬挂钩，定期组织员工学习自身岗位安全职责。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红线3：高危行业未按标准配齐专职安全管理机构与人员（高危行业需特别注意）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查处结果：立即停工配齐人员，企业罚款10万起，无证书挂靠安全员直接清退。</w:t>
      </w:r>
    </w:p>
    <w:p w14:paraId="0D59F189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lastRenderedPageBreak/>
        <w:br/>
        <w:t>如何规避：按项目规模、营收足额配置安全管理人员，4亿以上项目增设专职安全总监，起重机械配套专项机械安全员，杜绝证书挂靠、人证分离。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红线4：安全生产专项资金投入不足，安全防护设施缺失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查处结果：限期补足安全经费，缺失防护设备全部停用，投资人处以2-20万罚款。</w:t>
      </w:r>
    </w:p>
    <w:p w14:paraId="6D20061A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如何规避：严格按照造价比例计提安全专项经费，专款专用，全部用于防护设备、劳保用品、隐患整改，留存完整支出票据台账。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红线5：安全管理制度、岗位操作规程流于纸面未落地执行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查处结果：全员重新封闭培训考核，企业罚款5万，现场管理人员扣发季度绩效。</w:t>
      </w:r>
    </w:p>
    <w:p w14:paraId="232284F5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如何规避：结合现场工况编制实操性规章，每周班组学习，定期抽查员工掌握程度，违规行为严格按制度处罚。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红线6：未常态化开展全域安全风险辨识评估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lastRenderedPageBreak/>
        <w:t>查处结果：停工开展全区域风险摸排，形成清单上报监管部门，安全总监书面检讨。</w:t>
      </w:r>
    </w:p>
    <w:p w14:paraId="1FFEC765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如何规避：开工、新工艺、新设备进场均开展全域风险辨识，划分四级风险，动态更新风险清单。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红线7：已辨识重大风险未配套可行管控措施，管控悬空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查处结果：全线停工，专人24小时值守管控点位，企业罚款10-20万元。</w:t>
      </w:r>
    </w:p>
    <w:p w14:paraId="3FA54EF8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如何规避：每条重大风险对应工程、管理、防护三类管控手段，每日巡查管控点位，留存巡查记录。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红线8：隐患排查工作流于形式，无日常、专项常态化排查机制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查处结果：开展全域拉网复查，台账全部重做，安全员罚款1万元。</w:t>
      </w:r>
    </w:p>
    <w:p w14:paraId="3448868E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如何规避：落实班组日查、项目周查、企业月查制度，建立标准化隐患排查台账，深挖深层次隐蔽问题。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红线9：隐患整改未落实五到位要求，逾期拒不闭环销号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lastRenderedPageBreak/>
        <w:t>查处结果：重大隐患区域停工整顿，企业罚款10万+，分管安全领导诫勉谈话。</w:t>
      </w:r>
    </w:p>
    <w:p w14:paraId="6183B9A2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如何规避：所有隐患明确整改责任人、资金、时限、措施、应急预案，整改完成安全人员现场复核，留存前后对比照片方可销号。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红线10：违章指挥、违规作业、违反劳动纪律三违行为放任不管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查处结果：现场停工开展安全警示教育，项目经理、安全员分别罚款8000元。</w:t>
      </w:r>
    </w:p>
    <w:p w14:paraId="0B3FB1AD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如何规避：现场安全员不间断巡查，发现三违立即制止，分层处罚、通报教育，树立全员遵章作业氛围。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红线11：企业负责人、安全员、特种作业人员无证上岗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查处结果：无证人员立刻清离现场，企业罚款10万，相关管理人员罚款1-3万。</w:t>
      </w:r>
    </w:p>
    <w:p w14:paraId="314B83CA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如何规避：建立特种作业人员动态台账，证件到期前组织复审，每日核对上岗人员证书，杜绝无证操作。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lastRenderedPageBreak/>
        <w:t>红线12：三级安全教育、转岗复工培训流于形式，代签到无考核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查处结果：全体员工重新培训考试，培训负责人罚款1万，培训记录全部作废。</w:t>
      </w:r>
    </w:p>
    <w:p w14:paraId="312BE2C7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如何规避：新员工严格落实公司、项目、班组三级教育，培训后理论实操双重考核，影像、签到、试卷完整存档。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红线13：外包、劳务派遣人员未纳入统一安全管理体系（这是近些年重点）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查处结果：外协队伍停工整改，企业罚款10万，分包负责人约谈，纳入分包黑名单。</w:t>
      </w:r>
    </w:p>
    <w:p w14:paraId="4796DD74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如何规避：外包队伍进场核验资质，统一开展安全教育、安全交底，我方安全员全程旁站监督外包施工。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红线14：未如实告知从业人员岗位危险因素、应急处置方法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查处结果：全岗位张贴安全告知卡，组织全员风险交底，企业罚款5万以内。</w:t>
      </w:r>
    </w:p>
    <w:p w14:paraId="2BC57CBB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lastRenderedPageBreak/>
        <w:br/>
        <w:t>如何规避：岗前书面告知岗位风险，班前会每日重申风险点，现场张贴岗位安全告知卡。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红线15：新建改扩建项目未落实安全设施三同时制度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查处结果：项目全面停工，补做安全设计、验收手续，企业高额罚款，暂缓项目验收。</w:t>
      </w:r>
    </w:p>
    <w:p w14:paraId="455713CA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如何规避：新项目同步编制安全设计方案，施工同步建设防护设施，竣工安全验收合格后方可投产。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红线16：安全设备未定期维保检测，使用淘汰落后危险工艺设备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查处结果：涉险设备查封报废，限期更换全新设备，设备管理员罚款1.4万起。</w:t>
      </w:r>
    </w:p>
    <w:p w14:paraId="28AA28F0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如何规避：建立设备维保台账，定期检修检测，老旧淘汰设备统一报废处置，严禁继续投入使用。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红线17：危化工艺企业未配套自动化安全控制系统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lastRenderedPageBreak/>
        <w:t>查处结果：全线停产加装自控设备，危化专项罚款20万起，限期验收合格方可复产。</w:t>
      </w:r>
    </w:p>
    <w:p w14:paraId="76948F8D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如何规避：按照监管要求配套温度、压力、液位自动化联锁装置，定期测试联锁功能有效性。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红线18：特种设备未登记、未按期检验投入使用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查处结果：设备当场查封停用，企业罚款5-15万，设备管理责任人罚款1万元。</w:t>
      </w:r>
    </w:p>
    <w:p w14:paraId="39FFA3D9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如何规避：所有起重、压力容器等设备办理使用登记，到期前完成第三方检测，张贴合格标识。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红线19：作业现场物料乱堆乱放，安全疏散通道长期堵塞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查处结果：现场停工清理通道，划定分区标线，现场主管当场罚款5000元。</w:t>
      </w:r>
    </w:p>
    <w:p w14:paraId="6DFB94AD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如何规避：现场分区划线管理，每日清理通道，严禁任何物料占用疏散、消防通道。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lastRenderedPageBreak/>
        <w:t>红线20：危险化学品采购、储存、使用、废弃处置无闭环台账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查处结果：全部危化品封存，完善出入库台账，企业罚款10万以上。</w:t>
      </w:r>
    </w:p>
    <w:p w14:paraId="64FCF13B" w14:textId="77777777" w:rsidR="00A6158A" w:rsidRDefault="00A6158A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</w:p>
    <w:p w14:paraId="6264C4D2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t>如何规避：建立危化品出入库台账，分区分类隔离存放，废弃危化品委托有资质单位处置。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红线21：重大危险源未建档、无常态化监控与专项预案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查处结果：重大危险源区域停工，24小时专人值守，企业罚款15万，主要负责人扣分。</w:t>
      </w:r>
    </w:p>
    <w:p w14:paraId="0947786B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如何规避：所有重大危险源登记建档，定期第三方评估，现场设置监控、警示标识，配套专属应急处置预案。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红线22：动火、有限空间等特殊作业许可审批形同虚设（事故高发区）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查处结果：停止所有高风险特殊作业，作业票流程全面整改，监护人员追责罚款。</w:t>
      </w:r>
    </w:p>
    <w:p w14:paraId="5AC7610F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如何规避：所有受限空间、动火作业分级开具作业票，作业前风险分析，配齐监护、通风、检测设备。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lastRenderedPageBreak/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红线23：应急预案缺乏实操性，未定期组织实战应急演练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查处结果：15日内组织实战应急演练并复盘，安全管理团队集体书面检讨。</w:t>
      </w:r>
    </w:p>
    <w:p w14:paraId="15FDBBDB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如何规避：编制火灾、坍塌、中毒窒息等专项预案，每季度组织实战演练，演练后梳理短板更新预案。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红线24：应急救援物资、装备配备不足，器材失效未更换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查处结果：停工配齐全套应急物资，过期器材全部销毁更换，安全员罚款1万元。</w:t>
      </w:r>
    </w:p>
    <w:p w14:paraId="0129A23B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如何规避：设立专用应急仓库，每月盘点物资，过期、损坏器材及时更换，定期组织员工实操使用。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红线25：生产安全事故迟报、漏报、谎报、瞒报（极其恶劣的行为）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查处结果：巡查最高等级红线，企业顶格处罚，负责人年收入60%-100%罚款，涉嫌犯罪移送司法。</w:t>
      </w:r>
    </w:p>
    <w:p w14:paraId="68303C30" w14:textId="77777777" w:rsidR="00A6158A" w:rsidRDefault="00A6158A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</w:p>
    <w:p w14:paraId="176ECA21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lastRenderedPageBreak/>
        <w:t>如何规避：建立事故上报流程，无论大小事故1小时内上报监管部门，杜绝隐瞒、篡改事故信息。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红线26：事故发生后未第一时间组织人员抢险，调查期间擅离职守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查处结果：负责人降职撤职，年收入60%-100%罚款，造成伤亡追究刑事责任。</w:t>
      </w:r>
    </w:p>
    <w:p w14:paraId="4A11B9C1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如何规避：完善现场应急救援队伍，事故第一时间启动预案组织抢险，事故调查全员配合不得脱岗。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红线27：事故、险兆事件完成处置后未深挖根源、举一反三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查处结果：全项目停工开展同类隐患自查，企业提交专项整改报告，安全总监通报批评。</w:t>
      </w:r>
    </w:p>
    <w:p w14:paraId="182529BB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如何规避：每起事故、未遂事件组织专题分析会，制定预防措施，全项目对照自查同类风险。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红线28：高空、基坑等危大工程专项方案未论证、未验收即施工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lastRenderedPageBreak/>
        <w:t>查处结果：危大工程全面停工，补齐论证、四方验收手续，项目负责人记处分。</w:t>
      </w:r>
    </w:p>
    <w:p w14:paraId="5F40BD23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如何规避：超规模危大工程提前组织专家论证，施工前分级交底，完工多方验收合格再进入下道工序。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红线29：起重机械限位、防坠等安全保护装置私自拆除、短接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查处结果：起重设备立即停用检修，设备管理员罚款1.5万，全项目起重设备全面排查。</w:t>
      </w:r>
    </w:p>
    <w:p w14:paraId="14B1F9A0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如何规避：每日班前检查安全限位装置，严禁任何人拆除、屏蔽防护部件，损坏立即停机维修。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b/>
          <w:bCs/>
          <w:spacing w:val="5"/>
          <w:sz w:val="25"/>
          <w:szCs w:val="25"/>
          <w:shd w:val="clear" w:color="auto" w:fill="FFFFFF"/>
        </w:rPr>
        <w:t>红线30：外包分包单位无资质承接工程，存在违法层层转包行为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查处结果：无资质队伍当场清退，项目停工整顿，扣除全部安全保证金，3年内禁止合作。</w:t>
      </w:r>
    </w:p>
    <w:p w14:paraId="688BF87D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如何规避：分包进场严格核验营业执照、安全生产许可证，严禁层层转包、肢解发包。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lastRenderedPageBreak/>
        <w:t>这三十条追责红线，是2026年中央安全巡查核心评判标准，没有一条是小题大做。</w:t>
      </w: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很多企业总觉得巡查只是走流程，抱着临时整改、应付检查的心态，殊不知只要踩中其中任意一条，停工、罚款、追责都会接踵而至。</w:t>
      </w:r>
    </w:p>
    <w:p w14:paraId="3BD52F80" w14:textId="77777777" w:rsidR="00A6158A" w:rsidRDefault="00000000">
      <w:pPr>
        <w:pStyle w:val="a3"/>
        <w:widowControl/>
        <w:shd w:val="clear" w:color="auto" w:fill="FFFFFF"/>
        <w:spacing w:beforeAutospacing="0" w:afterAutospacing="0"/>
        <w:jc w:val="both"/>
        <w:rPr>
          <w:rFonts w:ascii="Microsoft YaHei UI" w:eastAsia="Microsoft YaHei UI" w:hAnsi="Microsoft YaHei UI" w:cs="Microsoft YaHei UI" w:hint="eastAsia"/>
          <w:spacing w:val="5"/>
          <w:sz w:val="25"/>
          <w:szCs w:val="25"/>
        </w:rPr>
      </w:pPr>
      <w:r>
        <w:rPr>
          <w:rFonts w:ascii="Microsoft YaHei UI" w:eastAsia="Microsoft YaHei UI" w:hAnsi="Microsoft YaHei UI" w:cs="Microsoft YaHei UI" w:hint="eastAsia"/>
          <w:spacing w:val="5"/>
          <w:sz w:val="25"/>
          <w:szCs w:val="25"/>
          <w:shd w:val="clear" w:color="auto" w:fill="FFFFFF"/>
        </w:rPr>
        <w:br/>
        <w:t>安全管理从来不是做给检查组看的纸面工作，把每一条红线对应的管控要求落到日常，守住管理底线，才能从根源避开追责风险，杜绝安全事故。</w:t>
      </w:r>
    </w:p>
    <w:p w14:paraId="55BE88A0" w14:textId="77777777" w:rsidR="00A6158A" w:rsidRDefault="00A6158A"/>
    <w:sectPr w:rsidR="00A61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58A"/>
    <w:rsid w:val="00237AB2"/>
    <w:rsid w:val="00A6158A"/>
    <w:rsid w:val="00C24C41"/>
    <w:rsid w:val="0BD9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95DEA6"/>
  <w15:docId w15:val="{20AFFA8C-B454-4F58-9BA2-0FB70D2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克动 庄</cp:lastModifiedBy>
  <cp:revision>3</cp:revision>
  <dcterms:created xsi:type="dcterms:W3CDTF">2026-07-28T02:51:00Z</dcterms:created>
  <dcterms:modified xsi:type="dcterms:W3CDTF">2026-08-04T09:23:00Z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eyJoZGlkIjoiMTQ2ZTdhMmZiM2ZjYWE5ZDYzNzJhNzA4MGQzZDk0MDQiLCJ1c2VySWQiOiIyNTkzNDc3MTkifQ==</vt:lpwstr>
  </property>
  <property fmtid="{D5CDD505-2E9C-101B-9397-08002B2CF9AE}" pid="4" name="ICV">
    <vt:lpwstr>B44DBF0F5C234205B666C60E4D043816_12</vt:lpwstr>
  </property>
</Properties>
</file>