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0B0F0"/>
  <w:body>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bookmarkStart w:id="47" w:name="_GoBack"/>
      <w:bookmarkEnd w:id="47"/>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r>
        <w:rPr>
          <w:color w:val="262626" w:themeColor="text1" w:themeTint="D9"/>
          <w:sz w:val="24"/>
          <w14:textFill>
            <w14:solidFill>
              <w14:schemeClr w14:val="tx1">
                <w14:lumMod w14:val="85000"/>
                <w14:lumOff w14:val="15000"/>
              </w14:schemeClr>
            </w14:solidFill>
          </w14:textFill>
        </w:rPr>
        <mc:AlternateContent>
          <mc:Choice Requires="wps">
            <w:drawing>
              <wp:anchor distT="0" distB="0" distL="114300" distR="114300" simplePos="0" relativeHeight="251666432" behindDoc="0" locked="0" layoutInCell="1" allowOverlap="1">
                <wp:simplePos x="0" y="0"/>
                <wp:positionH relativeFrom="column">
                  <wp:posOffset>2214880</wp:posOffset>
                </wp:positionH>
                <wp:positionV relativeFrom="paragraph">
                  <wp:posOffset>389255</wp:posOffset>
                </wp:positionV>
                <wp:extent cx="914400" cy="6620510"/>
                <wp:effectExtent l="0" t="0" r="0" b="0"/>
                <wp:wrapNone/>
                <wp:docPr id="26" name="文本框 26"/>
                <wp:cNvGraphicFramePr/>
                <a:graphic xmlns:a="http://schemas.openxmlformats.org/drawingml/2006/main">
                  <a:graphicData uri="http://schemas.microsoft.com/office/word/2010/wordprocessingShape">
                    <wps:wsp>
                      <wps:cNvSpPr txBox="1"/>
                      <wps:spPr>
                        <a:xfrm>
                          <a:off x="1678305" y="1683385"/>
                          <a:ext cx="914400" cy="662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jc w:val="distribute"/>
                              <w:rPr>
                                <w:b/>
                                <w:bCs/>
                                <w:sz w:val="72"/>
                                <w:szCs w:val="72"/>
                              </w:rPr>
                            </w:pPr>
                            <w:r>
                              <w:rPr>
                                <w:rFonts w:hint="eastAsia"/>
                                <w:b/>
                                <w:bCs/>
                                <w:sz w:val="72"/>
                                <w:szCs w:val="72"/>
                              </w:rPr>
                              <w:t>有限空间作业管理档案汇编</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30.65pt;height:521.3pt;width:72pt;z-index:251666432;mso-width-relative:page;mso-height-relative:page;" filled="f" stroked="f" coordsize="21600,21600" o:gfxdata="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TycW2QAAAAsBAAAPAAAAAAAA&#10;AAEAIAAAACIAAABkcnMvZG93bnJldi54bWxQSwECFAAUAAAACACHTuJAwUj/fEoCAAB2BAAADgAA&#10;AAAAAAABACAAAAAoAQAAZHJzL2Uyb0RvYy54bWxQSwUGAAAAAAYABgBZAQAA5AUAAAAA&#10;">
                <v:fill on="f" focussize="0,0"/>
                <v:stroke on="f" weight="0.5pt"/>
                <v:imagedata o:title=""/>
                <o:lock v:ext="edit" aspectratio="f"/>
                <v:textbox style="layout-flow:vertical-ideographic;">
                  <w:txbxContent>
                    <w:p>
                      <w:pPr>
                        <w:spacing w:line="480" w:lineRule="auto"/>
                        <w:jc w:val="distribute"/>
                        <w:rPr>
                          <w:b/>
                          <w:bCs/>
                          <w:sz w:val="72"/>
                          <w:szCs w:val="72"/>
                        </w:rPr>
                      </w:pPr>
                      <w:r>
                        <w:rPr>
                          <w:rFonts w:hint="eastAsia"/>
                          <w:b/>
                          <w:bCs/>
                          <w:sz w:val="72"/>
                          <w:szCs w:val="72"/>
                        </w:rPr>
                        <w:t>有限空间作业管理档案汇编</w:t>
                      </w:r>
                    </w:p>
                  </w:txbxContent>
                </v:textbox>
              </v:shape>
            </w:pict>
          </mc:Fallback>
        </mc:AlternateConten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sdt>
      <w:sdtPr>
        <w:rPr>
          <w:rFonts w:ascii="宋体" w:hAnsi="宋体" w:eastAsia="宋体"/>
          <w:b/>
          <w:bCs/>
          <w:color w:val="262626" w:themeColor="text1" w:themeTint="D9"/>
          <w:kern w:val="0"/>
          <w:sz w:val="32"/>
          <w:szCs w:val="32"/>
          <w14:textFill>
            <w14:solidFill>
              <w14:schemeClr w14:val="tx1">
                <w14:lumMod w14:val="85000"/>
                <w14:lumOff w14:val="15000"/>
              </w14:schemeClr>
            </w14:solidFill>
          </w14:textFill>
        </w:rPr>
        <w:id w:val="1459533670"/>
        <w15:color w:val="DBDBDB"/>
        <w:docPartObj>
          <w:docPartGallery w:val="Table of Contents"/>
          <w:docPartUnique/>
        </w:docPartObj>
      </w:sdtPr>
      <w:sdtEndPr>
        <w:rPr>
          <w:rFonts w:ascii="宋体" w:hAnsi="宋体" w:eastAsia="宋体"/>
          <w:b/>
          <w:bCs/>
          <w:color w:val="262626" w:themeColor="text1" w:themeTint="D9"/>
          <w:kern w:val="0"/>
          <w:sz w:val="24"/>
          <w:szCs w:val="24"/>
          <w14:textFill>
            <w14:solidFill>
              <w14:schemeClr w14:val="tx1">
                <w14:lumMod w14:val="85000"/>
                <w14:lumOff w14:val="15000"/>
              </w14:schemeClr>
            </w14:solidFill>
          </w14:textFill>
        </w:rPr>
      </w:sdtEndPr>
      <w:sdtContent>
        <w:p>
          <w:pPr>
            <w:jc w:val="center"/>
            <w:rPr>
              <w:rFonts w:ascii="宋体" w:hAnsi="宋体" w:eastAsia="宋体"/>
              <w:b/>
              <w:bCs/>
              <w:color w:val="262626" w:themeColor="text1" w:themeTint="D9"/>
              <w:sz w:val="32"/>
              <w:szCs w:val="32"/>
              <w14:textFill>
                <w14:solidFill>
                  <w14:schemeClr w14:val="tx1">
                    <w14:lumMod w14:val="85000"/>
                    <w14:lumOff w14:val="15000"/>
                  </w14:schemeClr>
                </w14:solidFill>
              </w14:textFill>
            </w:rPr>
          </w:pPr>
          <w:bookmarkStart w:id="0" w:name="_Toc16708_WPSOffice_Type1"/>
          <w:r>
            <w:rPr>
              <w:rFonts w:ascii="宋体" w:hAnsi="宋体" w:eastAsia="宋体"/>
              <w:b/>
              <w:bCs/>
              <w:color w:val="262626" w:themeColor="text1" w:themeTint="D9"/>
              <w:sz w:val="32"/>
              <w:szCs w:val="32"/>
              <w14:textFill>
                <w14:solidFill>
                  <w14:schemeClr w14:val="tx1">
                    <w14:lumMod w14:val="85000"/>
                    <w14:lumOff w14:val="15000"/>
                  </w14:schemeClr>
                </w14:solidFill>
              </w14:textFill>
            </w:rPr>
            <w:t>目录</w:t>
          </w:r>
        </w:p>
        <w:p>
          <w:pPr>
            <w:jc w:val="center"/>
            <w:rPr>
              <w:rFonts w:ascii="宋体" w:hAnsi="宋体" w:eastAsia="宋体"/>
              <w:color w:val="262626" w:themeColor="text1" w:themeTint="D9"/>
              <w14:textFill>
                <w14:solidFill>
                  <w14:schemeClr w14:val="tx1">
                    <w14:lumMod w14:val="85000"/>
                    <w14:lumOff w14:val="15000"/>
                  </w14:schemeClr>
                </w14:solidFill>
              </w14:textFill>
            </w:rPr>
          </w:pPr>
        </w:p>
        <w:p>
          <w:pPr>
            <w:pStyle w:val="56"/>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fldChar w:fldCharType="begin"/>
          </w:r>
          <w:r>
            <w:instrText xml:space="preserve"> HYPERLINK \l "_Toc20605_WPSOffice_Level1" </w:instrText>
          </w:r>
          <w:r>
            <w:fldChar w:fldCharType="separate"/>
          </w:r>
          <w:sdt>
            <w:sdtPr>
              <w:rPr>
                <w:color w:val="262626" w:themeColor="text1" w:themeTint="D9"/>
                <w:kern w:val="2"/>
                <w:sz w:val="24"/>
                <w:szCs w:val="24"/>
                <w14:textFill>
                  <w14:solidFill>
                    <w14:schemeClr w14:val="tx1">
                      <w14:lumMod w14:val="85000"/>
                      <w14:lumOff w14:val="15000"/>
                    </w14:schemeClr>
                  </w14:solidFill>
                </w14:textFill>
              </w:rPr>
              <w:id w:val="147475401"/>
              <w:placeholder>
                <w:docPart w:val="{ebb8351d-3db0-45cf-88f7-c5d292b6fc17}"/>
              </w:placeholder>
              <w15:color w:val="509DF3"/>
            </w:sdtPr>
            <w:sdtEndPr>
              <w:rPr>
                <w:color w:val="262626" w:themeColor="text1" w:themeTint="D9"/>
                <w:kern w:val="2"/>
                <w:sz w:val="24"/>
                <w:szCs w:val="24"/>
                <w14:textFill>
                  <w14:solidFill>
                    <w14:schemeClr w14:val="tx1">
                      <w14:lumMod w14:val="85000"/>
                      <w14:lumOff w14:val="15000"/>
                    </w14:schemeClr>
                  </w14:solidFill>
                </w14:textFill>
              </w:rPr>
            </w:sdtEndPr>
            <w:sdtContent>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1、有限空间情况简介</w:t>
              </w:r>
            </w:sdtContent>
          </w:sdt>
          <w:r>
            <w:rPr>
              <w:color w:val="262626" w:themeColor="text1" w:themeTint="D9"/>
              <w:sz w:val="24"/>
              <w:szCs w:val="24"/>
              <w14:textFill>
                <w14:solidFill>
                  <w14:schemeClr w14:val="tx1">
                    <w14:lumMod w14:val="85000"/>
                    <w14:lumOff w14:val="15000"/>
                  </w14:schemeClr>
                </w14:solidFill>
              </w14:textFill>
            </w:rPr>
            <w:tab/>
          </w:r>
          <w:bookmarkStart w:id="1" w:name="_Toc20605_WPSOffice_Level1Page"/>
          <w:r>
            <w:rPr>
              <w:color w:val="262626" w:themeColor="text1" w:themeTint="D9"/>
              <w:sz w:val="24"/>
              <w:szCs w:val="24"/>
              <w14:textFill>
                <w14:solidFill>
                  <w14:schemeClr w14:val="tx1">
                    <w14:lumMod w14:val="85000"/>
                    <w14:lumOff w14:val="15000"/>
                  </w14:schemeClr>
                </w14:solidFill>
              </w14:textFill>
            </w:rPr>
            <w:t>2</w:t>
          </w:r>
          <w:bookmarkEnd w:id="1"/>
          <w:r>
            <w:rPr>
              <w:color w:val="262626" w:themeColor="text1" w:themeTint="D9"/>
              <w:sz w:val="24"/>
              <w:szCs w:val="24"/>
              <w14:textFill>
                <w14:solidFill>
                  <w14:schemeClr w14:val="tx1">
                    <w14:lumMod w14:val="85000"/>
                    <w14:lumOff w14:val="15000"/>
                  </w14:schemeClr>
                </w14:solidFill>
              </w14:textFill>
            </w:rPr>
            <w:fldChar w:fldCharType="end"/>
          </w:r>
        </w:p>
        <w:p>
          <w:pPr>
            <w:pStyle w:val="56"/>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fldChar w:fldCharType="begin"/>
          </w:r>
          <w:r>
            <w:instrText xml:space="preserve"> HYPERLINK \l "_Toc16708_WPSOffice_Level1" </w:instrText>
          </w:r>
          <w:r>
            <w:fldChar w:fldCharType="separate"/>
          </w:r>
          <w:sdt>
            <w:sdtPr>
              <w:rPr>
                <w:color w:val="262626" w:themeColor="text1" w:themeTint="D9"/>
                <w:kern w:val="2"/>
                <w:sz w:val="24"/>
                <w:szCs w:val="24"/>
                <w14:textFill>
                  <w14:solidFill>
                    <w14:schemeClr w14:val="tx1">
                      <w14:lumMod w14:val="85000"/>
                      <w14:lumOff w14:val="15000"/>
                    </w14:schemeClr>
                  </w14:solidFill>
                </w14:textFill>
              </w:rPr>
              <w:id w:val="726264849"/>
              <w:placeholder>
                <w:docPart w:val="{2a253a6b-f97d-4904-aa41-90fff3696769}"/>
              </w:placeholder>
              <w15:color w:val="509DF3"/>
            </w:sdtPr>
            <w:sdtEndPr>
              <w:rPr>
                <w:color w:val="262626" w:themeColor="text1" w:themeTint="D9"/>
                <w:kern w:val="2"/>
                <w:sz w:val="24"/>
                <w:szCs w:val="24"/>
                <w14:textFill>
                  <w14:solidFill>
                    <w14:schemeClr w14:val="tx1">
                      <w14:lumMod w14:val="85000"/>
                      <w14:lumOff w14:val="15000"/>
                    </w14:schemeClr>
                  </w14:solidFill>
                </w14:textFill>
              </w:rPr>
            </w:sdtEndPr>
            <w:sdtContent>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2、本单位有限空间台账</w:t>
              </w:r>
            </w:sdtContent>
          </w:sdt>
          <w:r>
            <w:rPr>
              <w:color w:val="262626" w:themeColor="text1" w:themeTint="D9"/>
              <w:sz w:val="24"/>
              <w:szCs w:val="24"/>
              <w14:textFill>
                <w14:solidFill>
                  <w14:schemeClr w14:val="tx1">
                    <w14:lumMod w14:val="85000"/>
                    <w14:lumOff w14:val="15000"/>
                  </w14:schemeClr>
                </w14:solidFill>
              </w14:textFill>
            </w:rPr>
            <w:tab/>
          </w:r>
          <w:bookmarkStart w:id="2" w:name="_Toc16708_WPSOffice_Level1Page"/>
          <w:r>
            <w:rPr>
              <w:color w:val="262626" w:themeColor="text1" w:themeTint="D9"/>
              <w:sz w:val="24"/>
              <w:szCs w:val="24"/>
              <w14:textFill>
                <w14:solidFill>
                  <w14:schemeClr w14:val="tx1">
                    <w14:lumMod w14:val="85000"/>
                    <w14:lumOff w14:val="15000"/>
                  </w14:schemeClr>
                </w14:solidFill>
              </w14:textFill>
            </w:rPr>
            <w:t>3</w:t>
          </w:r>
          <w:bookmarkEnd w:id="2"/>
          <w:r>
            <w:rPr>
              <w:color w:val="262626" w:themeColor="text1" w:themeTint="D9"/>
              <w:sz w:val="24"/>
              <w:szCs w:val="24"/>
              <w14:textFill>
                <w14:solidFill>
                  <w14:schemeClr w14:val="tx1">
                    <w14:lumMod w14:val="85000"/>
                    <w14:lumOff w14:val="15000"/>
                  </w14:schemeClr>
                </w14:solidFill>
              </w14:textFill>
            </w:rPr>
            <w:fldChar w:fldCharType="end"/>
          </w:r>
        </w:p>
        <w:p>
          <w:pPr>
            <w:pStyle w:val="56"/>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fldChar w:fldCharType="begin"/>
          </w:r>
          <w:r>
            <w:instrText xml:space="preserve"> HYPERLINK \l "_Toc16758_WPSOffice_Level1" </w:instrText>
          </w:r>
          <w:r>
            <w:fldChar w:fldCharType="separate"/>
          </w:r>
          <w:sdt>
            <w:sdtPr>
              <w:rPr>
                <w:color w:val="262626" w:themeColor="text1" w:themeTint="D9"/>
                <w:kern w:val="2"/>
                <w:sz w:val="24"/>
                <w:szCs w:val="24"/>
                <w14:textFill>
                  <w14:solidFill>
                    <w14:schemeClr w14:val="tx1">
                      <w14:lumMod w14:val="85000"/>
                      <w14:lumOff w14:val="15000"/>
                    </w14:schemeClr>
                  </w14:solidFill>
                </w14:textFill>
              </w:rPr>
              <w:id w:val="-1552377137"/>
              <w:placeholder>
                <w:docPart w:val="{d14bea42-4101-412a-b549-f276a9b7853c}"/>
              </w:placeholder>
              <w15:color w:val="509DF3"/>
            </w:sdtPr>
            <w:sdtEndPr>
              <w:rPr>
                <w:color w:val="262626" w:themeColor="text1" w:themeTint="D9"/>
                <w:kern w:val="2"/>
                <w:sz w:val="24"/>
                <w:szCs w:val="24"/>
                <w14:textFill>
                  <w14:solidFill>
                    <w14:schemeClr w14:val="tx1">
                      <w14:lumMod w14:val="85000"/>
                      <w14:lumOff w14:val="15000"/>
                    </w14:schemeClr>
                  </w14:solidFill>
                </w14:textFill>
              </w:rPr>
            </w:sdtEndPr>
            <w:sdtContent>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3、安全管理制度和操作规程</w:t>
              </w:r>
            </w:sdtContent>
          </w:sdt>
          <w:r>
            <w:rPr>
              <w:color w:val="262626" w:themeColor="text1" w:themeTint="D9"/>
              <w:sz w:val="24"/>
              <w:szCs w:val="24"/>
              <w14:textFill>
                <w14:solidFill>
                  <w14:schemeClr w14:val="tx1">
                    <w14:lumMod w14:val="85000"/>
                    <w14:lumOff w14:val="15000"/>
                  </w14:schemeClr>
                </w14:solidFill>
              </w14:textFill>
            </w:rPr>
            <w:tab/>
          </w:r>
          <w:bookmarkStart w:id="3" w:name="_Toc16758_WPSOffice_Level1Page"/>
          <w:r>
            <w:rPr>
              <w:color w:val="262626" w:themeColor="text1" w:themeTint="D9"/>
              <w:sz w:val="24"/>
              <w:szCs w:val="24"/>
              <w14:textFill>
                <w14:solidFill>
                  <w14:schemeClr w14:val="tx1">
                    <w14:lumMod w14:val="85000"/>
                    <w14:lumOff w14:val="15000"/>
                  </w14:schemeClr>
                </w14:solidFill>
              </w14:textFill>
            </w:rPr>
            <w:t>4</w:t>
          </w:r>
          <w:bookmarkEnd w:id="3"/>
          <w:r>
            <w:rPr>
              <w:color w:val="262626" w:themeColor="text1" w:themeTint="D9"/>
              <w:sz w:val="24"/>
              <w:szCs w:val="24"/>
              <w14:textFill>
                <w14:solidFill>
                  <w14:schemeClr w14:val="tx1">
                    <w14:lumMod w14:val="85000"/>
                    <w14:lumOff w14:val="15000"/>
                  </w14:schemeClr>
                </w14:solidFill>
              </w14:textFill>
            </w:rPr>
            <w:fldChar w:fldCharType="end"/>
          </w:r>
        </w:p>
        <w:p>
          <w:pPr>
            <w:pStyle w:val="56"/>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fldChar w:fldCharType="begin"/>
          </w:r>
          <w:r>
            <w:instrText xml:space="preserve"> HYPERLINK \l "_Toc4413_WPSOffice_Level1" </w:instrText>
          </w:r>
          <w:r>
            <w:fldChar w:fldCharType="separate"/>
          </w:r>
          <w:sdt>
            <w:sdtPr>
              <w:rPr>
                <w:color w:val="262626" w:themeColor="text1" w:themeTint="D9"/>
                <w:kern w:val="2"/>
                <w:sz w:val="24"/>
                <w:szCs w:val="24"/>
                <w14:textFill>
                  <w14:solidFill>
                    <w14:schemeClr w14:val="tx1">
                      <w14:lumMod w14:val="85000"/>
                      <w14:lumOff w14:val="15000"/>
                    </w14:schemeClr>
                  </w14:solidFill>
                </w14:textFill>
              </w:rPr>
              <w:id w:val="1416977487"/>
              <w:placeholder>
                <w:docPart w:val="{6cf557dc-cfb0-4e6f-965e-ba001587ed5c}"/>
              </w:placeholder>
              <w15:color w:val="509DF3"/>
            </w:sdtPr>
            <w:sdtEndPr>
              <w:rPr>
                <w:color w:val="262626" w:themeColor="text1" w:themeTint="D9"/>
                <w:kern w:val="2"/>
                <w:sz w:val="24"/>
                <w:szCs w:val="24"/>
                <w14:textFill>
                  <w14:solidFill>
                    <w14:schemeClr w14:val="tx1">
                      <w14:lumMod w14:val="85000"/>
                      <w14:lumOff w14:val="15000"/>
                    </w14:schemeClr>
                  </w14:solidFill>
                </w14:textFill>
              </w:rPr>
            </w:sdtEndPr>
            <w:sdtContent>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4、有限空间事故应急预案</w:t>
              </w:r>
            </w:sdtContent>
          </w:sdt>
          <w:r>
            <w:rPr>
              <w:color w:val="262626" w:themeColor="text1" w:themeTint="D9"/>
              <w:sz w:val="24"/>
              <w:szCs w:val="24"/>
              <w14:textFill>
                <w14:solidFill>
                  <w14:schemeClr w14:val="tx1">
                    <w14:lumMod w14:val="85000"/>
                    <w14:lumOff w14:val="15000"/>
                  </w14:schemeClr>
                </w14:solidFill>
              </w14:textFill>
            </w:rPr>
            <w:tab/>
          </w:r>
          <w:bookmarkStart w:id="4" w:name="_Toc4413_WPSOffice_Level1Page"/>
          <w:r>
            <w:rPr>
              <w:color w:val="262626" w:themeColor="text1" w:themeTint="D9"/>
              <w:sz w:val="24"/>
              <w:szCs w:val="24"/>
              <w14:textFill>
                <w14:solidFill>
                  <w14:schemeClr w14:val="tx1">
                    <w14:lumMod w14:val="85000"/>
                    <w14:lumOff w14:val="15000"/>
                  </w14:schemeClr>
                </w14:solidFill>
              </w14:textFill>
            </w:rPr>
            <w:t>4</w:t>
          </w:r>
          <w:bookmarkEnd w:id="4"/>
          <w:r>
            <w:rPr>
              <w:color w:val="262626" w:themeColor="text1" w:themeTint="D9"/>
              <w:sz w:val="24"/>
              <w:szCs w:val="24"/>
              <w14:textFill>
                <w14:solidFill>
                  <w14:schemeClr w14:val="tx1">
                    <w14:lumMod w14:val="85000"/>
                    <w14:lumOff w14:val="15000"/>
                  </w14:schemeClr>
                </w14:solidFill>
              </w14:textFill>
            </w:rPr>
            <w:fldChar w:fldCharType="end"/>
          </w:r>
        </w:p>
        <w:p>
          <w:pPr>
            <w:pStyle w:val="56"/>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fldChar w:fldCharType="begin"/>
          </w:r>
          <w:r>
            <w:instrText xml:space="preserve"> HYPERLINK \l "_Toc386_WPSOffice_Level1" </w:instrText>
          </w:r>
          <w:r>
            <w:fldChar w:fldCharType="separate"/>
          </w:r>
          <w:sdt>
            <w:sdtPr>
              <w:rPr>
                <w:color w:val="262626" w:themeColor="text1" w:themeTint="D9"/>
                <w:kern w:val="2"/>
                <w:sz w:val="24"/>
                <w:szCs w:val="24"/>
                <w14:textFill>
                  <w14:solidFill>
                    <w14:schemeClr w14:val="tx1">
                      <w14:lumMod w14:val="85000"/>
                      <w14:lumOff w14:val="15000"/>
                    </w14:schemeClr>
                  </w14:solidFill>
                </w14:textFill>
              </w:rPr>
              <w:id w:val="-1661917197"/>
              <w:placeholder>
                <w:docPart w:val="{df5aba1f-a076-4cf1-8e3e-83abf68ed3d8}"/>
              </w:placeholder>
              <w15:color w:val="509DF3"/>
            </w:sdtPr>
            <w:sdtEndPr>
              <w:rPr>
                <w:color w:val="262626" w:themeColor="text1" w:themeTint="D9"/>
                <w:kern w:val="2"/>
                <w:sz w:val="24"/>
                <w:szCs w:val="24"/>
                <w14:textFill>
                  <w14:solidFill>
                    <w14:schemeClr w14:val="tx1">
                      <w14:lumMod w14:val="85000"/>
                      <w14:lumOff w14:val="15000"/>
                    </w14:schemeClr>
                  </w14:solidFill>
                </w14:textFill>
              </w:rPr>
            </w:sdtEndPr>
            <w:sdtContent>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5、有限空间安全警示标志一览表</w:t>
              </w:r>
            </w:sdtContent>
          </w:sdt>
          <w:r>
            <w:rPr>
              <w:color w:val="262626" w:themeColor="text1" w:themeTint="D9"/>
              <w:sz w:val="24"/>
              <w:szCs w:val="24"/>
              <w14:textFill>
                <w14:solidFill>
                  <w14:schemeClr w14:val="tx1">
                    <w14:lumMod w14:val="85000"/>
                    <w14:lumOff w14:val="15000"/>
                  </w14:schemeClr>
                </w14:solidFill>
              </w14:textFill>
            </w:rPr>
            <w:tab/>
          </w:r>
          <w:bookmarkStart w:id="5" w:name="_Toc386_WPSOffice_Level1Page"/>
          <w:r>
            <w:rPr>
              <w:color w:val="262626" w:themeColor="text1" w:themeTint="D9"/>
              <w:sz w:val="24"/>
              <w:szCs w:val="24"/>
              <w14:textFill>
                <w14:solidFill>
                  <w14:schemeClr w14:val="tx1">
                    <w14:lumMod w14:val="85000"/>
                    <w14:lumOff w14:val="15000"/>
                  </w14:schemeClr>
                </w14:solidFill>
              </w14:textFill>
            </w:rPr>
            <w:t>12</w:t>
          </w:r>
          <w:bookmarkEnd w:id="5"/>
          <w:r>
            <w:rPr>
              <w:color w:val="262626" w:themeColor="text1" w:themeTint="D9"/>
              <w:sz w:val="24"/>
              <w:szCs w:val="24"/>
              <w14:textFill>
                <w14:solidFill>
                  <w14:schemeClr w14:val="tx1">
                    <w14:lumMod w14:val="85000"/>
                    <w14:lumOff w14:val="15000"/>
                  </w14:schemeClr>
                </w14:solidFill>
              </w14:textFill>
            </w:rPr>
            <w:fldChar w:fldCharType="end"/>
          </w:r>
        </w:p>
        <w:p>
          <w:pPr>
            <w:pStyle w:val="56"/>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fldChar w:fldCharType="begin"/>
          </w:r>
          <w:r>
            <w:instrText xml:space="preserve"> HYPERLINK \l "_Toc24531_WPSOffice_Level1" </w:instrText>
          </w:r>
          <w:r>
            <w:fldChar w:fldCharType="separate"/>
          </w:r>
          <w:sdt>
            <w:sdtPr>
              <w:rPr>
                <w:color w:val="262626" w:themeColor="text1" w:themeTint="D9"/>
                <w:kern w:val="2"/>
                <w:sz w:val="24"/>
                <w:szCs w:val="24"/>
                <w14:textFill>
                  <w14:solidFill>
                    <w14:schemeClr w14:val="tx1">
                      <w14:lumMod w14:val="85000"/>
                      <w14:lumOff w14:val="15000"/>
                    </w14:schemeClr>
                  </w14:solidFill>
                </w14:textFill>
              </w:rPr>
              <w:id w:val="-719359279"/>
              <w:placeholder>
                <w:docPart w:val="{6bf04348-40f3-4e62-880e-36c4294b4eba}"/>
              </w:placeholder>
              <w15:color w:val="509DF3"/>
            </w:sdtPr>
            <w:sdtEndPr>
              <w:rPr>
                <w:color w:val="262626" w:themeColor="text1" w:themeTint="D9"/>
                <w:kern w:val="2"/>
                <w:sz w:val="24"/>
                <w:szCs w:val="24"/>
                <w14:textFill>
                  <w14:solidFill>
                    <w14:schemeClr w14:val="tx1">
                      <w14:lumMod w14:val="85000"/>
                      <w14:lumOff w14:val="15000"/>
                    </w14:schemeClr>
                  </w14:solidFill>
                </w14:textFill>
              </w:rPr>
            </w:sdtEndPr>
            <w:sdtContent>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6、有限空间应急救援演练记录</w:t>
              </w:r>
            </w:sdtContent>
          </w:sdt>
          <w:r>
            <w:rPr>
              <w:color w:val="262626" w:themeColor="text1" w:themeTint="D9"/>
              <w:sz w:val="24"/>
              <w:szCs w:val="24"/>
              <w14:textFill>
                <w14:solidFill>
                  <w14:schemeClr w14:val="tx1">
                    <w14:lumMod w14:val="85000"/>
                    <w14:lumOff w14:val="15000"/>
                  </w14:schemeClr>
                </w14:solidFill>
              </w14:textFill>
            </w:rPr>
            <w:tab/>
          </w:r>
          <w:bookmarkStart w:id="6" w:name="_Toc24531_WPSOffice_Level1Page"/>
          <w:r>
            <w:rPr>
              <w:color w:val="262626" w:themeColor="text1" w:themeTint="D9"/>
              <w:sz w:val="24"/>
              <w:szCs w:val="24"/>
              <w14:textFill>
                <w14:solidFill>
                  <w14:schemeClr w14:val="tx1">
                    <w14:lumMod w14:val="85000"/>
                    <w14:lumOff w14:val="15000"/>
                  </w14:schemeClr>
                </w14:solidFill>
              </w14:textFill>
            </w:rPr>
            <w:t>23</w:t>
          </w:r>
          <w:bookmarkEnd w:id="6"/>
          <w:r>
            <w:rPr>
              <w:color w:val="262626" w:themeColor="text1" w:themeTint="D9"/>
              <w:sz w:val="24"/>
              <w:szCs w:val="24"/>
              <w14:textFill>
                <w14:solidFill>
                  <w14:schemeClr w14:val="tx1">
                    <w14:lumMod w14:val="85000"/>
                    <w14:lumOff w14:val="15000"/>
                  </w14:schemeClr>
                </w14:solidFill>
              </w14:textFill>
            </w:rPr>
            <w:fldChar w:fldCharType="end"/>
          </w:r>
        </w:p>
        <w:p>
          <w:pPr>
            <w:pStyle w:val="56"/>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fldChar w:fldCharType="begin"/>
          </w:r>
          <w:r>
            <w:instrText xml:space="preserve"> HYPERLINK \l "_Toc3504_WPSOffice_Level1" </w:instrText>
          </w:r>
          <w:r>
            <w:fldChar w:fldCharType="separate"/>
          </w:r>
          <w:sdt>
            <w:sdtPr>
              <w:rPr>
                <w:color w:val="262626" w:themeColor="text1" w:themeTint="D9"/>
                <w:kern w:val="2"/>
                <w:sz w:val="24"/>
                <w:szCs w:val="24"/>
                <w14:textFill>
                  <w14:solidFill>
                    <w14:schemeClr w14:val="tx1">
                      <w14:lumMod w14:val="85000"/>
                      <w14:lumOff w14:val="15000"/>
                    </w14:schemeClr>
                  </w14:solidFill>
                </w14:textFill>
              </w:rPr>
              <w:id w:val="662359479"/>
              <w:placeholder>
                <w:docPart w:val="{8e1fc512-fd2d-462c-a943-162e1e5350f3}"/>
              </w:placeholder>
              <w15:color w:val="509DF3"/>
            </w:sdtPr>
            <w:sdtEndPr>
              <w:rPr>
                <w:color w:val="262626" w:themeColor="text1" w:themeTint="D9"/>
                <w:kern w:val="2"/>
                <w:sz w:val="24"/>
                <w:szCs w:val="24"/>
                <w14:textFill>
                  <w14:solidFill>
                    <w14:schemeClr w14:val="tx1">
                      <w14:lumMod w14:val="85000"/>
                      <w14:lumOff w14:val="15000"/>
                    </w14:schemeClr>
                  </w14:solidFill>
                </w14:textFill>
              </w:rPr>
            </w:sdtEndPr>
            <w:sdtContent>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7、有限空间日常检查要求</w:t>
              </w:r>
            </w:sdtContent>
          </w:sdt>
          <w:r>
            <w:rPr>
              <w:color w:val="262626" w:themeColor="text1" w:themeTint="D9"/>
              <w:sz w:val="24"/>
              <w:szCs w:val="24"/>
              <w14:textFill>
                <w14:solidFill>
                  <w14:schemeClr w14:val="tx1">
                    <w14:lumMod w14:val="85000"/>
                    <w14:lumOff w14:val="15000"/>
                  </w14:schemeClr>
                </w14:solidFill>
              </w14:textFill>
            </w:rPr>
            <w:tab/>
          </w:r>
          <w:bookmarkStart w:id="7" w:name="_Toc3504_WPSOffice_Level1Page"/>
          <w:r>
            <w:rPr>
              <w:color w:val="262626" w:themeColor="text1" w:themeTint="D9"/>
              <w:sz w:val="24"/>
              <w:szCs w:val="24"/>
              <w14:textFill>
                <w14:solidFill>
                  <w14:schemeClr w14:val="tx1">
                    <w14:lumMod w14:val="85000"/>
                    <w14:lumOff w14:val="15000"/>
                  </w14:schemeClr>
                </w14:solidFill>
              </w14:textFill>
            </w:rPr>
            <w:t>28</w:t>
          </w:r>
          <w:bookmarkEnd w:id="7"/>
          <w:r>
            <w:rPr>
              <w:color w:val="262626" w:themeColor="text1" w:themeTint="D9"/>
              <w:sz w:val="24"/>
              <w:szCs w:val="24"/>
              <w14:textFill>
                <w14:solidFill>
                  <w14:schemeClr w14:val="tx1">
                    <w14:lumMod w14:val="85000"/>
                    <w14:lumOff w14:val="15000"/>
                  </w14:schemeClr>
                </w14:solidFill>
              </w14:textFill>
            </w:rPr>
            <w:fldChar w:fldCharType="end"/>
          </w:r>
          <w:bookmarkEnd w:id="0"/>
        </w:p>
        <w:p>
          <w:pPr>
            <w:pStyle w:val="56"/>
            <w:numPr>
              <w:ilvl w:val="0"/>
              <w:numId w:val="7"/>
            </w:numPr>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rPr>
              <w:rFonts w:hint="eastAsia" w:eastAsia="宋体"/>
              <w:color w:val="262626" w:themeColor="text1" w:themeTint="D9"/>
              <w:sz w:val="24"/>
              <w:szCs w:val="24"/>
              <w14:textFill>
                <w14:solidFill>
                  <w14:schemeClr w14:val="tx1">
                    <w14:lumMod w14:val="85000"/>
                    <w14:lumOff w14:val="15000"/>
                  </w14:schemeClr>
                </w14:solidFill>
              </w14:textFill>
            </w:rPr>
            <w:t>有限空间作业许可证</w:t>
          </w:r>
          <w:r>
            <w:rPr>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33</w:t>
          </w:r>
        </w:p>
        <w:p>
          <w:pPr>
            <w:pStyle w:val="56"/>
            <w:numPr>
              <w:ilvl w:val="0"/>
              <w:numId w:val="7"/>
            </w:numPr>
            <w:tabs>
              <w:tab w:val="right" w:leader="dot" w:pos="8306"/>
            </w:tabs>
            <w:spacing w:line="480" w:lineRule="auto"/>
            <w:rPr>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olor w:val="262626" w:themeColor="text1" w:themeTint="D9"/>
              <w:kern w:val="2"/>
              <w:sz w:val="24"/>
              <w:szCs w:val="24"/>
              <w14:textFill>
                <w14:solidFill>
                  <w14:schemeClr w14:val="tx1">
                    <w14:lumMod w14:val="85000"/>
                    <w14:lumOff w14:val="15000"/>
                  </w14:schemeClr>
                </w14:solidFill>
              </w14:textFill>
            </w:rPr>
            <w:t>有限空间气体检测记录</w:t>
          </w:r>
          <w:r>
            <w:rPr>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35</w:t>
          </w:r>
        </w:p>
      </w:sdtContent>
    </w:sdt>
    <w:p>
      <w:pPr>
        <w:spacing w:line="480" w:lineRule="auto"/>
        <w:rPr>
          <w:rFonts w:ascii="宋体" w:hAnsi="宋体" w:eastAsia="宋体" w:cs="宋体"/>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14:textFill>
            <w14:solidFill>
              <w14:schemeClr w14:val="tx1">
                <w14:lumMod w14:val="85000"/>
                <w14:lumOff w14:val="15000"/>
              </w14:schemeClr>
            </w14:solidFill>
          </w14:textFill>
        </w:rPr>
        <w:br w:type="page"/>
      </w:r>
    </w:p>
    <w:p>
      <w:pPr>
        <w:spacing w:line="360" w:lineRule="auto"/>
        <w:jc w:val="left"/>
        <w:outlineLvl w:val="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bookmarkStart w:id="8" w:name="_Toc20605_WPSOffice_Level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1、有限空间情况简介</w:t>
      </w:r>
      <w:bookmarkEnd w:id="8"/>
    </w:p>
    <w:p>
      <w:pPr>
        <w:widowControl/>
        <w:spacing w:line="360" w:lineRule="auto"/>
        <w:ind w:firstLine="484" w:firstLineChars="202"/>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本单位主要经营……</w:t>
      </w:r>
    </w:p>
    <w:p>
      <w:pPr>
        <w:widowControl/>
        <w:spacing w:line="360" w:lineRule="auto"/>
        <w:ind w:firstLine="484" w:firstLineChars="202"/>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本单位有限空间涉及到地下有限空间，XX罐，污水处理池……</w:t>
      </w:r>
    </w:p>
    <w:p>
      <w:pPr>
        <w:widowControl/>
        <w:spacing w:line="360" w:lineRule="auto"/>
        <w:ind w:firstLine="484" w:firstLineChars="202"/>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本单位有限空间XXX部分是市政管理，XXX部分是属于外包，外包单位为XXX公司，XXX部分属于单位作业……</w:t>
      </w:r>
    </w:p>
    <w:p>
      <w:pPr>
        <w:widowControl/>
        <w:spacing w:line="360" w:lineRule="auto"/>
        <w:ind w:firstLine="484" w:firstLineChars="202"/>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本单位有作业人员X人，监护人员取得有限空间特种作业证人员X人……</w:t>
      </w:r>
    </w:p>
    <w:p>
      <w:pPr>
        <w:pStyle w:val="9"/>
        <w:spacing w:line="360" w:lineRule="auto"/>
        <w:rPr>
          <w:rFonts w:ascii="宋体" w:hAnsi="宋体" w:cs="宋体"/>
          <w:color w:val="262626" w:themeColor="text1" w:themeTint="D9"/>
          <w:sz w:val="24"/>
          <w:szCs w:val="24"/>
          <w14:textFill>
            <w14:solidFill>
              <w14:schemeClr w14:val="tx1">
                <w14:lumMod w14:val="85000"/>
                <w14:lumOff w14:val="15000"/>
              </w14:schemeClr>
            </w14:solidFill>
          </w14:textFill>
        </w:rPr>
      </w:pPr>
    </w:p>
    <w:p>
      <w:pPr>
        <w:widowControl/>
        <w:spacing w:line="360" w:lineRule="auto"/>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br w:type="page"/>
      </w:r>
    </w:p>
    <w:p>
      <w:pPr>
        <w:spacing w:line="360" w:lineRule="auto"/>
        <w:jc w:val="left"/>
        <w:outlineLvl w:val="0"/>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bookmarkStart w:id="9" w:name="_Toc16708_WPSOffice_Level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2、本单位有限空间台账</w:t>
      </w:r>
      <w:bookmarkEnd w:id="9"/>
    </w:p>
    <w:p>
      <w:pPr>
        <w:spacing w:line="360" w:lineRule="auto"/>
        <w:ind w:firstLine="88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XX单位有限空间作业台账</w:t>
      </w:r>
    </w:p>
    <w:tbl>
      <w:tblPr>
        <w:tblStyle w:val="1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502"/>
        <w:gridCol w:w="1149"/>
        <w:gridCol w:w="488"/>
        <w:gridCol w:w="1917"/>
        <w:gridCol w:w="1555"/>
        <w:gridCol w:w="1273"/>
        <w:gridCol w:w="1273"/>
        <w:gridCol w:w="849"/>
        <w:gridCol w:w="850"/>
        <w:gridCol w:w="1132"/>
        <w:gridCol w:w="1132"/>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序号</w:t>
            </w: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有限空间名称</w:t>
            </w: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分布场所</w:t>
            </w: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数量</w:t>
            </w: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主要危险有害因素</w:t>
            </w: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可能事故后果</w:t>
            </w: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防护要求</w:t>
            </w: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自行作业/外包作业</w:t>
            </w: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审批负责人</w:t>
            </w: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现场负责人</w:t>
            </w: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作业项目</w:t>
            </w: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作业频率</w:t>
            </w: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0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488"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91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555"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273"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49"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850"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132"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707" w:type="dxa"/>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bl>
    <w:p>
      <w:pPr>
        <w:spacing w:line="360" w:lineRule="auto"/>
        <w:rPr>
          <w:rFonts w:ascii="宋体" w:hAnsi="宋体" w:eastAsia="宋体" w:cs="宋体"/>
          <w:b/>
          <w:color w:val="262626" w:themeColor="text1" w:themeTint="D9"/>
          <w:sz w:val="24"/>
          <w:szCs w:val="24"/>
          <w14:textFill>
            <w14:solidFill>
              <w14:schemeClr w14:val="tx1">
                <w14:lumMod w14:val="85000"/>
                <w14:lumOff w14:val="1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p>
      <w:pPr>
        <w:spacing w:line="360" w:lineRule="auto"/>
        <w:jc w:val="left"/>
        <w:outlineLvl w:val="0"/>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bookmarkStart w:id="10" w:name="_Toc16758_WPSOffice_Level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3、安全管理制度和操作规程</w:t>
      </w:r>
      <w:bookmarkEnd w:id="10"/>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1.总   则</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2.有限空间作业安全责任制度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ind w:firstLine="484" w:firstLineChars="20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2.1主要负责人职责</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ind w:firstLine="484" w:firstLineChars="20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2.2 安全管理部门职责</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ind w:firstLine="484" w:firstLineChars="20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2.3安全管理人员职责</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ind w:firstLine="484" w:firstLineChars="20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2.4 承担有限空间作业部门</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ind w:firstLine="484" w:firstLineChars="20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2.5 承担有限空间作业实施人员职责</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ind w:firstLine="484" w:firstLineChars="20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2.6 承包商管理职责</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3.有限空间作业审批制度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4.有限空间作业现场安全管理制度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5.有限空间安全培训教育制度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6.有限空间作业应急管理制度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7持证上岗制度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8.承发包管理制度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9.设备检维修校验制度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10.有限空间作业安全管理制度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11.安全投入保障制度</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12.有限空间作业安全操作规程</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ab/>
      </w:r>
    </w:p>
    <w:p>
      <w:pPr>
        <w:widowControl/>
        <w:jc w:val="left"/>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p>
    <w:p>
      <w:pPr>
        <w:spacing w:line="360" w:lineRule="auto"/>
        <w:ind w:firstLine="88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p>
    <w:p>
      <w:pPr>
        <w:rPr>
          <w:rFonts w:ascii="宋体" w:hAnsi="宋体" w:eastAsia="宋体" w:cs="宋体"/>
          <w:color w:val="262626" w:themeColor="text1" w:themeTint="D9"/>
          <w14:textFill>
            <w14:solidFill>
              <w14:schemeClr w14:val="tx1">
                <w14:lumMod w14:val="85000"/>
                <w14:lumOff w14:val="15000"/>
              </w14:schemeClr>
            </w14:solidFill>
          </w14:textFill>
        </w:rPr>
      </w:pPr>
    </w:p>
    <w:p>
      <w:pPr>
        <w:spacing w:line="360" w:lineRule="auto"/>
        <w:jc w:val="left"/>
        <w:outlineLvl w:val="0"/>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bookmarkStart w:id="11" w:name="_Toc4413_WPSOffice_Level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4、有限空间事故应急预案</w:t>
      </w:r>
      <w:bookmarkEnd w:id="11"/>
    </w:p>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XX单位有限空间专项预案</w:t>
      </w:r>
    </w:p>
    <w:p>
      <w:pPr>
        <w:pStyle w:val="16"/>
        <w:shd w:val="clear" w:color="auto" w:fill="FFFFFF"/>
        <w:spacing w:before="0" w:beforeAutospacing="0" w:after="0" w:afterAutospacing="0" w:line="360" w:lineRule="auto"/>
        <w:ind w:firstLine="566" w:firstLineChars="236"/>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为贯彻“安全第一，预防为主，综合治理”的方针，规范应急管理工作，提高本单位对突发事件的处置和救援水平，最大限度地减少人员伤亡、财产损失，根据本单位有限空间作业的特点制定本预案。</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（一）企业基本情况</w:t>
      </w:r>
    </w:p>
    <w:p>
      <w:pPr>
        <w:pStyle w:val="16"/>
        <w:shd w:val="clear" w:color="auto" w:fill="FFFFFF"/>
        <w:spacing w:before="0" w:beforeAutospacing="0" w:after="0" w:afterAutospacing="0" w:line="360" w:lineRule="auto"/>
        <w:ind w:firstLine="566" w:firstLineChars="236"/>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本单位从事</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生产，地址位于</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占地</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 xml:space="preserve">建筑面积 </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职工人员</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主要产品为</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；本单位有限空间类别有</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共</w:t>
      </w:r>
      <w:r>
        <w:rPr>
          <w:rFonts w:hint="eastAsia"/>
          <w:color w:val="262626" w:themeColor="text1" w:themeTint="D9"/>
          <w:u w:val="single"/>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处。</w:t>
      </w:r>
    </w:p>
    <w:p>
      <w:pPr>
        <w:spacing w:line="480" w:lineRule="atLeast"/>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表1 有限空间基本情况</w:t>
      </w:r>
    </w:p>
    <w:tbl>
      <w:tblPr>
        <w:tblStyle w:val="17"/>
        <w:tblW w:w="9393"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1715"/>
        <w:gridCol w:w="2249"/>
        <w:gridCol w:w="1648"/>
        <w:gridCol w:w="3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blCellSpacing w:w="0" w:type="dxa"/>
          <w:jc w:val="center"/>
        </w:trPr>
        <w:tc>
          <w:tcPr>
            <w:tcW w:w="752" w:type="dxa"/>
            <w:tcBorders>
              <w:righ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序号</w:t>
            </w:r>
          </w:p>
        </w:tc>
        <w:tc>
          <w:tcPr>
            <w:tcW w:w="1715" w:type="dxa"/>
            <w:tcBorders>
              <w:lef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名称</w:t>
            </w:r>
          </w:p>
        </w:tc>
        <w:tc>
          <w:tcPr>
            <w:tcW w:w="2249"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位置</w:t>
            </w:r>
          </w:p>
        </w:tc>
        <w:tc>
          <w:tcPr>
            <w:tcW w:w="1648" w:type="dxa"/>
            <w:tcBorders>
              <w:righ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危险有害因素</w:t>
            </w:r>
          </w:p>
        </w:tc>
        <w:tc>
          <w:tcPr>
            <w:tcW w:w="3029" w:type="dxa"/>
            <w:tcBorders>
              <w:lef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备注</w:t>
            </w:r>
          </w:p>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（密闭/地上/地下有限空间）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blCellSpacing w:w="0" w:type="dxa"/>
          <w:jc w:val="center"/>
        </w:trPr>
        <w:tc>
          <w:tcPr>
            <w:tcW w:w="752" w:type="dxa"/>
            <w:tcBorders>
              <w:righ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w:t>
            </w:r>
          </w:p>
        </w:tc>
        <w:tc>
          <w:tcPr>
            <w:tcW w:w="1715" w:type="dxa"/>
            <w:tcBorders>
              <w:lef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电力井</w:t>
            </w:r>
          </w:p>
        </w:tc>
        <w:tc>
          <w:tcPr>
            <w:tcW w:w="2249"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648" w:type="dxa"/>
            <w:tcBorders>
              <w:righ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3029" w:type="dxa"/>
            <w:tcBorders>
              <w:lef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blCellSpacing w:w="0" w:type="dxa"/>
          <w:jc w:val="center"/>
        </w:trPr>
        <w:tc>
          <w:tcPr>
            <w:tcW w:w="752" w:type="dxa"/>
            <w:tcBorders>
              <w:righ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2 </w:t>
            </w:r>
          </w:p>
        </w:tc>
        <w:tc>
          <w:tcPr>
            <w:tcW w:w="1715" w:type="dxa"/>
            <w:tcBorders>
              <w:lef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污水处理池</w:t>
            </w:r>
          </w:p>
        </w:tc>
        <w:tc>
          <w:tcPr>
            <w:tcW w:w="2249"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648" w:type="dxa"/>
            <w:tcBorders>
              <w:righ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3029" w:type="dxa"/>
            <w:tcBorders>
              <w:left w:val="single" w:color="auto"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bl>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bookmarkStart w:id="12" w:name="_Toc444074488"/>
      <w:bookmarkStart w:id="13" w:name="_Toc383758590"/>
      <w:bookmarkStart w:id="14" w:name="_Toc384113201"/>
      <w:bookmarkStart w:id="15" w:name="_Toc384113965"/>
      <w:bookmarkStart w:id="16" w:name="_Toc384113830"/>
      <w:bookmarkStart w:id="17" w:name="_Toc384114049"/>
      <w:bookmarkStart w:id="18" w:name="_Toc384114187"/>
      <w:bookmarkStart w:id="19" w:name="_Toc384113416"/>
      <w:r>
        <w:rPr>
          <w:rFonts w:hint="eastAsia"/>
          <w:color w:val="262626" w:themeColor="text1" w:themeTint="D9"/>
          <w14:textFill>
            <w14:solidFill>
              <w14:schemeClr w14:val="tx1">
                <w14:lumMod w14:val="85000"/>
                <w14:lumOff w14:val="15000"/>
              </w14:schemeClr>
            </w14:solidFill>
          </w14:textFill>
        </w:rPr>
        <w:t>（二）事故风险分析</w:t>
      </w:r>
      <w:bookmarkEnd w:id="12"/>
      <w:bookmarkEnd w:id="13"/>
      <w:bookmarkEnd w:id="14"/>
      <w:bookmarkEnd w:id="15"/>
      <w:bookmarkEnd w:id="16"/>
      <w:bookmarkEnd w:id="17"/>
      <w:bookmarkEnd w:id="18"/>
      <w:bookmarkEnd w:id="19"/>
    </w:p>
    <w:p>
      <w:pPr>
        <w:pStyle w:val="16"/>
        <w:shd w:val="clear" w:color="auto" w:fill="FFFFFF"/>
        <w:spacing w:before="0" w:beforeAutospacing="0" w:after="0" w:afterAutospacing="0" w:line="360" w:lineRule="auto"/>
        <w:ind w:firstLine="566" w:firstLineChars="236"/>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有限空间本身具有与外界相对隔离，出入口较为狭窄，自然通风不良，有毒有害、易燃易爆物质积聚或者氧含量不足的特点，在生产、维修、管理作业过程中容易造成缺氧、中毒、触电、引发火灾爆炸等事故。</w:t>
      </w:r>
    </w:p>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表2有限空间作业危险有害因素(单位视实际情况修改)</w:t>
      </w:r>
    </w:p>
    <w:tbl>
      <w:tblPr>
        <w:tblStyle w:val="17"/>
        <w:tblW w:w="9923"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2"/>
        <w:gridCol w:w="1293"/>
        <w:gridCol w:w="4444"/>
        <w:gridCol w:w="3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tcPr>
          <w:p>
            <w:pPr>
              <w:jc w:val="cente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事故种类</w:t>
            </w:r>
          </w:p>
        </w:tc>
        <w:tc>
          <w:tcPr>
            <w:tcW w:w="1293" w:type="dxa"/>
          </w:tcPr>
          <w:p>
            <w:pPr>
              <w:jc w:val="cente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主要危险危害因素</w:t>
            </w:r>
          </w:p>
        </w:tc>
        <w:tc>
          <w:tcPr>
            <w:tcW w:w="4444" w:type="dxa"/>
          </w:tcPr>
          <w:p>
            <w:pPr>
              <w:jc w:val="cente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产生原因</w:t>
            </w:r>
          </w:p>
        </w:tc>
        <w:tc>
          <w:tcPr>
            <w:tcW w:w="3484" w:type="dxa"/>
          </w:tcPr>
          <w:p>
            <w:pPr>
              <w:jc w:val="cente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可能产生的有限空间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窒息</w:t>
            </w:r>
          </w:p>
        </w:tc>
        <w:tc>
          <w:tcPr>
            <w:tcW w:w="1293" w:type="dxa"/>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缺氧</w:t>
            </w:r>
          </w:p>
        </w:tc>
        <w:tc>
          <w:tcPr>
            <w:tcW w:w="4444" w:type="dxa"/>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有限空间通风不良，氧含量偏低；</w: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有限空间内存在的物质发生耗氧性化学反应；如燃烧，生物的有氧呼吸等；</w: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作业过程中引入单纯性窒息气体挤占氧气空间，如使用氮气、氩气、水蒸气进行清洗；</w: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某些相连或相近的设备或管道的渗漏或扩散，如天然气泄漏；</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较高的氧气消耗速度，如过多人员同时在有限空间内作业。</w:t>
            </w:r>
          </w:p>
        </w:tc>
        <w:tc>
          <w:tcPr>
            <w:tcW w:w="3484" w:type="dxa"/>
          </w:tcPr>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贮罐、车载槽罐、反应塔（釜）、压力容器；</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地下工程、地下管道、暗沟、涵洞、地坑、废井、污水池（井）、沼气池、化粪池、下水道；</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储藏室、温室、冷库；</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酒糟池、发酵池；</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垃圾站；</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粮仓、料仓。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中毒</w:t>
            </w:r>
          </w:p>
        </w:tc>
        <w:tc>
          <w:tcPr>
            <w:tcW w:w="1293" w:type="dxa"/>
          </w:tcPr>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一氧化碳（CO）；挥发性有机溶剂；</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硫化氢（H</w:t>
            </w:r>
            <w:r>
              <w:rPr>
                <w:rFonts w:hint="eastAsia" w:ascii="宋体" w:hAnsi="宋体" w:eastAsia="宋体" w:cs="宋体"/>
                <w:color w:val="262626" w:themeColor="text1" w:themeTint="D9"/>
                <w:kern w:val="0"/>
                <w:sz w:val="24"/>
                <w:szCs w:val="24"/>
                <w:vertAlign w:val="subscript"/>
                <w14:textFill>
                  <w14:solidFill>
                    <w14:schemeClr w14:val="tx1">
                      <w14:lumMod w14:val="85000"/>
                      <w14:lumOff w14:val="15000"/>
                    </w14:schemeClr>
                  </w14:solidFill>
                </w14:textFill>
              </w:rPr>
              <w:t>2</w:t>
            </w: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S）</w:t>
            </w:r>
          </w:p>
        </w:tc>
        <w:tc>
          <w:tcPr>
            <w:tcW w:w="4444" w:type="dxa"/>
          </w:tcPr>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有限空间内储存的有毒化学品残留、泄漏或挥发；</w:t>
            </w:r>
          </w:p>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有限空间内物质发生化学反应，产生有毒物质，如有机物分解产生硫化氢；</w:t>
            </w:r>
          </w:p>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某些相连或接近的设备或管道的有毒物质渗漏或扩散；</w:t>
            </w:r>
          </w:p>
          <w:p>
            <w:pPr>
              <w:pStyle w:val="40"/>
              <w:spacing w:line="240" w:lineRule="auto"/>
              <w:ind w:firstLine="0"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作业过程中产生或引入有毒物质，如焊接、喷漆或使用有机溶剂进行清洁。</w:t>
            </w:r>
          </w:p>
        </w:tc>
        <w:tc>
          <w:tcPr>
            <w:tcW w:w="3484" w:type="dxa"/>
          </w:tcPr>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贮罐、车载槽罐、反应塔（釜）、压力容器；</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地下工程、地下管道、暗沟、涵洞、地坑、废井、污水池（井）、沼气池、化粪池、下水道；</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酒糟池、发酵池；</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垃圾站；</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粮仓。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燃爆</w:t>
            </w:r>
          </w:p>
        </w:tc>
        <w:tc>
          <w:tcPr>
            <w:tcW w:w="1293" w:type="dxa"/>
          </w:tcPr>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可燃性气体爆炸；</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易燃易爆物质（可燃性气体、爆炸性粉尘）爆炸；</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粉尘爆炸</w:t>
            </w:r>
          </w:p>
        </w:tc>
        <w:tc>
          <w:tcPr>
            <w:tcW w:w="4444" w:type="dxa"/>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有限空间中易燃气体或液体的泄漏、挥发；</w: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有机物分级，如生活垃圾、动植物腐败物分解产生的甲烷；</w: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作业过程中引入的，如乙炔气焊产生的一氧化碳；</w: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空气中氧气含量超过了23.5%时，形成富氧环境。</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p>
        </w:tc>
        <w:tc>
          <w:tcPr>
            <w:tcW w:w="3484" w:type="dxa"/>
          </w:tcPr>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贮罐、车载槽罐、反应塔（釜）、压力容器；</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冷藏箱、管道；</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烟道、锅炉；</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地下室、地下仓库、隧道、地窖；</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地下工程、地下管道、暗沟、涵洞、地坑、废井、污水池（井）、沼气池、化粪池、下水道；</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酒糟池、发酵池；</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垃圾站；</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粮仓、料仓。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vMerge w:val="restart"/>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其他</w:t>
            </w:r>
          </w:p>
        </w:tc>
        <w:tc>
          <w:tcPr>
            <w:tcW w:w="1293" w:type="dxa"/>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淹溺：导致人窒息缺氧</w:t>
            </w:r>
          </w:p>
        </w:tc>
        <w:tc>
          <w:tcPr>
            <w:tcW w:w="4444" w:type="dxa"/>
          </w:tcPr>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地下有限空间，低于地面2m，有水积蓄，因中毒、受伤或不慎跌落可导致淹溺；</w:t>
            </w:r>
          </w:p>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常见于粪坑粪池、腌菜窖、沉淀池、污水池、阴沟下水道的清理、维修等工作，多伴发高处坠落、电击、跌落等事故；</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对人体造成的伤害：面部或全身青紫、烦躁不安、抽筋、呼吸困难、昏迷、意识丧失、心跳停止等。</w:t>
            </w:r>
          </w:p>
        </w:tc>
        <w:tc>
          <w:tcPr>
            <w:tcW w:w="3484" w:type="dxa"/>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地下工程、地下管道、暗沟、涵洞、地坑、废井、污水池（井）、沼气池、化粪池、下水道。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vMerge w:val="continue"/>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p>
        </w:tc>
        <w:tc>
          <w:tcPr>
            <w:tcW w:w="1293" w:type="dxa"/>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高处坠落</w:t>
            </w:r>
          </w:p>
        </w:tc>
        <w:tc>
          <w:tcPr>
            <w:tcW w:w="4444" w:type="dxa"/>
          </w:tcPr>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安全防护用具不合格，如脚手板和防护栏安装使用不合理；</w:t>
            </w:r>
          </w:p>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使用的扶梯有缺陷；</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作业面狭窄，作业人员活动受限，四周悬空，手脚易于扑空。</w:t>
            </w:r>
          </w:p>
        </w:tc>
        <w:tc>
          <w:tcPr>
            <w:tcW w:w="3484" w:type="dxa"/>
            <w:vMerge w:val="restart"/>
          </w:tcPr>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贮罐、车载槽罐、反应塔（釜）、压力容器；</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地下工程、地下管道、暗沟、涵洞、地坑、废井、污水池（井）、沼气池、化粪池、下水道；</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储藏室、温室、冷库；</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酒糟池、发酵池；</w:t>
            </w:r>
          </w:p>
          <w:p>
            <w:pPr>
              <w:rPr>
                <w:rFonts w:ascii="宋体" w:hAnsi="宋体" w:eastAsia="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垃圾站；</w:t>
            </w:r>
          </w:p>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kern w:val="0"/>
                <w:sz w:val="24"/>
                <w:szCs w:val="24"/>
                <w14:textFill>
                  <w14:solidFill>
                    <w14:schemeClr w14:val="tx1">
                      <w14:lumMod w14:val="85000"/>
                      <w14:lumOff w14:val="15000"/>
                    </w14:schemeClr>
                  </w14:solidFill>
                </w14:textFill>
              </w:rPr>
              <w:t>粮仓、料仓。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vMerge w:val="continue"/>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p>
        </w:tc>
        <w:tc>
          <w:tcPr>
            <w:tcW w:w="1293" w:type="dxa"/>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触电</w:t>
            </w:r>
          </w:p>
        </w:tc>
        <w:tc>
          <w:tcPr>
            <w:tcW w:w="4444" w:type="dxa"/>
          </w:tcPr>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操作不当触电；</w:t>
            </w:r>
          </w:p>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电动机械、电器、电线年久失修</w:t>
            </w:r>
          </w:p>
        </w:tc>
        <w:tc>
          <w:tcPr>
            <w:tcW w:w="3484" w:type="dxa"/>
            <w:vMerge w:val="continue"/>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2" w:type="dxa"/>
            <w:vMerge w:val="continue"/>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p>
        </w:tc>
        <w:tc>
          <w:tcPr>
            <w:tcW w:w="1293" w:type="dxa"/>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机械伤害</w:t>
            </w:r>
          </w:p>
        </w:tc>
        <w:tc>
          <w:tcPr>
            <w:tcW w:w="4444" w:type="dxa"/>
          </w:tcPr>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作业期间机械的意外启动；</w:t>
            </w:r>
          </w:p>
          <w:p>
            <w:pPr>
              <w:pStyle w:val="40"/>
              <w:spacing w:line="240" w:lineRule="auto"/>
              <w:ind w:firstLine="0"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未实施有效的关停。</w:t>
            </w:r>
          </w:p>
        </w:tc>
        <w:tc>
          <w:tcPr>
            <w:tcW w:w="3484" w:type="dxa"/>
            <w:vMerge w:val="continue"/>
          </w:tcPr>
          <w:p>
            <w:pPr>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p>
        </w:tc>
      </w:tr>
    </w:tbl>
    <w:p>
      <w:pPr>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bookmarkStart w:id="20" w:name="_Toc383758591"/>
      <w:bookmarkStart w:id="21" w:name="_Toc384113831"/>
      <w:bookmarkStart w:id="22" w:name="_Toc384113966"/>
      <w:bookmarkStart w:id="23" w:name="_Toc384113202"/>
      <w:bookmarkStart w:id="24" w:name="_Toc384114050"/>
      <w:bookmarkStart w:id="25" w:name="_Toc444074489"/>
      <w:bookmarkStart w:id="26" w:name="_Toc384113417"/>
      <w:bookmarkStart w:id="27" w:name="_Toc384114188"/>
      <w:r>
        <w:rPr>
          <w:rFonts w:hint="eastAsia"/>
          <w:color w:val="262626" w:themeColor="text1" w:themeTint="D9"/>
          <w14:textFill>
            <w14:solidFill>
              <w14:schemeClr w14:val="tx1">
                <w14:lumMod w14:val="85000"/>
                <w14:lumOff w14:val="15000"/>
              </w14:schemeClr>
            </w14:solidFill>
          </w14:textFill>
        </w:rPr>
        <w:t>（三）应急处置基本原则</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贯彻执行“安全第一，预防为主、快速反应”的应急方针，坚持以下应急原则：</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（1）设立警戒线，撤离所有无关人员，禁止无关人员进入。</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（2）保护人员的生命安全是第一位的。要迅速组织抢救受伤人员，撤离、疏散可能受到伤害的人员。</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（3）禁止盲目施救。</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（4）尽最大努力保护事故现场，因抢救伤员、防止事故扩大等原因需移动现场物件时，必须做出标识和记录，以便事故侦察和处理。</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（5）事故报告：发生重、特大伤亡事故应以最快的方式报告当地和省主管部门。在事故发生24小时内写出书面报告，按规定报告有关部门。</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（四）应急组织机构及职责</w:t>
      </w:r>
      <w:bookmarkEnd w:id="20"/>
      <w:bookmarkEnd w:id="21"/>
      <w:bookmarkEnd w:id="22"/>
      <w:bookmarkEnd w:id="23"/>
      <w:bookmarkEnd w:id="24"/>
      <w:bookmarkEnd w:id="25"/>
      <w:bookmarkEnd w:id="26"/>
      <w:bookmarkEnd w:id="27"/>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(1)组织机构：</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建立事故应急处理机构，成立事故应急处理小组</w:t>
      </w:r>
    </w:p>
    <w:p>
      <w:pPr>
        <w:spacing w:line="360" w:lineRule="auto"/>
        <w:ind w:firstLine="48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bookmarkStart w:id="28" w:name="_Toc444074490"/>
      <w:bookmarkStart w:id="29" w:name="_Toc384113967"/>
      <w:bookmarkStart w:id="30" w:name="_Toc383758596"/>
      <w:bookmarkStart w:id="31" w:name="_Toc384113418"/>
      <w:bookmarkStart w:id="32" w:name="_Toc384113832"/>
      <w:bookmarkStart w:id="33" w:name="_Toc384114189"/>
      <w:bookmarkStart w:id="34" w:name="_Toc384113203"/>
      <w:bookmarkStart w:id="35" w:name="_Toc384114051"/>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总指挥（小组长-单位第一负责人）：公司总经理为应急总指挥，负责领导公司突发事件的应急管理工作。</w:t>
      </w:r>
    </w:p>
    <w:p>
      <w:pPr>
        <w:spacing w:line="360" w:lineRule="auto"/>
        <w:ind w:firstLine="48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现场指挥（副组长-作业负责人）：负责执行总指挥下达的应急指令，负责应急信息传递、应急值守和综合协调等工作。总指挥不在时，由现场指挥负责公司突发事件的应急管理工作。</w:t>
      </w:r>
    </w:p>
    <w:bookmarkEnd w:id="28"/>
    <w:bookmarkEnd w:id="29"/>
    <w:bookmarkEnd w:id="30"/>
    <w:bookmarkEnd w:id="31"/>
    <w:bookmarkEnd w:id="32"/>
    <w:bookmarkEnd w:id="33"/>
    <w:bookmarkEnd w:id="34"/>
    <w:bookmarkEnd w:id="35"/>
    <w:p>
      <w:pPr>
        <w:spacing w:line="360" w:lineRule="auto"/>
        <w:ind w:firstLine="48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应急小组：由公司有关部门领导和员工组成。按照职责分工，负责突发事件的现场抢险救援等应急工作。</w:t>
      </w:r>
    </w:p>
    <w:p>
      <w:pPr>
        <w:spacing w:line="360" w:lineRule="auto"/>
        <w:ind w:firstLine="48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48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48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pStyle w:val="8"/>
        <w:spacing w:before="156" w:beforeAutospacing="0" w:after="156" w:afterAutospacing="0" w:line="360" w:lineRule="auto"/>
        <w:rPr>
          <w:rFonts w:cs="宋体"/>
          <w:color w:val="262626" w:themeColor="text1" w:themeTint="D9"/>
          <w14:textFill>
            <w14:solidFill>
              <w14:schemeClr w14:val="tx1">
                <w14:lumMod w14:val="85000"/>
                <w14:lumOff w14:val="15000"/>
              </w14:schemeClr>
            </w14:solidFill>
          </w14:textFill>
        </w:rPr>
      </w:pPr>
      <w:r>
        <w:rPr>
          <w:rFonts w:hint="eastAsia" w:cs="宋体"/>
          <w:color w:val="262626" w:themeColor="text1" w:themeTint="D9"/>
          <w:lang w:val="en-US"/>
          <w14:textFill>
            <w14:solidFill>
              <w14:schemeClr w14:val="tx1">
                <w14:lumMod w14:val="85000"/>
                <w14:lumOff w14:val="15000"/>
              </w14:schemeClr>
            </w14:solidFill>
          </w14:textFill>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5080</wp:posOffset>
                </wp:positionV>
                <wp:extent cx="1148715" cy="299085"/>
                <wp:effectExtent l="9525" t="6350" r="13335" b="889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8715" cy="299085"/>
                        </a:xfrm>
                        <a:prstGeom prst="rect">
                          <a:avLst/>
                        </a:prstGeom>
                        <a:solidFill>
                          <a:srgbClr val="FFFFFF"/>
                        </a:solidFill>
                        <a:ln w="9525">
                          <a:solidFill>
                            <a:srgbClr val="000000"/>
                          </a:solidFill>
                          <a:miter lim="800000"/>
                        </a:ln>
                      </wps:spPr>
                      <wps:txbx>
                        <w:txbxContent>
                          <w:p>
                            <w:pPr>
                              <w:jc w:val="center"/>
                              <w:rPr>
                                <w:rFonts w:ascii="楷体_GB2312" w:eastAsia="楷体_GB2312"/>
                              </w:rPr>
                            </w:pPr>
                            <w:r>
                              <w:rPr>
                                <w:rFonts w:hint="eastAsia" w:ascii="楷体_GB2312" w:eastAsia="楷体_GB2312"/>
                              </w:rPr>
                              <w:t>总指挥</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62pt;margin-top:0.4pt;height:23.55pt;width:90.45pt;z-index:251660288;mso-width-relative:page;mso-height-relative:margin;mso-height-percent:200;" fillcolor="#FFFFFF" filled="t" stroked="t" coordsize="21600,21600" o:gfxdata="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79MmbWAAAABwEAAA8AAAAAAAAAAQAgAAAAIgAAAGRy&#10;cy9kb3ducmV2LnhtbFBLAQIUABQAAAAIAIdO4kBVtiG0QAIAAIcEAAAOAAAAAAAAAAEAIAAAACUB&#10;AABkcnMvZTJvRG9jLnhtbFBLBQYAAAAABgAGAFkBAADXBQAAAAA=&#10;">
                <v:fill on="t" focussize="0,0"/>
                <v:stroke color="#000000" miterlimit="8" joinstyle="miter"/>
                <v:imagedata o:title=""/>
                <o:lock v:ext="edit" aspectratio="f"/>
                <v:textbox style="mso-fit-shape-to-text:t;">
                  <w:txbxContent>
                    <w:p>
                      <w:pPr>
                        <w:jc w:val="center"/>
                        <w:rPr>
                          <w:rFonts w:ascii="楷体_GB2312" w:eastAsia="楷体_GB2312"/>
                        </w:rPr>
                      </w:pPr>
                      <w:r>
                        <w:rPr>
                          <w:rFonts w:hint="eastAsia" w:ascii="楷体_GB2312" w:eastAsia="楷体_GB2312"/>
                        </w:rPr>
                        <w:t>总指挥</w:t>
                      </w:r>
                    </w:p>
                  </w:txbxContent>
                </v:textbox>
              </v:shape>
            </w:pict>
          </mc:Fallback>
        </mc:AlternateContent>
      </w:r>
    </w:p>
    <w:p>
      <w:pPr>
        <w:pStyle w:val="8"/>
        <w:spacing w:before="156" w:beforeAutospacing="0" w:after="156" w:afterAutospacing="0" w:line="360" w:lineRule="auto"/>
        <w:rPr>
          <w:rFonts w:cs="宋体"/>
          <w:color w:val="262626" w:themeColor="text1" w:themeTint="D9"/>
          <w14:textFill>
            <w14:solidFill>
              <w14:schemeClr w14:val="tx1">
                <w14:lumMod w14:val="85000"/>
                <w14:lumOff w14:val="15000"/>
              </w14:schemeClr>
            </w14:solidFill>
          </w14:textFill>
        </w:rPr>
      </w:pPr>
      <w:r>
        <w:rPr>
          <w:rFonts w:hint="eastAsia" w:cs="宋体"/>
          <w:color w:val="262626" w:themeColor="text1" w:themeTint="D9"/>
          <w:lang w:val="en-US"/>
          <w14:textFill>
            <w14:solidFill>
              <w14:schemeClr w14:val="tx1">
                <w14:lumMod w14:val="85000"/>
                <w14:lumOff w14:val="15000"/>
              </w14:schemeClr>
            </w14:solidFill>
          </w14:textFill>
        </w:rPr>
        <mc:AlternateContent>
          <mc:Choice Requires="wps">
            <w:drawing>
              <wp:anchor distT="0" distB="0" distL="114300" distR="114300" simplePos="0" relativeHeight="251663360" behindDoc="0" locked="0" layoutInCell="1" allowOverlap="1">
                <wp:simplePos x="0" y="0"/>
                <wp:positionH relativeFrom="column">
                  <wp:posOffset>2066925</wp:posOffset>
                </wp:positionH>
                <wp:positionV relativeFrom="paragraph">
                  <wp:posOffset>219710</wp:posOffset>
                </wp:positionV>
                <wp:extent cx="1148715" cy="299085"/>
                <wp:effectExtent l="9525" t="8890" r="13335" b="635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8715" cy="299085"/>
                        </a:xfrm>
                        <a:prstGeom prst="rect">
                          <a:avLst/>
                        </a:prstGeom>
                        <a:solidFill>
                          <a:srgbClr val="FFFFFF"/>
                        </a:solidFill>
                        <a:ln w="9525">
                          <a:solidFill>
                            <a:srgbClr val="000000"/>
                          </a:solidFill>
                          <a:miter lim="800000"/>
                        </a:ln>
                      </wps:spPr>
                      <wps:txbx>
                        <w:txbxContent>
                          <w:p>
                            <w:pPr>
                              <w:jc w:val="center"/>
                              <w:rPr>
                                <w:rFonts w:ascii="楷体_GB2312" w:eastAsia="楷体_GB2312"/>
                              </w:rPr>
                            </w:pPr>
                            <w:r>
                              <w:rPr>
                                <w:rFonts w:hint="eastAsia" w:ascii="楷体_GB2312" w:eastAsia="楷体_GB2312"/>
                              </w:rPr>
                              <w:t>现场指挥</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62.75pt;margin-top:17.3pt;height:23.55pt;width:90.45pt;z-index:251663360;mso-width-relative:page;mso-height-relative:margin;mso-height-percent:200;" fillcolor="#FFFFFF" filled="t" stroked="t" coordsize="21600,21600" o:gfxdata="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gq6gvXAAAACQEAAA8AAAAAAAAAAQAgAAAAIgAAAGRy&#10;cy9kb3ducmV2LnhtbFBLAQIUABQAAAAIAIdO4kCS/YsEPwIAAIcEAAAOAAAAAAAAAAEAIAAAACYB&#10;AABkcnMvZTJvRG9jLnhtbFBLBQYAAAAABgAGAFkBAADXBQAAAAA=&#10;">
                <v:fill on="t" focussize="0,0"/>
                <v:stroke color="#000000" miterlimit="8" joinstyle="miter"/>
                <v:imagedata o:title=""/>
                <o:lock v:ext="edit" aspectratio="f"/>
                <v:textbox style="mso-fit-shape-to-text:t;">
                  <w:txbxContent>
                    <w:p>
                      <w:pPr>
                        <w:jc w:val="center"/>
                        <w:rPr>
                          <w:rFonts w:ascii="楷体_GB2312" w:eastAsia="楷体_GB2312"/>
                        </w:rPr>
                      </w:pPr>
                      <w:r>
                        <w:rPr>
                          <w:rFonts w:hint="eastAsia" w:ascii="楷体_GB2312" w:eastAsia="楷体_GB2312"/>
                        </w:rPr>
                        <w:t>现场指挥</w:t>
                      </w:r>
                    </w:p>
                  </w:txbxContent>
                </v:textbox>
              </v:shape>
            </w:pict>
          </mc:Fallback>
        </mc:AlternateContent>
      </w:r>
      <w:r>
        <w:rPr>
          <w:rFonts w:hint="eastAsia" w:cs="宋体"/>
          <w:color w:val="262626" w:themeColor="text1" w:themeTint="D9"/>
          <w:lang w:val="en-US"/>
          <w14:textFill>
            <w14:solidFill>
              <w14:schemeClr w14:val="tx1">
                <w14:lumMod w14:val="85000"/>
                <w14:lumOff w14:val="15000"/>
              </w14:schemeClr>
            </w14:solidFill>
          </w14:textFill>
        </w:rPr>
        <mc:AlternateContent>
          <mc:Choice Requires="wps">
            <w:drawing>
              <wp:anchor distT="0" distB="0" distL="114300" distR="114300" simplePos="0" relativeHeight="251662336" behindDoc="0" locked="0" layoutInCell="1" allowOverlap="1">
                <wp:simplePos x="0" y="0"/>
                <wp:positionH relativeFrom="column">
                  <wp:posOffset>2661285</wp:posOffset>
                </wp:positionH>
                <wp:positionV relativeFrom="paragraph">
                  <wp:posOffset>12065</wp:posOffset>
                </wp:positionV>
                <wp:extent cx="7620" cy="207645"/>
                <wp:effectExtent l="51435" t="10160" r="55245" b="20320"/>
                <wp:wrapNone/>
                <wp:docPr id="4" name="直接箭头连接符 4"/>
                <wp:cNvGraphicFramePr/>
                <a:graphic xmlns:a="http://schemas.openxmlformats.org/drawingml/2006/main">
                  <a:graphicData uri="http://schemas.microsoft.com/office/word/2010/wordprocessingShape">
                    <wps:wsp>
                      <wps:cNvCnPr>
                        <a:cxnSpLocks noChangeShapeType="1"/>
                      </wps:cNvCnPr>
                      <wps:spPr bwMode="auto">
                        <a:xfrm>
                          <a:off x="0" y="0"/>
                          <a:ext cx="7620" cy="2076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55pt;margin-top:0.95pt;height:16.35pt;width:0.6pt;z-index:251662336;mso-width-relative:page;mso-height-relative:page;" filled="f" stroked="t" coordsize="21600,21600" o:gfxdata="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QMMRrZAAAACAEAAA8A&#10;AAAAAAAAAQAgAAAAIgAAAGRycy9kb3ducmV2LnhtbFBLAQIUABQAAAAIAIdO4kBG3m/YFgIAAPwD&#10;AAAOAAAAAAAAAAEAIAAAACgBAABkcnMvZTJvRG9jLnhtbFBLBQYAAAAABgAGAFkBAACwBQAAAAA=&#10;">
                <v:fill on="f" focussize="0,0"/>
                <v:stroke color="#000000" joinstyle="round" endarrow="block"/>
                <v:imagedata o:title=""/>
                <o:lock v:ext="edit" aspectratio="f"/>
              </v:shape>
            </w:pict>
          </mc:Fallback>
        </mc:AlternateContent>
      </w:r>
    </w:p>
    <w:p>
      <w:pPr>
        <w:pStyle w:val="8"/>
        <w:spacing w:before="156" w:beforeAutospacing="0" w:after="156" w:afterAutospacing="0" w:line="360" w:lineRule="auto"/>
        <w:rPr>
          <w:rFonts w:cs="宋体"/>
          <w:color w:val="262626" w:themeColor="text1" w:themeTint="D9"/>
          <w14:textFill>
            <w14:solidFill>
              <w14:schemeClr w14:val="tx1">
                <w14:lumMod w14:val="85000"/>
                <w14:lumOff w14:val="15000"/>
              </w14:schemeClr>
            </w14:solidFill>
          </w14:textFill>
        </w:rPr>
      </w:pPr>
      <w:r>
        <w:rPr>
          <w:rFonts w:hint="eastAsia" w:cs="宋体"/>
          <w:color w:val="262626" w:themeColor="text1" w:themeTint="D9"/>
          <w:lang w:val="en-US"/>
          <w14:textFill>
            <w14:solidFill>
              <w14:schemeClr w14:val="tx1">
                <w14:lumMod w14:val="85000"/>
                <w14:lumOff w14:val="15000"/>
              </w14:schemeClr>
            </w14:solidFill>
          </w14:textFill>
        </w:rPr>
        <mc:AlternateContent>
          <mc:Choice Requires="wps">
            <w:drawing>
              <wp:anchor distT="0" distB="0" distL="114300" distR="114300" simplePos="0" relativeHeight="251664384" behindDoc="0" locked="0" layoutInCell="1" allowOverlap="1">
                <wp:simplePos x="0" y="0"/>
                <wp:positionH relativeFrom="column">
                  <wp:posOffset>2668905</wp:posOffset>
                </wp:positionH>
                <wp:positionV relativeFrom="paragraph">
                  <wp:posOffset>221615</wp:posOffset>
                </wp:positionV>
                <wp:extent cx="7620" cy="207645"/>
                <wp:effectExtent l="49530" t="12065" r="57150" b="18415"/>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7620" cy="2076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15pt;margin-top:17.45pt;height:16.35pt;width:0.6pt;z-index:251664384;mso-width-relative:page;mso-height-relative:page;" filled="f" stroked="t" coordsize="21600,21600" o:gfxdata="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j6DdNoAAAAJAQAA&#10;DwAAAAAAAAABACAAAAAiAAAAZHJzL2Rvd25yZXYueG1sUEsBAhQAFAAAAAgAh07iQIPLuW4XAgAA&#10;/AMAAA4AAAAAAAAAAQAgAAAAKQEAAGRycy9lMm9Eb2MueG1sUEsFBgAAAAAGAAYAWQEAALIFAAAA&#10;AA==&#10;">
                <v:fill on="f" focussize="0,0"/>
                <v:stroke color="#000000" joinstyle="round" endarrow="block"/>
                <v:imagedata o:title=""/>
                <o:lock v:ext="edit" aspectratio="f"/>
              </v:shape>
            </w:pict>
          </mc:Fallback>
        </mc:AlternateContent>
      </w:r>
    </w:p>
    <w:p>
      <w:pPr>
        <w:pStyle w:val="8"/>
        <w:spacing w:before="156" w:beforeAutospacing="0" w:after="156" w:afterAutospacing="0" w:line="360" w:lineRule="auto"/>
        <w:rPr>
          <w:rFonts w:cs="宋体"/>
          <w:color w:val="262626" w:themeColor="text1" w:themeTint="D9"/>
          <w14:textFill>
            <w14:solidFill>
              <w14:schemeClr w14:val="tx1">
                <w14:lumMod w14:val="85000"/>
                <w14:lumOff w14:val="15000"/>
              </w14:schemeClr>
            </w14:solidFill>
          </w14:textFill>
        </w:rPr>
      </w:pPr>
      <w:r>
        <w:rPr>
          <w:rFonts w:hint="eastAsia" w:cs="宋体"/>
          <w:color w:val="262626" w:themeColor="text1" w:themeTint="D9"/>
          <w:lang w:val="en-US"/>
          <w14:textFill>
            <w14:solidFill>
              <w14:schemeClr w14:val="tx1">
                <w14:lumMod w14:val="85000"/>
                <w14:lumOff w14:val="15000"/>
              </w14:schemeClr>
            </w14:solidFill>
          </w14:textFill>
        </w:rPr>
        <mc:AlternateContent>
          <mc:Choice Requires="wps">
            <w:drawing>
              <wp:anchor distT="0" distB="0" distL="114300" distR="114300" simplePos="0" relativeHeight="251661312" behindDoc="0" locked="0" layoutInCell="1" allowOverlap="1">
                <wp:simplePos x="0" y="0"/>
                <wp:positionH relativeFrom="column">
                  <wp:posOffset>2075180</wp:posOffset>
                </wp:positionH>
                <wp:positionV relativeFrom="paragraph">
                  <wp:posOffset>132080</wp:posOffset>
                </wp:positionV>
                <wp:extent cx="1148715" cy="299085"/>
                <wp:effectExtent l="6985" t="8890" r="6350" b="635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8715" cy="299085"/>
                        </a:xfrm>
                        <a:prstGeom prst="rect">
                          <a:avLst/>
                        </a:prstGeom>
                        <a:solidFill>
                          <a:srgbClr val="FFFFFF"/>
                        </a:solidFill>
                        <a:ln w="9525">
                          <a:solidFill>
                            <a:srgbClr val="000000"/>
                          </a:solidFill>
                          <a:miter lim="800000"/>
                        </a:ln>
                      </wps:spPr>
                      <wps:txbx>
                        <w:txbxContent>
                          <w:p>
                            <w:pPr>
                              <w:jc w:val="center"/>
                              <w:rPr>
                                <w:rFonts w:ascii="楷体_GB2312" w:eastAsia="楷体_GB2312"/>
                              </w:rPr>
                            </w:pPr>
                            <w:r>
                              <w:rPr>
                                <w:rFonts w:hint="eastAsia" w:ascii="楷体_GB2312" w:eastAsia="楷体_GB2312"/>
                              </w:rPr>
                              <w:t>应急小组</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63.4pt;margin-top:10.4pt;height:23.55pt;width:90.45pt;z-index:251661312;mso-width-relative:page;mso-height-relative:margin;mso-height-percent:200;" fillcolor="#FFFFFF" filled="t" stroked="t" coordsize="21600,21600" o:gfxdata="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8pIX1wAAAAkBAAAPAAAAAAAAAAEAIAAAACIAAABk&#10;cnMvZG93bnJldi54bWxQSwECFAAUAAAACACHTuJA4Ko30UACAACHBAAADgAAAAAAAAABACAAAAAm&#10;AQAAZHJzL2Uyb0RvYy54bWxQSwUGAAAAAAYABgBZAQAA2AUAAAAA&#10;">
                <v:fill on="t" focussize="0,0"/>
                <v:stroke color="#000000" miterlimit="8" joinstyle="miter"/>
                <v:imagedata o:title=""/>
                <o:lock v:ext="edit" aspectratio="f"/>
                <v:textbox style="mso-fit-shape-to-text:t;">
                  <w:txbxContent>
                    <w:p>
                      <w:pPr>
                        <w:jc w:val="center"/>
                        <w:rPr>
                          <w:rFonts w:ascii="楷体_GB2312" w:eastAsia="楷体_GB2312"/>
                        </w:rPr>
                      </w:pPr>
                      <w:r>
                        <w:rPr>
                          <w:rFonts w:hint="eastAsia" w:ascii="楷体_GB2312" w:eastAsia="楷体_GB2312"/>
                        </w:rPr>
                        <w:t>应急小组</w:t>
                      </w:r>
                    </w:p>
                  </w:txbxContent>
                </v:textbox>
              </v:shape>
            </w:pict>
          </mc:Fallback>
        </mc:AlternateContent>
      </w:r>
    </w:p>
    <w:p>
      <w:pPr>
        <w:pStyle w:val="8"/>
        <w:spacing w:before="156" w:beforeAutospacing="0" w:after="156" w:afterAutospacing="0" w:line="360" w:lineRule="auto"/>
        <w:rPr>
          <w:rFonts w:cs="宋体"/>
          <w:color w:val="262626" w:themeColor="text1" w:themeTint="D9"/>
          <w14:textFill>
            <w14:solidFill>
              <w14:schemeClr w14:val="tx1">
                <w14:lumMod w14:val="85000"/>
                <w14:lumOff w14:val="15000"/>
              </w14:schemeClr>
            </w14:solidFill>
          </w14:textFill>
        </w:rPr>
      </w:pP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bookmarkStart w:id="36" w:name="_Toc384113208"/>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(2)职责</w:t>
      </w:r>
      <w:bookmarkEnd w:id="36"/>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w:t>
      </w:r>
    </w:p>
    <w:p>
      <w:pPr>
        <w:spacing w:line="360" w:lineRule="auto"/>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bookmarkStart w:id="37" w:name="_Toc383758594"/>
      <w:bookmarkStart w:id="38" w:name="_Toc307921610"/>
      <w:bookmarkStart w:id="39" w:name="_Toc384113209"/>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总指挥</w:t>
      </w:r>
      <w:bookmarkEnd w:id="37"/>
      <w:bookmarkEnd w:id="38"/>
      <w:bookmarkEnd w:id="39"/>
    </w:p>
    <w:p>
      <w:pPr>
        <w:pStyle w:val="40"/>
        <w:numPr>
          <w:ilvl w:val="0"/>
          <w:numId w:val="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受政府主管部门应急管理机构的领导；</w:t>
      </w:r>
    </w:p>
    <w:p>
      <w:pPr>
        <w:pStyle w:val="40"/>
        <w:numPr>
          <w:ilvl w:val="0"/>
          <w:numId w:val="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定专项预案；</w:t>
      </w:r>
    </w:p>
    <w:p>
      <w:pPr>
        <w:pStyle w:val="40"/>
        <w:numPr>
          <w:ilvl w:val="0"/>
          <w:numId w:val="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达预警、预警解除、应急预案启动和应急响应终止指令；</w:t>
      </w:r>
    </w:p>
    <w:p>
      <w:pPr>
        <w:pStyle w:val="40"/>
        <w:numPr>
          <w:ilvl w:val="0"/>
          <w:numId w:val="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对事态发展决定是否启动应急预案；</w:t>
      </w:r>
    </w:p>
    <w:p>
      <w:pPr>
        <w:pStyle w:val="40"/>
        <w:numPr>
          <w:ilvl w:val="0"/>
          <w:numId w:val="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定对外信息发布人员，审批信息发布材料；</w:t>
      </w:r>
    </w:p>
    <w:p>
      <w:pPr>
        <w:pStyle w:val="40"/>
        <w:numPr>
          <w:ilvl w:val="0"/>
          <w:numId w:val="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合政府主管部门及相关部门的应急工作；</w:t>
      </w:r>
    </w:p>
    <w:p>
      <w:pPr>
        <w:pStyle w:val="40"/>
        <w:numPr>
          <w:ilvl w:val="0"/>
          <w:numId w:val="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定向政府主管部门的应急工作报告等。</w:t>
      </w:r>
    </w:p>
    <w:p>
      <w:pPr>
        <w:spacing w:line="360" w:lineRule="auto"/>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bookmarkStart w:id="40" w:name="_Toc384113211"/>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现场指挥</w:t>
      </w:r>
    </w:p>
    <w:p>
      <w:pPr>
        <w:spacing w:line="360" w:lineRule="auto"/>
        <w:ind w:firstLine="307" w:firstLineChars="128"/>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协助总指挥负责具体的应急指挥工作</w:t>
      </w:r>
    </w:p>
    <w:p>
      <w:pPr>
        <w:spacing w:line="360" w:lineRule="auto"/>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应急小组</w:t>
      </w:r>
      <w:bookmarkEnd w:id="40"/>
    </w:p>
    <w:p>
      <w:pPr>
        <w:spacing w:line="360" w:lineRule="auto"/>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成立应急小组，负责应急抢险、通信联络、物资保障、应急疏散等应急工作。</w:t>
      </w:r>
    </w:p>
    <w:p>
      <w:pPr>
        <w:pStyle w:val="40"/>
        <w:numPr>
          <w:ilvl w:val="0"/>
          <w:numId w:val="9"/>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急抢险人员：——</w:t>
      </w:r>
    </w:p>
    <w:p>
      <w:pPr>
        <w:spacing w:line="360" w:lineRule="auto"/>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人员职责：负责现场人员救援、伤员撤离工作</w:t>
      </w:r>
    </w:p>
    <w:p>
      <w:pPr>
        <w:pStyle w:val="40"/>
        <w:numPr>
          <w:ilvl w:val="0"/>
          <w:numId w:val="9"/>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通信联络人员：——</w:t>
      </w:r>
    </w:p>
    <w:p>
      <w:pPr>
        <w:spacing w:line="360" w:lineRule="auto"/>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人员职责：负责事故报警、事故现场对内和对外通讯联系</w:t>
      </w:r>
    </w:p>
    <w:p>
      <w:pPr>
        <w:pStyle w:val="40"/>
        <w:numPr>
          <w:ilvl w:val="0"/>
          <w:numId w:val="9"/>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物资保障人员：——</w:t>
      </w:r>
    </w:p>
    <w:p>
      <w:pPr>
        <w:spacing w:line="360" w:lineRule="auto"/>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人员职责：负责警戒、救援物资保障等工作</w:t>
      </w:r>
    </w:p>
    <w:p>
      <w:pPr>
        <w:pStyle w:val="40"/>
        <w:numPr>
          <w:ilvl w:val="0"/>
          <w:numId w:val="9"/>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应急疏散人员：——</w:t>
      </w:r>
    </w:p>
    <w:p>
      <w:pPr>
        <w:spacing w:line="360" w:lineRule="auto"/>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人员职责：负责现场人员疏散工作</w:t>
      </w:r>
    </w:p>
    <w:p>
      <w:pPr>
        <w:pStyle w:val="40"/>
        <w:numPr>
          <w:ilvl w:val="0"/>
          <w:numId w:val="9"/>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医疗救护人员：——</w:t>
      </w:r>
    </w:p>
    <w:p>
      <w:pPr>
        <w:spacing w:line="360" w:lineRule="auto"/>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职责：负责受伤人员前期救治</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（五）预防与预警</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(1)危险源监控</w:t>
      </w:r>
    </w:p>
    <w:p>
      <w:pPr>
        <w:pStyle w:val="40"/>
        <w:numPr>
          <w:ilvl w:val="0"/>
          <w:numId w:val="10"/>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建立安全管理制度汇编，落实监控措施。</w:t>
      </w:r>
    </w:p>
    <w:p>
      <w:pPr>
        <w:pStyle w:val="40"/>
        <w:numPr>
          <w:ilvl w:val="0"/>
          <w:numId w:val="10"/>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强化安全意识，严格安全管理，落实作业审批制度。</w:t>
      </w:r>
    </w:p>
    <w:p>
      <w:pPr>
        <w:pStyle w:val="40"/>
        <w:numPr>
          <w:ilvl w:val="0"/>
          <w:numId w:val="10"/>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主管安全负责人和从业人员积极参加安全监督管理部门组织的安全资格人员考试，并考核合格，取得安全主要负责人及安全管理人员资格证书，持证上岗。</w:t>
      </w:r>
    </w:p>
    <w:p>
      <w:pPr>
        <w:pStyle w:val="40"/>
        <w:numPr>
          <w:ilvl w:val="0"/>
          <w:numId w:val="10"/>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有限空间监护人员和作业人员持证上岗。</w:t>
      </w:r>
    </w:p>
    <w:p>
      <w:pPr>
        <w:pStyle w:val="40"/>
        <w:numPr>
          <w:ilvl w:val="0"/>
          <w:numId w:val="10"/>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kern w:val="0"/>
          <w:sz w:val="24"/>
          <w:szCs w:val="24"/>
          <w14:textFill>
            <w14:solidFill>
              <w14:schemeClr w14:val="tx1">
                <w14:lumMod w14:val="85000"/>
                <w14:lumOff w14:val="15000"/>
              </w14:schemeClr>
            </w14:solidFill>
          </w14:textFill>
        </w:rPr>
        <w:t>制定可靠有效的有限空间事故应急预案，并每年至少开展一次应急演练，</w:t>
      </w:r>
      <w:r>
        <w:rPr>
          <w:rFonts w:hint="eastAsia" w:ascii="宋体" w:hAnsi="宋体" w:cs="宋体"/>
          <w:color w:val="262626" w:themeColor="text1" w:themeTint="D9"/>
          <w:sz w:val="24"/>
          <w:szCs w:val="24"/>
          <w14:textFill>
            <w14:solidFill>
              <w14:schemeClr w14:val="tx1">
                <w14:lumMod w14:val="85000"/>
                <w14:lumOff w14:val="15000"/>
              </w14:schemeClr>
            </w14:solidFill>
          </w14:textFill>
        </w:rPr>
        <w:t>有限空间作业的现场负责人、监护人员、作业人员和应急救援人员应当掌握相关应急预案内容，定期进行演练，</w:t>
      </w:r>
      <w:r>
        <w:rPr>
          <w:rFonts w:hint="eastAsia" w:ascii="宋体" w:hAnsi="宋体" w:cs="宋体"/>
          <w:color w:val="262626" w:themeColor="text1" w:themeTint="D9"/>
          <w:kern w:val="0"/>
          <w:sz w:val="24"/>
          <w:szCs w:val="24"/>
          <w14:textFill>
            <w14:solidFill>
              <w14:schemeClr w14:val="tx1">
                <w14:lumMod w14:val="85000"/>
                <w14:lumOff w14:val="15000"/>
              </w14:schemeClr>
            </w14:solidFill>
          </w14:textFill>
        </w:rPr>
        <w:t>提高应急处置能力。</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(2)预警行动</w:t>
      </w:r>
    </w:p>
    <w:p>
      <w:pPr>
        <w:spacing w:line="360" w:lineRule="auto"/>
        <w:ind w:firstLine="460" w:firstLineChars="19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现场指挥接到可能导致事故的信息后，立即报告总指挥，并通知有关部门采取有效措施预防事故发生；当认为有可能超出本级处置能力时，要及时向经营场所主管单位报告。一旦预警事故可能影响周边社区，应开展周边社区人员的危险警示工作。</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（六）信息报告程序</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(1)报警</w:t>
      </w:r>
    </w:p>
    <w:p>
      <w:pPr>
        <w:spacing w:line="360" w:lineRule="auto"/>
        <w:ind w:firstLine="424" w:firstLineChars="177"/>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事故发生后，发现者立即报告现场指挥，并</w:t>
      </w: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拨打救护电话，报告事故地点，事故类型、事故大小、发生时间，明示行车路线，并派专人到路口迎接救护车辆，</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火灾报警电话：119；伤亡报警电话：999、120。</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公司24小时报警电话：010-xxxxxxx。</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报警同时，应立即组织现场人员有序疏散</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(2)接警处置</w:t>
      </w:r>
    </w:p>
    <w:p>
      <w:pPr>
        <w:spacing w:line="360" w:lineRule="auto"/>
        <w:ind w:firstLine="424" w:firstLineChars="177"/>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现场指挥接到事故报告后，应当立即启动应急预案，或者采取有效措施，组织抢救，防止事故扩大，减少人员伤亡和财产损失。其他职工应按照各自分工迅速进入岗位，履行职责。</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(3)报告事故内容</w:t>
      </w:r>
    </w:p>
    <w:p>
      <w:pPr>
        <w:spacing w:line="360" w:lineRule="auto"/>
        <w:ind w:firstLine="424" w:firstLineChars="177"/>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总指挥应在接到事故报告后1小时内向上级负有安全生产监督管理职责的有关部门报告。报告事故应当包括下列内容：</w:t>
      </w:r>
    </w:p>
    <w:p>
      <w:pPr>
        <w:pStyle w:val="40"/>
        <w:widowControl/>
        <w:numPr>
          <w:ilvl w:val="0"/>
          <w:numId w:val="11"/>
        </w:numPr>
        <w:spacing w:line="360" w:lineRule="auto"/>
        <w:ind w:firstLineChars="0"/>
        <w:jc w:val="left"/>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事故发生单位概况；</w:t>
      </w:r>
    </w:p>
    <w:p>
      <w:pPr>
        <w:pStyle w:val="40"/>
        <w:widowControl/>
        <w:numPr>
          <w:ilvl w:val="0"/>
          <w:numId w:val="11"/>
        </w:numPr>
        <w:spacing w:line="360" w:lineRule="auto"/>
        <w:ind w:firstLineChars="0"/>
        <w:jc w:val="left"/>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事故发生的时间、地点以及事故现场情况；</w:t>
      </w:r>
    </w:p>
    <w:p>
      <w:pPr>
        <w:pStyle w:val="40"/>
        <w:widowControl/>
        <w:numPr>
          <w:ilvl w:val="0"/>
          <w:numId w:val="11"/>
        </w:numPr>
        <w:spacing w:line="360" w:lineRule="auto"/>
        <w:ind w:firstLineChars="0"/>
        <w:jc w:val="left"/>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事故的简要经过；</w:t>
      </w:r>
    </w:p>
    <w:p>
      <w:pPr>
        <w:pStyle w:val="40"/>
        <w:widowControl/>
        <w:numPr>
          <w:ilvl w:val="0"/>
          <w:numId w:val="11"/>
        </w:numPr>
        <w:spacing w:line="360" w:lineRule="auto"/>
        <w:ind w:firstLineChars="0"/>
        <w:jc w:val="left"/>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事故已经造成或者可能造成的伤亡人数（包括下落不明的人数）和初步估计的直接经济损失；</w:t>
      </w:r>
    </w:p>
    <w:p>
      <w:pPr>
        <w:pStyle w:val="40"/>
        <w:widowControl/>
        <w:numPr>
          <w:ilvl w:val="0"/>
          <w:numId w:val="11"/>
        </w:numPr>
        <w:spacing w:line="360" w:lineRule="auto"/>
        <w:ind w:firstLineChars="0"/>
        <w:jc w:val="left"/>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已经采取的措施；</w:t>
      </w:r>
    </w:p>
    <w:p>
      <w:pPr>
        <w:pStyle w:val="40"/>
        <w:widowControl/>
        <w:numPr>
          <w:ilvl w:val="0"/>
          <w:numId w:val="11"/>
        </w:numPr>
        <w:spacing w:line="360" w:lineRule="auto"/>
        <w:ind w:firstLineChars="0"/>
        <w:jc w:val="left"/>
        <w:rPr>
          <w:rFonts w:ascii="宋体" w:hAnsi="宋体" w:cs="宋体"/>
          <w:color w:val="262626" w:themeColor="text1" w:themeTint="D9"/>
          <w:kern w:val="0"/>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kern w:val="0"/>
          <w:sz w:val="24"/>
          <w:szCs w:val="24"/>
          <w14:textFill>
            <w14:solidFill>
              <w14:schemeClr w14:val="tx1">
                <w14:lumMod w14:val="85000"/>
                <w14:lumOff w14:val="15000"/>
              </w14:schemeClr>
            </w14:solidFill>
          </w14:textFill>
        </w:rPr>
        <w:t>其他应当报告的情况。</w:t>
      </w:r>
    </w:p>
    <w:p>
      <w:pPr>
        <w:spacing w:line="360" w:lineRule="auto"/>
        <w:ind w:firstLine="424" w:firstLineChars="177"/>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市安监局联系电话: 010-</w:t>
      </w:r>
    </w:p>
    <w:p>
      <w:pPr>
        <w:spacing w:line="360" w:lineRule="auto"/>
        <w:ind w:firstLine="424" w:firstLineChars="177"/>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区安监局联系电话: 010-xxxxxxx</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（七）处置程序</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(1)响应分级</w:t>
      </w:r>
    </w:p>
    <w:p>
      <w:pPr>
        <w:widowControl/>
        <w:ind w:firstLine="480" w:firstLineChars="2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根据事故发生严重程度及影响范围，本公司应急响应分为内部、外部响应：</w:t>
      </w:r>
    </w:p>
    <w:p>
      <w:pPr>
        <w:pStyle w:val="40"/>
        <w:numPr>
          <w:ilvl w:val="0"/>
          <w:numId w:val="12"/>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内部响应：监护人员立即报告</w:t>
      </w: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作业负责人。作业负责人启动现场处置方案进行应急处置、资源调配；监护人员立即开展现场救援。</w:t>
      </w:r>
    </w:p>
    <w:p>
      <w:pPr>
        <w:pStyle w:val="40"/>
        <w:widowControl/>
        <w:numPr>
          <w:ilvl w:val="0"/>
          <w:numId w:val="12"/>
        </w:numPr>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外部响应：发生超出本单位应急处置能力时，由总指挥负责启动救援，由各救援小组按职责分工实施救援，由总指挥确定是否请求社会救援。</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(2)响应程序</w:t>
      </w:r>
    </w:p>
    <w:p>
      <w:pPr>
        <w:pStyle w:val="40"/>
        <w:numPr>
          <w:ilvl w:val="0"/>
          <w:numId w:val="13"/>
        </w:numPr>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有限空间作业中发生事故后，现场有关人员应当立即报警，禁止盲目施救。</w:t>
      </w:r>
    </w:p>
    <w:p>
      <w:pPr>
        <w:pStyle w:val="40"/>
        <w:numPr>
          <w:ilvl w:val="0"/>
          <w:numId w:val="13"/>
        </w:numPr>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应急救援人员实施救援时，应当做好自身防护，佩戴必要的呼吸器具、救援器材。</w:t>
      </w:r>
    </w:p>
    <w:p>
      <w:pPr>
        <w:pStyle w:val="40"/>
        <w:numPr>
          <w:ilvl w:val="0"/>
          <w:numId w:val="13"/>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进入作业场所前，详细了解现场情况，对作业现场进行危害评估，并有针对性的做好检测和防护。</w:t>
      </w:r>
    </w:p>
    <w:p>
      <w:pPr>
        <w:pStyle w:val="40"/>
        <w:numPr>
          <w:ilvl w:val="0"/>
          <w:numId w:val="13"/>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对于作业面可能存在的电、高温、有害物质进行有效隔离。</w:t>
      </w:r>
    </w:p>
    <w:p>
      <w:pPr>
        <w:pStyle w:val="40"/>
        <w:numPr>
          <w:ilvl w:val="0"/>
          <w:numId w:val="13"/>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采取通风净化措施，使有限空间工作条件符合要求。</w:t>
      </w:r>
    </w:p>
    <w:p>
      <w:pPr>
        <w:ind w:firstLine="484" w:firstLineChars="202"/>
        <w:rPr>
          <w:rFonts w:ascii="宋体" w:hAnsi="宋体" w:eastAsia="宋体" w:cs="宋体"/>
          <w:color w:val="262626" w:themeColor="text1" w:themeTint="D9"/>
          <w:sz w:val="24"/>
          <w:szCs w:val="24"/>
          <w14:textFill>
            <w14:solidFill>
              <w14:schemeClr w14:val="tx1">
                <w14:lumMod w14:val="85000"/>
                <w14:lumOff w14:val="15000"/>
              </w14:schemeClr>
            </w14:solidFill>
          </w14:textFill>
        </w:rPr>
      </w:pPr>
      <w:bookmarkStart w:id="41" w:name="_Toc296287849"/>
      <w:bookmarkStart w:id="42" w:name="_Toc275173961"/>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事故信息处置</w:t>
      </w:r>
      <w:bookmarkEnd w:id="41"/>
      <w:bookmarkEnd w:id="42"/>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：做好事故信息处置，准确、及时提供和采集信息，为应急指挥人员提供决策依据，为现场抢险队伍提供救援支持，保障应急行动有效。</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(3)处置措施</w:t>
      </w:r>
    </w:p>
    <w:p>
      <w:pPr>
        <w:pStyle w:val="40"/>
        <w:numPr>
          <w:ilvl w:val="0"/>
          <w:numId w:val="14"/>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中毒急救：由呼吸道中毒时，应迅速撤离现场，到新鲜空气流通的地方</w:t>
      </w:r>
    </w:p>
    <w:p>
      <w:pPr>
        <w:pStyle w:val="40"/>
        <w:numPr>
          <w:ilvl w:val="0"/>
          <w:numId w:val="14"/>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经口服中毒者，立即洗胃，并用催吐剂促其将食物排除；经皮肤吸中毒者，必须用大量清洁自来水洗涤；眼耳鼻喉损害，引起各种刺激症状者，视症状轻重，先用清水冲洗，然后由专科医生处理。</w:t>
      </w:r>
    </w:p>
    <w:p>
      <w:pPr>
        <w:pStyle w:val="40"/>
        <w:numPr>
          <w:ilvl w:val="0"/>
          <w:numId w:val="14"/>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缺氧窒息：</w:t>
      </w:r>
      <w:r>
        <w:rPr>
          <w:rFonts w:hint="eastAsia" w:ascii="宋体" w:hAnsi="宋体" w:cs="宋体"/>
          <w:color w:val="262626" w:themeColor="text1" w:themeTint="D9"/>
          <w:sz w:val="24"/>
          <w:szCs w:val="24"/>
          <w14:textFill>
            <w14:solidFill>
              <w14:schemeClr w14:val="tx1">
                <w14:lumMod w14:val="85000"/>
                <w14:lumOff w14:val="15000"/>
              </w14:schemeClr>
            </w14:solidFill>
          </w14:textFill>
        </w:rPr>
        <w:t>当发现缺氧危险时，必须立即停止作业，让作业人员迅速离开作业现场</w:t>
      </w: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将窒息者移至有新鲜空气的通风处，视情况对窒息者输氧或进行人工呼吸，必要时交医生处理，</w:t>
      </w:r>
      <w:r>
        <w:rPr>
          <w:rFonts w:hint="eastAsia" w:ascii="宋体" w:hAnsi="宋体" w:cs="宋体"/>
          <w:color w:val="262626" w:themeColor="text1" w:themeTint="D9"/>
          <w:sz w:val="24"/>
          <w:szCs w:val="24"/>
          <w14:textFill>
            <w14:solidFill>
              <w14:schemeClr w14:val="tx1">
                <w14:lumMod w14:val="85000"/>
                <w14:lumOff w14:val="15000"/>
              </w14:schemeClr>
            </w14:solidFill>
          </w14:textFill>
        </w:rPr>
        <w:t>作业人员和抢救人员必须立即使用隔离式呼吸保护器具。</w:t>
      </w:r>
    </w:p>
    <w:p>
      <w:pPr>
        <w:pStyle w:val="40"/>
        <w:numPr>
          <w:ilvl w:val="0"/>
          <w:numId w:val="14"/>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事故现场人员清点，撤离：</w:t>
      </w:r>
      <w:r>
        <w:rPr>
          <w:rFonts w:hint="eastAsia" w:ascii="宋体" w:hAnsi="宋体" w:cs="宋体"/>
          <w:color w:val="262626" w:themeColor="text1" w:themeTint="D9"/>
          <w:sz w:val="24"/>
          <w:szCs w:val="24"/>
          <w14:textFill>
            <w14:solidFill>
              <w14:schemeClr w14:val="tx1">
                <w14:lumMod w14:val="85000"/>
                <w14:lumOff w14:val="15000"/>
              </w14:schemeClr>
            </w14:solidFill>
          </w14:textFill>
        </w:rPr>
        <w:t>监护人员负责组织现场人员撤离至安全区，现场负责人对事故现场进行排查确认所有人员全部撤离后方可撤离；并及时向总指挥汇报；</w:t>
      </w:r>
    </w:p>
    <w:p>
      <w:pPr>
        <w:pStyle w:val="40"/>
        <w:numPr>
          <w:ilvl w:val="0"/>
          <w:numId w:val="14"/>
        </w:numPr>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 xml:space="preserve">非事故现场人员的紧急疏散：应急疏散小组负责指挥并引导疏散人员按规定的路线向安全区域进行疏散，疏散完毕后对疏散区域进行核查； </w:t>
      </w:r>
    </w:p>
    <w:p>
      <w:pPr>
        <w:pStyle w:val="40"/>
        <w:numPr>
          <w:ilvl w:val="0"/>
          <w:numId w:val="14"/>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危险区域的隔离（隔离方法可根据单位具体情况描述）：救援人员用围挡设施对事故现场进行隔离，救援者佩戴正压式呼吸器防护用品及安全绳、安全带等器材进入隔离区域；</w:t>
      </w:r>
    </w:p>
    <w:p>
      <w:pPr>
        <w:pStyle w:val="40"/>
        <w:numPr>
          <w:ilvl w:val="0"/>
          <w:numId w:val="14"/>
        </w:numPr>
        <w:ind w:firstLineChars="0"/>
        <w:rPr>
          <w:rFonts w:ascii="宋体" w:hAnsi="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bCs/>
          <w:color w:val="262626" w:themeColor="text1" w:themeTint="D9"/>
          <w:sz w:val="24"/>
          <w:szCs w:val="24"/>
          <w14:textFill>
            <w14:solidFill>
              <w14:schemeClr w14:val="tx1">
                <w14:lumMod w14:val="85000"/>
                <w14:lumOff w14:val="15000"/>
              </w14:schemeClr>
            </w14:solidFill>
          </w14:textFill>
        </w:rPr>
        <w:t>附  件：</w:t>
      </w:r>
    </w:p>
    <w:p>
      <w:pPr>
        <w:pStyle w:val="7"/>
        <w:spacing w:before="156" w:after="156"/>
        <w:ind w:firstLine="48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24 小时值班电话：xxxx</w:t>
      </w:r>
    </w:p>
    <w:p>
      <w:pPr>
        <w:pStyle w:val="7"/>
        <w:spacing w:before="156" w:after="156"/>
        <w:ind w:firstLine="48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应急有关人员联系电话</w:t>
      </w:r>
    </w:p>
    <w:tbl>
      <w:tblPr>
        <w:tblStyle w:val="17"/>
        <w:tblpPr w:leftFromText="180" w:rightFromText="180" w:vertAnchor="text" w:horzAnchor="margin" w:tblpY="26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2541"/>
        <w:gridCol w:w="2093"/>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14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姓名</w:t>
            </w:r>
          </w:p>
        </w:tc>
        <w:tc>
          <w:tcPr>
            <w:tcW w:w="25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部门</w:t>
            </w:r>
          </w:p>
        </w:tc>
        <w:tc>
          <w:tcPr>
            <w:tcW w:w="20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应急职务</w:t>
            </w:r>
          </w:p>
        </w:tc>
        <w:tc>
          <w:tcPr>
            <w:tcW w:w="23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149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41"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总指挥</w:t>
            </w:r>
          </w:p>
        </w:tc>
        <w:tc>
          <w:tcPr>
            <w:tcW w:w="23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149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41"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现场指挥</w:t>
            </w:r>
          </w:p>
        </w:tc>
        <w:tc>
          <w:tcPr>
            <w:tcW w:w="23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149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41"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应急小组</w:t>
            </w:r>
          </w:p>
        </w:tc>
        <w:tc>
          <w:tcPr>
            <w:tcW w:w="23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149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41"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3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bl>
    <w:p>
      <w:pPr>
        <w:pStyle w:val="7"/>
        <w:spacing w:before="156" w:after="156"/>
        <w:ind w:firstLine="480"/>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p>
    <w:p>
      <w:pPr>
        <w:pStyle w:val="7"/>
        <w:spacing w:before="156" w:after="156"/>
        <w:ind w:firstLine="48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外部救援单位联系电话 </w:t>
      </w:r>
    </w:p>
    <w:p>
      <w:pPr>
        <w:pStyle w:val="7"/>
        <w:spacing w:before="156" w:after="156"/>
        <w:ind w:firstLine="480"/>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安监局:；</w:t>
      </w:r>
    </w:p>
    <w:p>
      <w:pPr>
        <w:pStyle w:val="7"/>
        <w:spacing w:before="156" w:after="156"/>
        <w:ind w:firstLine="480"/>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消防：119 ；</w:t>
      </w:r>
    </w:p>
    <w:p>
      <w:pPr>
        <w:pStyle w:val="7"/>
        <w:spacing w:before="156" w:after="156"/>
        <w:ind w:firstLine="480"/>
        <w:rPr>
          <w:rFonts w:ascii="宋体" w:hAnsi="宋体" w:eastAsia="宋体" w:cs="宋体"/>
          <w:bCs/>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Cs/>
          <w:color w:val="262626" w:themeColor="text1" w:themeTint="D9"/>
          <w:sz w:val="24"/>
          <w:szCs w:val="24"/>
          <w14:textFill>
            <w14:solidFill>
              <w14:schemeClr w14:val="tx1">
                <w14:lumMod w14:val="85000"/>
                <w14:lumOff w14:val="15000"/>
              </w14:schemeClr>
            </w14:solidFill>
          </w14:textFill>
        </w:rPr>
        <w:t>医疗急救：120 。</w:t>
      </w: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p>
    <w:p>
      <w:pPr>
        <w:pStyle w:val="16"/>
        <w:shd w:val="clear" w:color="auto" w:fill="FFFFFF"/>
        <w:spacing w:before="0" w:beforeAutospacing="0" w:after="0" w:afterAutospacing="0" w:line="360" w:lineRule="auto"/>
        <w:rPr>
          <w:color w:val="262626" w:themeColor="text1" w:themeTint="D9"/>
          <w14:textFill>
            <w14:solidFill>
              <w14:schemeClr w14:val="tx1">
                <w14:lumMod w14:val="85000"/>
                <w14:lumOff w14:val="15000"/>
              </w14:schemeClr>
            </w14:solidFill>
          </w14:textFill>
        </w:rPr>
      </w:pPr>
      <w:r>
        <w:rPr>
          <w:rFonts w:hint="eastAsia"/>
          <w:color w:val="262626" w:themeColor="text1" w:themeTint="D9"/>
          <w:spacing w:val="-12"/>
          <w14:textFill>
            <w14:solidFill>
              <w14:schemeClr w14:val="tx1">
                <w14:lumMod w14:val="85000"/>
                <w14:lumOff w14:val="15000"/>
              </w14:schemeClr>
            </w14:solidFill>
          </w14:textFill>
        </w:rPr>
        <w:t>（八）</w:t>
      </w:r>
      <w:r>
        <w:rPr>
          <w:rFonts w:hint="eastAsia"/>
          <w:color w:val="262626" w:themeColor="text1" w:themeTint="D9"/>
          <w14:textFill>
            <w14:solidFill>
              <w14:schemeClr w14:val="tx1">
                <w14:lumMod w14:val="85000"/>
                <w14:lumOff w14:val="15000"/>
              </w14:schemeClr>
            </w14:solidFill>
          </w14:textFill>
        </w:rPr>
        <w:t>应急物资与装备保障</w:t>
      </w:r>
    </w:p>
    <w:tbl>
      <w:tblPr>
        <w:tblStyle w:val="17"/>
        <w:tblW w:w="9483"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296"/>
        <w:gridCol w:w="2148"/>
        <w:gridCol w:w="2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pStyle w:val="16"/>
              <w:spacing w:before="0" w:beforeAutospacing="0" w:after="0" w:afterAutospacing="0"/>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序号</w:t>
            </w:r>
          </w:p>
        </w:tc>
        <w:tc>
          <w:tcPr>
            <w:tcW w:w="4296" w:type="dxa"/>
          </w:tcPr>
          <w:p>
            <w:pPr>
              <w:pStyle w:val="16"/>
              <w:spacing w:before="0" w:beforeAutospacing="0" w:after="0" w:afterAutospacing="0"/>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设备</w:t>
            </w:r>
          </w:p>
        </w:tc>
        <w:tc>
          <w:tcPr>
            <w:tcW w:w="2148" w:type="dxa"/>
          </w:tcPr>
          <w:p>
            <w:pPr>
              <w:pStyle w:val="16"/>
              <w:spacing w:before="0" w:beforeAutospacing="0" w:after="0" w:afterAutospacing="0"/>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负责人</w:t>
            </w:r>
          </w:p>
        </w:tc>
        <w:tc>
          <w:tcPr>
            <w:tcW w:w="2080" w:type="dxa"/>
          </w:tcPr>
          <w:p>
            <w:pPr>
              <w:pStyle w:val="16"/>
              <w:spacing w:before="0" w:beforeAutospacing="0" w:after="0" w:afterAutospacing="0"/>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1</w:t>
            </w:r>
          </w:p>
        </w:tc>
        <w:tc>
          <w:tcPr>
            <w:tcW w:w="4296"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bCs/>
                <w:color w:val="262626" w:themeColor="text1" w:themeTint="D9"/>
                <w14:textFill>
                  <w14:solidFill>
                    <w14:schemeClr w14:val="tx1">
                      <w14:lumMod w14:val="85000"/>
                      <w14:lumOff w14:val="15000"/>
                    </w14:schemeClr>
                  </w14:solidFill>
                </w14:textFill>
              </w:rPr>
              <w:t>围挡设施</w:t>
            </w:r>
          </w:p>
        </w:tc>
        <w:tc>
          <w:tcPr>
            <w:tcW w:w="2148"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c>
          <w:tcPr>
            <w:tcW w:w="2080"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w:t>
            </w:r>
          </w:p>
        </w:tc>
        <w:tc>
          <w:tcPr>
            <w:tcW w:w="4296"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bCs/>
                <w:color w:val="262626" w:themeColor="text1" w:themeTint="D9"/>
                <w14:textFill>
                  <w14:solidFill>
                    <w14:schemeClr w14:val="tx1">
                      <w14:lumMod w14:val="85000"/>
                      <w14:lumOff w14:val="15000"/>
                    </w14:schemeClr>
                  </w14:solidFill>
                </w14:textFill>
              </w:rPr>
              <w:t>泵吸式气体检测报警仪</w:t>
            </w:r>
          </w:p>
        </w:tc>
        <w:tc>
          <w:tcPr>
            <w:tcW w:w="2148"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c>
          <w:tcPr>
            <w:tcW w:w="2080"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3</w:t>
            </w:r>
          </w:p>
        </w:tc>
        <w:tc>
          <w:tcPr>
            <w:tcW w:w="4296"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bCs/>
                <w:color w:val="262626" w:themeColor="text1" w:themeTint="D9"/>
                <w14:textFill>
                  <w14:solidFill>
                    <w14:schemeClr w14:val="tx1">
                      <w14:lumMod w14:val="85000"/>
                      <w14:lumOff w14:val="15000"/>
                    </w14:schemeClr>
                  </w14:solidFill>
                </w14:textFill>
              </w:rPr>
              <w:t>强制送风设备</w:t>
            </w:r>
          </w:p>
        </w:tc>
        <w:tc>
          <w:tcPr>
            <w:tcW w:w="2148"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c>
          <w:tcPr>
            <w:tcW w:w="2080"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4</w:t>
            </w:r>
          </w:p>
        </w:tc>
        <w:tc>
          <w:tcPr>
            <w:tcW w:w="4296"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bCs/>
                <w:color w:val="262626" w:themeColor="text1" w:themeTint="D9"/>
                <w14:textFill>
                  <w14:solidFill>
                    <w14:schemeClr w14:val="tx1">
                      <w14:lumMod w14:val="85000"/>
                      <w14:lumOff w14:val="15000"/>
                    </w14:schemeClr>
                  </w14:solidFill>
                </w14:textFill>
              </w:rPr>
              <w:t>三脚架（含绞盘）</w:t>
            </w:r>
          </w:p>
        </w:tc>
        <w:tc>
          <w:tcPr>
            <w:tcW w:w="2148"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c>
          <w:tcPr>
            <w:tcW w:w="2080"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5</w:t>
            </w:r>
          </w:p>
        </w:tc>
        <w:tc>
          <w:tcPr>
            <w:tcW w:w="4296" w:type="dxa"/>
          </w:tcPr>
          <w:p>
            <w:pPr>
              <w:pStyle w:val="16"/>
              <w:spacing w:before="0" w:beforeAutospacing="0" w:after="0" w:afterAutospacing="0"/>
              <w:rPr>
                <w:bCs/>
                <w:color w:val="262626" w:themeColor="text1" w:themeTint="D9"/>
                <w14:textFill>
                  <w14:solidFill>
                    <w14:schemeClr w14:val="tx1">
                      <w14:lumMod w14:val="85000"/>
                      <w14:lumOff w14:val="15000"/>
                    </w14:schemeClr>
                  </w14:solidFill>
                </w14:textFill>
              </w:rPr>
            </w:pPr>
            <w:r>
              <w:rPr>
                <w:rFonts w:hint="eastAsia"/>
                <w:bCs/>
                <w:color w:val="262626" w:themeColor="text1" w:themeTint="D9"/>
                <w14:textFill>
                  <w14:solidFill>
                    <w14:schemeClr w14:val="tx1">
                      <w14:lumMod w14:val="85000"/>
                      <w14:lumOff w14:val="15000"/>
                    </w14:schemeClr>
                  </w14:solidFill>
                </w14:textFill>
              </w:rPr>
              <w:t>正压式呼吸器或高压送风式呼吸器</w:t>
            </w:r>
          </w:p>
        </w:tc>
        <w:tc>
          <w:tcPr>
            <w:tcW w:w="2148"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c>
          <w:tcPr>
            <w:tcW w:w="2080"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6</w:t>
            </w:r>
          </w:p>
        </w:tc>
        <w:tc>
          <w:tcPr>
            <w:tcW w:w="4296" w:type="dxa"/>
          </w:tcPr>
          <w:p>
            <w:pPr>
              <w:pStyle w:val="16"/>
              <w:spacing w:before="0" w:beforeAutospacing="0" w:after="0" w:afterAutospacing="0"/>
              <w:rPr>
                <w:bCs/>
                <w:color w:val="262626" w:themeColor="text1" w:themeTint="D9"/>
                <w14:textFill>
                  <w14:solidFill>
                    <w14:schemeClr w14:val="tx1">
                      <w14:lumMod w14:val="85000"/>
                      <w14:lumOff w14:val="15000"/>
                    </w14:schemeClr>
                  </w14:solidFill>
                </w14:textFill>
              </w:rPr>
            </w:pPr>
            <w:r>
              <w:rPr>
                <w:rFonts w:hint="eastAsia"/>
                <w:bCs/>
                <w:color w:val="262626" w:themeColor="text1" w:themeTint="D9"/>
                <w14:textFill>
                  <w14:solidFill>
                    <w14:schemeClr w14:val="tx1">
                      <w14:lumMod w14:val="85000"/>
                      <w14:lumOff w14:val="15000"/>
                    </w14:schemeClr>
                  </w14:solidFill>
                </w14:textFill>
              </w:rPr>
              <w:t>全身式安全带;安全绳;安全帽、</w:t>
            </w:r>
            <w:r>
              <w:rPr>
                <w:rFonts w:hint="eastAsia"/>
                <w:color w:val="262626" w:themeColor="text1" w:themeTint="D9"/>
                <w14:textFill>
                  <w14:solidFill>
                    <w14:schemeClr w14:val="tx1">
                      <w14:lumMod w14:val="85000"/>
                      <w14:lumOff w14:val="15000"/>
                    </w14:schemeClr>
                  </w14:solidFill>
                </w14:textFill>
              </w:rPr>
              <w:t>梯子</w:t>
            </w:r>
          </w:p>
        </w:tc>
        <w:tc>
          <w:tcPr>
            <w:tcW w:w="2148"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c>
          <w:tcPr>
            <w:tcW w:w="2080" w:type="dxa"/>
          </w:tcPr>
          <w:p>
            <w:pPr>
              <w:pStyle w:val="16"/>
              <w:spacing w:before="0" w:beforeAutospacing="0" w:after="0" w:afterAutospacing="0"/>
              <w:rPr>
                <w:color w:val="262626" w:themeColor="text1" w:themeTint="D9"/>
                <w14:textFill>
                  <w14:solidFill>
                    <w14:schemeClr w14:val="tx1">
                      <w14:lumMod w14:val="85000"/>
                      <w14:lumOff w14:val="15000"/>
                    </w14:schemeClr>
                  </w14:solidFill>
                </w14:textFill>
              </w:rPr>
            </w:pPr>
          </w:p>
        </w:tc>
      </w:tr>
    </w:tbl>
    <w:p>
      <w:pPr>
        <w:spacing w:line="360" w:lineRule="auto"/>
        <w:ind w:firstLine="56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widowControl/>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br w:type="page"/>
      </w:r>
    </w:p>
    <w:p>
      <w:pPr>
        <w:spacing w:line="360" w:lineRule="auto"/>
        <w:jc w:val="left"/>
        <w:outlineLvl w:val="0"/>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bookmarkStart w:id="43" w:name="_Toc386_WPSOffice_Level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5、有限空间安全警示标志一览表</w:t>
      </w:r>
      <w:bookmarkEnd w:id="43"/>
    </w:p>
    <w:p>
      <w:pPr>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表1 有限空间安全警示标志一览表</w:t>
      </w:r>
    </w:p>
    <w:tbl>
      <w:tblPr>
        <w:tblStyle w:val="53"/>
        <w:tblW w:w="13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5227"/>
        <w:gridCol w:w="2554"/>
        <w:gridCol w:w="1701"/>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83"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警示标志名称</w:t>
            </w:r>
          </w:p>
        </w:tc>
        <w:tc>
          <w:tcPr>
            <w:tcW w:w="5227"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照片或图片</w:t>
            </w:r>
          </w:p>
        </w:tc>
        <w:tc>
          <w:tcPr>
            <w:tcW w:w="2554"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使用位置</w:t>
            </w:r>
          </w:p>
        </w:tc>
        <w:tc>
          <w:tcPr>
            <w:tcW w:w="1701"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使用方式</w:t>
            </w:r>
          </w:p>
        </w:tc>
        <w:tc>
          <w:tcPr>
            <w:tcW w:w="1875"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683" w:type="dxa"/>
            <w:vMerge w:val="restart"/>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有限空间作业安全告知牌</w:t>
            </w:r>
          </w:p>
        </w:tc>
        <w:tc>
          <w:tcPr>
            <w:tcW w:w="5227"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3136265" cy="3857625"/>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3136880" cy="3857625"/>
                          </a:xfrm>
                          <a:prstGeom prst="rect">
                            <a:avLst/>
                          </a:prstGeom>
                        </pic:spPr>
                      </pic:pic>
                    </a:graphicData>
                  </a:graphic>
                </wp:inline>
              </w:drawing>
            </w:r>
          </w:p>
        </w:tc>
        <w:tc>
          <w:tcPr>
            <w:tcW w:w="2554" w:type="dxa"/>
            <w:shd w:val="clear" w:color="auto" w:fill="D6E3BC" w:themeFill="accent3" w:themeFillTint="66"/>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shd w:val="clear" w:color="auto" w:fill="FFFFFF" w:themeFill="background1"/>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shd w:val="clear" w:color="auto" w:fill="FFFFFF" w:themeFill="background1"/>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683" w:type="dxa"/>
            <w:vMerge w:val="continue"/>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p>
        </w:tc>
        <w:tc>
          <w:tcPr>
            <w:tcW w:w="5227"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1" w:hRule="atLeast"/>
        </w:trPr>
        <w:tc>
          <w:tcPr>
            <w:tcW w:w="1683" w:type="dxa"/>
            <w:vMerge w:val="continue"/>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p>
        </w:tc>
        <w:tc>
          <w:tcPr>
            <w:tcW w:w="5227"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有限空间施工现场信息公示牌</w:t>
            </w:r>
          </w:p>
        </w:tc>
        <w:tc>
          <w:tcPr>
            <w:tcW w:w="5227"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anchor distT="0" distB="0" distL="114300" distR="114300" simplePos="0" relativeHeight="251665408" behindDoc="1" locked="0" layoutInCell="1" allowOverlap="1">
                  <wp:simplePos x="0" y="0"/>
                  <wp:positionH relativeFrom="column">
                    <wp:posOffset>20320</wp:posOffset>
                  </wp:positionH>
                  <wp:positionV relativeFrom="paragraph">
                    <wp:posOffset>-4523105</wp:posOffset>
                  </wp:positionV>
                  <wp:extent cx="3162300" cy="4514850"/>
                  <wp:effectExtent l="0" t="0" r="0" b="0"/>
                  <wp:wrapTopAndBottom/>
                  <wp:docPr id="8" name="图片 8" descr="C:\Users\EDM\Documents\Tencent Files\30784551\FileRecv\MobileFile\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EDM\Documents\Tencent Files\30784551\FileRecv\MobileFile\IMG_2360.JPG"/>
                          <pic:cNvPicPr>
                            <a:picLocks noChangeAspect="1" noChangeArrowheads="1"/>
                          </pic:cNvPicPr>
                        </pic:nvPicPr>
                        <pic:blipFill>
                          <a:blip r:embed="rId6"/>
                          <a:srcRect/>
                          <a:stretch>
                            <a:fillRect/>
                          </a:stretch>
                        </pic:blipFill>
                        <pic:spPr>
                          <a:xfrm>
                            <a:off x="0" y="0"/>
                            <a:ext cx="3162300" cy="4514850"/>
                          </a:xfrm>
                          <a:prstGeom prst="rect">
                            <a:avLst/>
                          </a:prstGeom>
                          <a:noFill/>
                          <a:ln>
                            <a:noFill/>
                          </a:ln>
                        </pic:spPr>
                      </pic:pic>
                    </a:graphicData>
                  </a:graphic>
                </wp:anchor>
              </w:drawing>
            </w:r>
          </w:p>
        </w:tc>
        <w:tc>
          <w:tcPr>
            <w:tcW w:w="2554" w:type="dxa"/>
            <w:shd w:val="clear" w:color="auto" w:fill="EAF1DD" w:themeFill="accent3" w:themeFillTint="33"/>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1683" w:type="dxa"/>
            <w:vMerge w:val="restart"/>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危险警示牌</w:t>
            </w:r>
          </w:p>
        </w:tc>
        <w:tc>
          <w:tcPr>
            <w:tcW w:w="5227"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2665730" cy="2152650"/>
                  <wp:effectExtent l="0" t="0" r="1270" b="0"/>
                  <wp:docPr id="9" name="图片 9" descr="http://i00.c.aliimg.com/img/ibank/2014/227/706/1154607722_47585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i00.c.aliimg.com/img/ibank/2014/227/706/1154607722_475854359.jpg"/>
                          <pic:cNvPicPr>
                            <a:picLocks noChangeAspect="1" noChangeArrowheads="1"/>
                          </pic:cNvPicPr>
                        </pic:nvPicPr>
                        <pic:blipFill>
                          <a:blip r:embed="rId7"/>
                          <a:srcRect/>
                          <a:stretch>
                            <a:fillRect/>
                          </a:stretch>
                        </pic:blipFill>
                        <pic:spPr>
                          <a:xfrm>
                            <a:off x="0" y="0"/>
                            <a:ext cx="2671543" cy="2157321"/>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p>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2705100" cy="1748790"/>
                  <wp:effectExtent l="0" t="0" r="0" b="3810"/>
                  <wp:docPr id="10" name="图片 10" descr="C:\Users\EDM\Documents\Tencent Files\30784551\FileRecv\MobileFile\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EDM\Documents\Tencent Files\30784551\FileRecv\MobileFile\IMG_2380.JPG"/>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a:xfrm>
                            <a:off x="0" y="0"/>
                            <a:ext cx="2707057" cy="1750493"/>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p>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2986405" cy="2114550"/>
                  <wp:effectExtent l="0" t="0" r="4445" b="0"/>
                  <wp:docPr id="11" name="图片 11" descr="C:\Users\EDM\Documents\Tencent Files\30784551\FileRecv\MobileFile\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EDM\Documents\Tencent Files\30784551\FileRecv\MobileFile\IMG_2379.JPG"/>
                          <pic:cNvPicPr>
                            <a:picLocks noChangeAspect="1" noChangeArrowheads="1"/>
                          </pic:cNvPicPr>
                        </pic:nvPicPr>
                        <pic:blipFill>
                          <a:blip r:embed="rId10" cstate="screen">
                            <a:extLst>
                              <a:ext uri="{BEBA8EAE-BF5A-486C-A8C5-ECC9F3942E4B}">
                                <a14:imgProps xmlns:a14="http://schemas.microsoft.com/office/drawing/2010/main">
                                  <a14:imgLayer r:embed="rId11">
                                    <a14:imgEffect>
                                      <a14:brightnessContrast bright="20000" contrast="-40000"/>
                                    </a14:imgEffect>
                                  </a14:imgLayer>
                                </a14:imgProps>
                              </a:ext>
                            </a:extLst>
                          </a:blip>
                          <a:srcRect/>
                          <a:stretch>
                            <a:fillRect/>
                          </a:stretch>
                        </pic:blipFill>
                        <pic:spPr>
                          <a:xfrm>
                            <a:off x="0" y="0"/>
                            <a:ext cx="2990699" cy="2117461"/>
                          </a:xfrm>
                          <a:prstGeom prst="rect">
                            <a:avLst/>
                          </a:prstGeom>
                          <a:noFill/>
                          <a:ln>
                            <a:noFill/>
                          </a:ln>
                        </pic:spPr>
                      </pic:pic>
                    </a:graphicData>
                  </a:graphic>
                </wp:inline>
              </w:drawing>
            </w:r>
          </w:p>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1683" w:type="dxa"/>
            <w:vMerge w:val="continue"/>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p>
        </w:tc>
        <w:tc>
          <w:tcPr>
            <w:tcW w:w="5227"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54" w:type="dxa"/>
            <w:shd w:val="clear" w:color="auto" w:fill="EAF1DD" w:themeFill="accent3" w:themeFillTint="33"/>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1683" w:type="dxa"/>
            <w:vMerge w:val="continue"/>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p>
        </w:tc>
        <w:tc>
          <w:tcPr>
            <w:tcW w:w="5227"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trPr>
        <w:tc>
          <w:tcPr>
            <w:tcW w:w="1683" w:type="dxa"/>
            <w:vMerge w:val="restart"/>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安全警示标志</w:t>
            </w:r>
          </w:p>
        </w:tc>
        <w:tc>
          <w:tcPr>
            <w:tcW w:w="5227"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475105" cy="2009775"/>
                  <wp:effectExtent l="0" t="0" r="0" b="9525"/>
                  <wp:docPr id="12" name="图片 12" descr="C:\Users\EDM\Documents\Tencent Files\30784551\FileRecv\MobileFile\Image\_N89)Y(SF1TYDNAN4OQGW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EDM\Documents\Tencent Files\30784551\FileRecv\MobileFile\Image\_N89)Y(SF1TYDNAN4OQGWT6.png"/>
                          <pic:cNvPicPr>
                            <a:picLocks noChangeAspect="1" noChangeArrowheads="1"/>
                          </pic:cNvPicPr>
                        </pic:nvPicPr>
                        <pic:blipFill>
                          <a:blip r:embed="rId12"/>
                          <a:srcRect/>
                          <a:stretch>
                            <a:fillRect/>
                          </a:stretch>
                        </pic:blipFill>
                        <pic:spPr>
                          <a:xfrm>
                            <a:off x="0" y="0"/>
                            <a:ext cx="1475105" cy="2009775"/>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483995" cy="1992630"/>
                  <wp:effectExtent l="0" t="0" r="1905" b="7620"/>
                  <wp:docPr id="13" name="图片 13" descr="C:\Users\EDM\Documents\Tencent Files\30784551\FileRecv\MobileFile\Image\CD]KGT`]QG1{%~J8IB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EDM\Documents\Tencent Files\30784551\FileRecv\MobileFile\Image\CD]KGT`]QG1{%~J8IB4}B{1.png"/>
                          <pic:cNvPicPr>
                            <a:picLocks noChangeAspect="1" noChangeArrowheads="1"/>
                          </pic:cNvPicPr>
                        </pic:nvPicPr>
                        <pic:blipFill>
                          <a:blip r:embed="rId13"/>
                          <a:srcRect/>
                          <a:stretch>
                            <a:fillRect/>
                          </a:stretch>
                        </pic:blipFill>
                        <pic:spPr>
                          <a:xfrm>
                            <a:off x="0" y="0"/>
                            <a:ext cx="1483995" cy="1992630"/>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492250" cy="1915160"/>
                  <wp:effectExtent l="0" t="0" r="0" b="8890"/>
                  <wp:docPr id="14" name="图片 14" descr="C:\Users\EDM\Documents\Tencent Files\30784551\FileRecv\MobileFile\Image\EK6VGB7SC%LN6UKUC4X[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EDM\Documents\Tencent Files\30784551\FileRecv\MobileFile\Image\EK6VGB7SC%LN6UKUC4X[M~3.png"/>
                          <pic:cNvPicPr>
                            <a:picLocks noChangeAspect="1" noChangeArrowheads="1"/>
                          </pic:cNvPicPr>
                        </pic:nvPicPr>
                        <pic:blipFill>
                          <a:blip r:embed="rId14"/>
                          <a:srcRect/>
                          <a:stretch>
                            <a:fillRect/>
                          </a:stretch>
                        </pic:blipFill>
                        <pic:spPr>
                          <a:xfrm>
                            <a:off x="0" y="0"/>
                            <a:ext cx="1492250" cy="1915160"/>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520190" cy="1857375"/>
                  <wp:effectExtent l="0" t="0" r="3810" b="0"/>
                  <wp:docPr id="15" name="图片 15" descr="http://ec4.images-amazon.com/images/I/51TXjzI86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ec4.images-amazon.com/images/I/51TXjzI86cL.jpg"/>
                          <pic:cNvPicPr>
                            <a:picLocks noChangeAspect="1" noChangeArrowheads="1"/>
                          </pic:cNvPicPr>
                        </pic:nvPicPr>
                        <pic:blipFill>
                          <a:blip r:embed="rId15" cstate="screen"/>
                          <a:srcRect/>
                          <a:stretch>
                            <a:fillRect/>
                          </a:stretch>
                        </pic:blipFill>
                        <pic:spPr>
                          <a:xfrm>
                            <a:off x="0" y="0"/>
                            <a:ext cx="1520614" cy="1857143"/>
                          </a:xfrm>
                          <a:prstGeom prst="rect">
                            <a:avLst/>
                          </a:prstGeom>
                          <a:noFill/>
                          <a:ln>
                            <a:noFill/>
                          </a:ln>
                        </pic:spPr>
                      </pic:pic>
                    </a:graphicData>
                  </a:graphic>
                </wp:inline>
              </w:drawing>
            </w:r>
          </w:p>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492250" cy="1984375"/>
                  <wp:effectExtent l="0" t="0" r="0" b="0"/>
                  <wp:docPr id="16" name="图片 16" descr="C:\Users\EDM\Documents\Tencent Files\30784551\FileRecv\MobileFile\Image\OPNB(71I)YR9JJVVWAUY]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EDM\Documents\Tencent Files\30784551\FileRecv\MobileFile\Image\OPNB(71I)YR9JJVVWAUY]T7.png"/>
                          <pic:cNvPicPr>
                            <a:picLocks noChangeAspect="1" noChangeArrowheads="1"/>
                          </pic:cNvPicPr>
                        </pic:nvPicPr>
                        <pic:blipFill>
                          <a:blip r:embed="rId16"/>
                          <a:srcRect/>
                          <a:stretch>
                            <a:fillRect/>
                          </a:stretch>
                        </pic:blipFill>
                        <pic:spPr>
                          <a:xfrm>
                            <a:off x="0" y="0"/>
                            <a:ext cx="1492250" cy="1984375"/>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535430" cy="1984375"/>
                  <wp:effectExtent l="0" t="0" r="7620" b="0"/>
                  <wp:docPr id="17" name="图片 17" descr="C:\Users\EDM\Documents\Tencent Files\30784551\FileRecv\MobileFile\Image\K_U9W~LHP30]B{IPFW38$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EDM\Documents\Tencent Files\30784551\FileRecv\MobileFile\Image\K_U9W~LHP30]B{IPFW38$JM.png"/>
                          <pic:cNvPicPr>
                            <a:picLocks noChangeAspect="1" noChangeArrowheads="1"/>
                          </pic:cNvPicPr>
                        </pic:nvPicPr>
                        <pic:blipFill>
                          <a:blip r:embed="rId17"/>
                          <a:srcRect/>
                          <a:stretch>
                            <a:fillRect/>
                          </a:stretch>
                        </pic:blipFill>
                        <pic:spPr>
                          <a:xfrm>
                            <a:off x="0" y="0"/>
                            <a:ext cx="1535430" cy="1984375"/>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466850" cy="1981200"/>
                  <wp:effectExtent l="0" t="0" r="0" b="0"/>
                  <wp:docPr id="18" name="图片 18" descr="C:\Users\EDM\Documents\Tencent Files\30784551\FileRecv\MobileFile\Image\37E6W{~R%K1~HSRZEC){Y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EDM\Documents\Tencent Files\30784551\FileRecv\MobileFile\Image\37E6W{~R%K1~HSRZEC){Y9D.png"/>
                          <pic:cNvPicPr>
                            <a:picLocks noChangeAspect="1" noChangeArrowheads="1"/>
                          </pic:cNvPicPr>
                        </pic:nvPicPr>
                        <pic:blipFill>
                          <a:blip r:embed="rId18"/>
                          <a:srcRect/>
                          <a:stretch>
                            <a:fillRect/>
                          </a:stretch>
                        </pic:blipFill>
                        <pic:spPr>
                          <a:xfrm>
                            <a:off x="0" y="0"/>
                            <a:ext cx="1470613" cy="1985480"/>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612900" cy="2035810"/>
                  <wp:effectExtent l="0" t="0" r="6350" b="2540"/>
                  <wp:docPr id="19" name="图片 19" descr="C:\Users\EDM\Documents\Tencent Files\30784551\FileRecv\MobileFile\Image\X44$UHZ{546`1QH5RS`A7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EDM\Documents\Tencent Files\30784551\FileRecv\MobileFile\Image\X44$UHZ{546`1QH5RS`A7P7.png"/>
                          <pic:cNvPicPr>
                            <a:picLocks noChangeAspect="1" noChangeArrowheads="1"/>
                          </pic:cNvPicPr>
                        </pic:nvPicPr>
                        <pic:blipFill>
                          <a:blip r:embed="rId19"/>
                          <a:srcRect/>
                          <a:stretch>
                            <a:fillRect/>
                          </a:stretch>
                        </pic:blipFill>
                        <pic:spPr>
                          <a:xfrm>
                            <a:off x="0" y="0"/>
                            <a:ext cx="1612900" cy="2035810"/>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518285" cy="2009775"/>
                  <wp:effectExtent l="0" t="0" r="5715" b="9525"/>
                  <wp:docPr id="20" name="图片 20" descr="C:\Users\EDM\Documents\Tencent Files\30784551\FileRecv\MobileFile\Image\W@QFT8VO0$X(K6O0`ZJ1R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EDM\Documents\Tencent Files\30784551\FileRecv\MobileFile\Image\W@QFT8VO0$X(K6O0`ZJ1RBP.png"/>
                          <pic:cNvPicPr>
                            <a:picLocks noChangeAspect="1" noChangeArrowheads="1"/>
                          </pic:cNvPicPr>
                        </pic:nvPicPr>
                        <pic:blipFill>
                          <a:blip r:embed="rId20"/>
                          <a:srcRect/>
                          <a:stretch>
                            <a:fillRect/>
                          </a:stretch>
                        </pic:blipFill>
                        <pic:spPr>
                          <a:xfrm>
                            <a:off x="0" y="0"/>
                            <a:ext cx="1518285" cy="2009775"/>
                          </a:xfrm>
                          <a:prstGeom prst="rect">
                            <a:avLst/>
                          </a:prstGeom>
                          <a:noFill/>
                          <a:ln>
                            <a:noFill/>
                          </a:ln>
                        </pic:spPr>
                      </pic:pic>
                    </a:graphicData>
                  </a:graphic>
                </wp:inline>
              </w:drawing>
            </w: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1390650" cy="1771015"/>
                  <wp:effectExtent l="133350" t="95250" r="133350" b="172085"/>
                  <wp:docPr id="21" name="图片 21" descr="http://img20.photophoto.cn/20110922/000701984307063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img20.photophoto.cn/20110922/0007019843070630_s.jpg"/>
                          <pic:cNvPicPr>
                            <a:picLocks noChangeAspect="1" noChangeArrowheads="1"/>
                          </pic:cNvPicPr>
                        </pic:nvPicPr>
                        <pic:blipFill>
                          <a:blip r:embed="rId21"/>
                          <a:srcRect/>
                          <a:stretch>
                            <a:fillRect/>
                          </a:stretch>
                        </pic:blipFill>
                        <pic:spPr>
                          <a:xfrm>
                            <a:off x="0" y="0"/>
                            <a:ext cx="1394214" cy="17759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Merge w:val="restart"/>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trPr>
        <w:tc>
          <w:tcPr>
            <w:tcW w:w="1683" w:type="dxa"/>
            <w:vMerge w:val="continue"/>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p>
        </w:tc>
        <w:tc>
          <w:tcPr>
            <w:tcW w:w="5227"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2554" w:type="dxa"/>
            <w:shd w:val="clear" w:color="auto" w:fill="EAF1DD" w:themeFill="accent3" w:themeFillTint="33"/>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Merge w:val="continue"/>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8" w:hRule="atLeast"/>
        </w:trPr>
        <w:tc>
          <w:tcPr>
            <w:tcW w:w="1683"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操作井</w:t>
            </w:r>
          </w:p>
        </w:tc>
        <w:tc>
          <w:tcPr>
            <w:tcW w:w="5227"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2990850" cy="26612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2990477" cy="2661188"/>
                          </a:xfrm>
                          <a:prstGeom prst="rect">
                            <a:avLst/>
                          </a:prstGeom>
                        </pic:spPr>
                      </pic:pic>
                    </a:graphicData>
                  </a:graphic>
                </wp:inline>
              </w:drawing>
            </w:r>
          </w:p>
        </w:tc>
        <w:tc>
          <w:tcPr>
            <w:tcW w:w="2554" w:type="dxa"/>
            <w:shd w:val="clear" w:color="auto" w:fill="EAF1DD" w:themeFill="accent3" w:themeFillTint="33"/>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有限空间安全操作注意事项</w:t>
            </w:r>
          </w:p>
        </w:tc>
        <w:tc>
          <w:tcPr>
            <w:tcW w:w="5227"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3091180" cy="1951355"/>
                  <wp:effectExtent l="0" t="0" r="0" b="0"/>
                  <wp:docPr id="23" name="图片 23" descr="C:\Users\EDM\Documents\Tencent Files\30784551\FileRecv\MobileFile\Image\O7H~6QNQING_%3KU~[~%5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EDM\Documents\Tencent Files\30784551\FileRecv\MobileFile\Image\O7H~6QNQING_%3KU~[~%5ZN.png"/>
                          <pic:cNvPicPr>
                            <a:picLocks noChangeAspect="1" noChangeArrowheads="1"/>
                          </pic:cNvPicPr>
                        </pic:nvPicPr>
                        <pic:blipFill>
                          <a:blip r:embed="rId23" cstate="screen"/>
                          <a:srcRect/>
                          <a:stretch>
                            <a:fillRect/>
                          </a:stretch>
                        </pic:blipFill>
                        <pic:spPr>
                          <a:xfrm>
                            <a:off x="0" y="0"/>
                            <a:ext cx="3090009" cy="1950689"/>
                          </a:xfrm>
                          <a:prstGeom prst="rect">
                            <a:avLst/>
                          </a:prstGeom>
                          <a:noFill/>
                          <a:ln>
                            <a:noFill/>
                          </a:ln>
                        </pic:spPr>
                      </pic:pic>
                    </a:graphicData>
                  </a:graphic>
                </wp:inline>
              </w:drawing>
            </w: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有限空间安全作业需知</w:t>
            </w:r>
          </w:p>
        </w:tc>
        <w:tc>
          <w:tcPr>
            <w:tcW w:w="5227"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3049905" cy="2295525"/>
                  <wp:effectExtent l="133350" t="114300" r="150495" b="1619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screen"/>
                          <a:stretch>
                            <a:fillRect/>
                          </a:stretch>
                        </pic:blipFill>
                        <pic:spPr>
                          <a:xfrm>
                            <a:off x="0" y="0"/>
                            <a:ext cx="3053632" cy="229799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54" w:type="dxa"/>
            <w:shd w:val="clear" w:color="auto" w:fill="EAF1DD" w:themeFill="accent3" w:themeFillTint="33"/>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有限空间分布图</w:t>
            </w:r>
          </w:p>
        </w:tc>
        <w:tc>
          <w:tcPr>
            <w:tcW w:w="5227"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厂区平面布置图，图中标识出有限空间分布情况</w:t>
            </w: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adjustRightInd w:val="0"/>
              <w:snapToGrid w:val="0"/>
              <w:jc w:val="center"/>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作业牌</w:t>
            </w:r>
          </w:p>
        </w:tc>
        <w:tc>
          <w:tcPr>
            <w:tcW w:w="5227"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drawing>
                <wp:inline distT="0" distB="0" distL="0" distR="0">
                  <wp:extent cx="2990850" cy="2286000"/>
                  <wp:effectExtent l="0" t="0" r="0" b="0"/>
                  <wp:docPr id="25" name="图片 25" descr="http://p4.so.qhmsg.com/bdr/_240_/t0117990853db45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p4.so.qhmsg.com/bdr/_240_/t0117990853db4526b9.jpg"/>
                          <pic:cNvPicPr>
                            <a:picLocks noChangeAspect="1" noChangeArrowheads="1"/>
                          </pic:cNvPicPr>
                        </pic:nvPicPr>
                        <pic:blipFill>
                          <a:blip r:embed="rId25"/>
                          <a:srcRect/>
                          <a:stretch>
                            <a:fillRect/>
                          </a:stretch>
                        </pic:blipFill>
                        <pic:spPr>
                          <a:xfrm>
                            <a:off x="0" y="0"/>
                            <a:ext cx="2990850" cy="2286000"/>
                          </a:xfrm>
                          <a:prstGeom prst="rect">
                            <a:avLst/>
                          </a:prstGeom>
                          <a:noFill/>
                          <a:ln>
                            <a:noFill/>
                          </a:ln>
                        </pic:spPr>
                      </pic:pic>
                    </a:graphicData>
                  </a:graphic>
                </wp:inline>
              </w:drawing>
            </w:r>
          </w:p>
        </w:tc>
        <w:tc>
          <w:tcPr>
            <w:tcW w:w="2554"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701"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875" w:type="dxa"/>
            <w:vAlign w:val="center"/>
          </w:tcPr>
          <w:p>
            <w:pPr>
              <w:adjustRightInd w:val="0"/>
              <w:snapToGrid w:val="0"/>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bl>
    <w:p>
      <w:pPr>
        <w:spacing w:line="360" w:lineRule="auto"/>
        <w:ind w:firstLine="879"/>
        <w:jc w:val="center"/>
        <w:outlineLvl w:val="0"/>
        <w:rPr>
          <w:rFonts w:ascii="宋体" w:hAnsi="宋体" w:eastAsia="宋体" w:cs="宋体"/>
          <w:color w:val="262626" w:themeColor="text1" w:themeTint="D9"/>
          <w:sz w:val="24"/>
          <w:szCs w:val="24"/>
          <w14:textFill>
            <w14:solidFill>
              <w14:schemeClr w14:val="tx1">
                <w14:lumMod w14:val="85000"/>
                <w14:lumOff w14:val="1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p>
      <w:pPr>
        <w:spacing w:line="360" w:lineRule="auto"/>
        <w:jc w:val="left"/>
        <w:outlineLvl w:val="0"/>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bookmarkStart w:id="44" w:name="_Toc24531_WPSOffice_Level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6、有限空间应急救援演练记录</w:t>
      </w:r>
      <w:bookmarkEnd w:id="44"/>
    </w:p>
    <w:p>
      <w:pPr>
        <w:widowControl/>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1、演练方案</w:t>
      </w:r>
    </w:p>
    <w:p>
      <w:pPr>
        <w:spacing w:line="440" w:lineRule="exact"/>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XX企业有限空间作业</w:t>
      </w:r>
    </w:p>
    <w:p>
      <w:pPr>
        <w:spacing w:line="440" w:lineRule="exact"/>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应急演练方案（举例为参考，请企业自行拟定方案）</w:t>
      </w:r>
    </w:p>
    <w:p>
      <w:pPr>
        <w:pStyle w:val="40"/>
        <w:numPr>
          <w:ilvl w:val="0"/>
          <w:numId w:val="15"/>
        </w:numPr>
        <w:spacing w:line="440" w:lineRule="exact"/>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 xml:space="preserve">演练目的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为加强本公司有限空间作业安全管理、预防和控制中毒窒息等生产安全事故发生，切实保护作业人员的生命安全，根据《中华人民共和国安全生产法》和国家相关法律法规和有关标准，结合本公司锅炉维修清理等实际情况，特筹备此次演练。  </w:t>
      </w:r>
    </w:p>
    <w:p>
      <w:pPr>
        <w:numPr>
          <w:ilvl w:val="0"/>
          <w:numId w:val="16"/>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演练时间： </w:t>
      </w:r>
    </w:p>
    <w:p>
      <w:pPr>
        <w:numPr>
          <w:ilvl w:val="0"/>
          <w:numId w:val="16"/>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演练地点：污水处理站  </w:t>
      </w:r>
    </w:p>
    <w:p>
      <w:pPr>
        <w:numPr>
          <w:ilvl w:val="0"/>
          <w:numId w:val="16"/>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参演人员及职责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参加人员：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职责：作业人员：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监护人员：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负责人员：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现场指导：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现场监督：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后勤保障：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应急车司机： </w:t>
      </w:r>
    </w:p>
    <w:p>
      <w:pPr>
        <w:numPr>
          <w:ilvl w:val="0"/>
          <w:numId w:val="16"/>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演练内容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对污水处理站水池进行清理，在履行有限空间作业的一些列手续后作业，在作业过程中突发休克，面对这种突发状况而采取的一突发预案相应措施。  </w:t>
      </w:r>
    </w:p>
    <w:p>
      <w:pPr>
        <w:numPr>
          <w:ilvl w:val="0"/>
          <w:numId w:val="16"/>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演练步骤  </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检测：应严格执行“先检测、后作业”的原则。检测方法用蜡烛法：在有限空间内点燃一支蜡烛，观察一段时间，看其火焰是否熄灭，熄灭则表示空气质量不佳，需继续通风换气。然后再次检测。反之则证明空气质量良好。在作业环境条件可能发生变化时，应对作业场所中危害因素进行持续或定时检测。实施检测时，检测人员应处于安全环境，检测时要做好检测记录，包括检测时间、地点、</w:t>
      </w:r>
    </w:p>
    <w:p>
      <w:p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危害评估：实施有限空间作业前，应根据检测结果对作业环境危害状况进行评估，制定消除、控制危害的措施，确保整个作业期间处于安全受控状态。危害评估应依据《缺氧危险作业安全规程》（GB8958-2006）、《工作场所有害因素职业接触限值》（GBZ2-2002）等标准进行。</w:t>
      </w:r>
    </w:p>
    <w:p>
      <w:pPr>
        <w:pStyle w:val="40"/>
        <w:numPr>
          <w:ilvl w:val="0"/>
          <w:numId w:val="16"/>
        </w:numPr>
        <w:spacing w:line="440" w:lineRule="exact"/>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 xml:space="preserve">通风   在这次演练作业过程中，可采取强制性持续通风措施降低危险，保持空气流通。严禁用纯氧进行通风换气。 </w:t>
      </w:r>
    </w:p>
    <w:p>
      <w:pPr>
        <w:pStyle w:val="40"/>
        <w:numPr>
          <w:ilvl w:val="0"/>
          <w:numId w:val="16"/>
        </w:numPr>
        <w:spacing w:line="440" w:lineRule="exact"/>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 xml:space="preserve"> 防护设备以及应急救援设备   本次演练应该给作业人员配备符合国家标准的照明设备、通讯设备、应急救援设备和个人防护用品。防护装备以及应急救援设备设施应妥善保管，并按规定定期进行检验、维护，以保证设施的正常运行。</w:t>
      </w:r>
    </w:p>
    <w:p>
      <w:pPr>
        <w:pStyle w:val="40"/>
        <w:numPr>
          <w:ilvl w:val="0"/>
          <w:numId w:val="16"/>
        </w:numPr>
        <w:spacing w:line="440" w:lineRule="exact"/>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 xml:space="preserve">演练前培训内容  </w:t>
      </w:r>
    </w:p>
    <w:p>
      <w:pPr>
        <w:numPr>
          <w:ilvl w:val="0"/>
          <w:numId w:val="17"/>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严格执行作业审批制度，经作业负责人批准后方可作业；  </w:t>
      </w:r>
    </w:p>
    <w:p>
      <w:pPr>
        <w:numPr>
          <w:ilvl w:val="0"/>
          <w:numId w:val="17"/>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坚持先检测后作业的原则，在作业开始前，对危险有害因素浓度进行检测；  </w:t>
      </w:r>
    </w:p>
    <w:p>
      <w:pPr>
        <w:numPr>
          <w:ilvl w:val="0"/>
          <w:numId w:val="17"/>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必须采取充分的通风换气措施，确保整个作业期间处于安全受控状态；  </w:t>
      </w:r>
    </w:p>
    <w:p>
      <w:pPr>
        <w:numPr>
          <w:ilvl w:val="0"/>
          <w:numId w:val="17"/>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作业人员必须配备并使用安全带（绳）、等防护用品；  </w:t>
      </w:r>
    </w:p>
    <w:p>
      <w:pPr>
        <w:numPr>
          <w:ilvl w:val="0"/>
          <w:numId w:val="17"/>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必须安排监护人员。监护人员应密切监视作业状况，不得离岗；  </w:t>
      </w:r>
    </w:p>
    <w:p>
      <w:pPr>
        <w:numPr>
          <w:ilvl w:val="0"/>
          <w:numId w:val="17"/>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发现异常情况，应及时报警，严禁盲目施救；</w:t>
      </w:r>
    </w:p>
    <w:p>
      <w:pPr>
        <w:pStyle w:val="40"/>
        <w:numPr>
          <w:ilvl w:val="0"/>
          <w:numId w:val="18"/>
        </w:numPr>
        <w:spacing w:line="440" w:lineRule="exact"/>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 xml:space="preserve">开始作业   </w:t>
      </w:r>
    </w:p>
    <w:p>
      <w:pPr>
        <w:numPr>
          <w:ilvl w:val="0"/>
          <w:numId w:val="19"/>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按照“先检测、后作业”的原则，凡要进入有限空间危险作业场所作业，必须根据实际情况事先测定其氧气、符合安全要求后，方可进入。在未准确测定氧气浓度，严禁进入该作业场所；    </w:t>
      </w:r>
    </w:p>
    <w:p>
      <w:pPr>
        <w:numPr>
          <w:ilvl w:val="0"/>
          <w:numId w:val="19"/>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作业前30分钟，应再次对有限空间有害物质检测，分析合格后方可进入有限空间；   </w:t>
      </w:r>
    </w:p>
    <w:p>
      <w:pPr>
        <w:numPr>
          <w:ilvl w:val="0"/>
          <w:numId w:val="19"/>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分析合格后编制施工方案，再办理《有限空间危险作业审批表》，施工作业中涉及到其他危险作业时应办理相关审批手续 ；</w:t>
      </w:r>
    </w:p>
    <w:p>
      <w:pPr>
        <w:numPr>
          <w:ilvl w:val="0"/>
          <w:numId w:val="19"/>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在有限空间危险作业进行过程中，应加强通风换气，在氧气浓度、有害气体、可燃性气体、粉尘的浓度可能发生变化的危险作业中应保持必要的测定次数或连续检测；  </w:t>
      </w:r>
    </w:p>
    <w:p>
      <w:pPr>
        <w:numPr>
          <w:ilvl w:val="0"/>
          <w:numId w:val="19"/>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作业时所用的一切电气设备，必须符合有关用电安全技术操作规程。照明应使用安全矿灯或36伏以下的安全灯，使用超过安全电压的手持电动工具，必须按规定配备漏电保护器；  </w:t>
      </w:r>
    </w:p>
    <w:p>
      <w:pPr>
        <w:numPr>
          <w:ilvl w:val="0"/>
          <w:numId w:val="19"/>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作业人员进入有限空间危险作业场所作业前和离开时应准确清点人数。    </w:t>
      </w:r>
    </w:p>
    <w:p>
      <w:pPr>
        <w:numPr>
          <w:ilvl w:val="0"/>
          <w:numId w:val="19"/>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严禁无关人员进入有限空间危险作业场所，并应在醒目处设置警示标志； 以及其它必要的器具和设备，以便在非常情况下抢救作业人员。 </w:t>
      </w:r>
    </w:p>
    <w:p>
      <w:pPr>
        <w:pStyle w:val="40"/>
        <w:numPr>
          <w:ilvl w:val="0"/>
          <w:numId w:val="18"/>
        </w:numPr>
        <w:spacing w:line="440" w:lineRule="exact"/>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 xml:space="preserve">作业人员突发休克  </w:t>
      </w:r>
    </w:p>
    <w:p>
      <w:pPr>
        <w:numPr>
          <w:ilvl w:val="0"/>
          <w:numId w:val="20"/>
        </w:numPr>
        <w:spacing w:line="440" w:lineRule="exac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立即启动本公司《有限空间作业应急救援预案》。并按预案实施每一步骤（具体详细步骤见《有限空间作业应急救援预案》）。  </w:t>
      </w:r>
    </w:p>
    <w:p>
      <w:pPr>
        <w:numPr>
          <w:ilvl w:val="0"/>
          <w:numId w:val="21"/>
        </w:numPr>
        <w:spacing w:line="360" w:lineRule="auto"/>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疏散演练步骤</w:t>
      </w:r>
    </w:p>
    <w:p>
      <w:pPr>
        <w:pStyle w:val="40"/>
        <w:numPr>
          <w:ilvl w:val="0"/>
          <w:numId w:val="18"/>
        </w:numPr>
        <w:spacing w:line="360" w:lineRule="auto"/>
        <w:ind w:firstLineChars="0"/>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先组织演习人员培训《有限空间应急演练》及相关内容</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（1）所有组员做好准备。</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（2）请示领导是否开始演习。</w:t>
      </w:r>
    </w:p>
    <w:p>
      <w:pPr>
        <w:spacing w:line="460" w:lineRule="exact"/>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3）演练开始，按照“先检测、后作业”的原则，先进行检测、通风然后进行作业，刚下反应池时，肖立志突然晕倒，化卫东发现肖立志晕倒后立即通知监护人员赵志伟，赵志伟知悉后立即向行政安全管理部经理吕云静报告；同时电话通知120。</w:t>
      </w:r>
    </w:p>
    <w:p>
      <w:pPr>
        <w:spacing w:line="460" w:lineRule="exact"/>
        <w:jc w:val="left"/>
        <w:rPr>
          <w:rFonts w:ascii="宋体" w:hAnsi="宋体" w:eastAsia="宋体" w:cs="宋体"/>
          <w:b/>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注意：</w:t>
      </w:r>
      <w:r>
        <w:rPr>
          <w:rFonts w:hint="eastAsia" w:ascii="宋体" w:hAnsi="宋体" w:eastAsia="宋体" w:cs="宋体"/>
          <w:b/>
          <w:color w:val="262626" w:themeColor="text1" w:themeTint="D9"/>
          <w:sz w:val="24"/>
          <w:szCs w:val="24"/>
          <w14:textFill>
            <w14:solidFill>
              <w14:schemeClr w14:val="tx1">
                <w14:lumMod w14:val="85000"/>
                <w14:lumOff w14:val="15000"/>
              </w14:schemeClr>
            </w14:solidFill>
          </w14:textFill>
        </w:rPr>
        <w:t>消防和急救人员不能及时到达事故现场而组织救援时；尽可能采用非进入救援；救援人员未经批准，不得进入有限空间进行救援；以下情况采取最高级别防护措施后方可进入救援：有限空间内有害环境性质未知；缺氧或无法确定是否缺氧；空气污染浓度未知、达到或超过IDLH浓度。</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（4）急救人员迅速抵达现场人工呼吸进行急救；把伤员抬到救护车辆旁边，经医院医生判断后做出处理，将伤员及时送往医院。</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（5）报告领导本次演习成功</w:t>
      </w:r>
    </w:p>
    <w:p>
      <w:pPr>
        <w:spacing w:line="360" w:lineRule="auto"/>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（6）打扫演习现场。</w:t>
      </w:r>
    </w:p>
    <w:p>
      <w:pPr>
        <w:widowControl/>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br w:type="page"/>
      </w:r>
    </w:p>
    <w:p>
      <w:pPr>
        <w:pStyle w:val="40"/>
        <w:widowControl/>
        <w:numPr>
          <w:ilvl w:val="0"/>
          <w:numId w:val="18"/>
        </w:numPr>
        <w:ind w:firstLineChars="0"/>
        <w:jc w:val="left"/>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演练记录</w:t>
      </w:r>
    </w:p>
    <w:p>
      <w:pPr>
        <w:spacing w:line="360" w:lineRule="auto"/>
        <w:jc w:val="center"/>
        <w:outlineLvl w:val="0"/>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bookmarkStart w:id="45" w:name="_Toc45480079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应急预案演练记录</w:t>
      </w:r>
      <w:bookmarkEnd w:id="45"/>
    </w:p>
    <w:tbl>
      <w:tblPr>
        <w:tblStyle w:val="17"/>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3687"/>
        <w:gridCol w:w="1417"/>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2082"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演练对象</w:t>
            </w:r>
          </w:p>
        </w:tc>
        <w:tc>
          <w:tcPr>
            <w:tcW w:w="3687" w:type="dxa"/>
            <w:tcBorders>
              <w:right w:val="single" w:color="000000" w:sz="6"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c>
          <w:tcPr>
            <w:tcW w:w="1417" w:type="dxa"/>
            <w:tcBorders>
              <w:left w:val="single" w:color="000000" w:sz="6"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演练方式</w:t>
            </w:r>
          </w:p>
        </w:tc>
        <w:tc>
          <w:tcPr>
            <w:tcW w:w="2386"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2082"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演练地点</w:t>
            </w:r>
          </w:p>
        </w:tc>
        <w:tc>
          <w:tcPr>
            <w:tcW w:w="3687" w:type="dxa"/>
            <w:tcBorders>
              <w:right w:val="single" w:color="000000" w:sz="6"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w:t>
            </w:r>
          </w:p>
        </w:tc>
        <w:tc>
          <w:tcPr>
            <w:tcW w:w="1417" w:type="dxa"/>
            <w:tcBorders>
              <w:left w:val="single" w:color="000000" w:sz="6"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演练时间</w:t>
            </w:r>
          </w:p>
        </w:tc>
        <w:tc>
          <w:tcPr>
            <w:tcW w:w="2386"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2082" w:type="dxa"/>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演练主题</w:t>
            </w:r>
          </w:p>
        </w:tc>
        <w:tc>
          <w:tcPr>
            <w:tcW w:w="3687" w:type="dxa"/>
            <w:tcBorders>
              <w:right w:val="single" w:color="000000" w:sz="6"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有限空间应急演练</w:t>
            </w:r>
          </w:p>
        </w:tc>
        <w:tc>
          <w:tcPr>
            <w:tcW w:w="1417" w:type="dxa"/>
            <w:tcBorders>
              <w:left w:val="single" w:color="000000" w:sz="6"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演练负责人</w:t>
            </w:r>
          </w:p>
        </w:tc>
        <w:tc>
          <w:tcPr>
            <w:tcW w:w="2386" w:type="dxa"/>
            <w:tcBorders>
              <w:left w:val="single" w:color="000000" w:sz="6" w:space="0"/>
            </w:tcBorders>
            <w:vAlign w:val="center"/>
          </w:tcPr>
          <w:p>
            <w:pPr>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9572" w:type="dxa"/>
            <w:gridSpan w:val="4"/>
            <w:vAlign w:val="center"/>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参加培训人员范围（共   人，见《培训人员签到表》）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2" w:hRule="atLeast"/>
          <w:jc w:val="center"/>
        </w:trPr>
        <w:tc>
          <w:tcPr>
            <w:tcW w:w="9572" w:type="dxa"/>
            <w:gridSpan w:val="4"/>
          </w:tcPr>
          <w:p>
            <w:pPr>
              <w:spacing w:before="156" w:beforeLines="50" w:after="156" w:afterLines="5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培训内容摘要：</w:t>
            </w: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见演练方案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4" w:hRule="atLeast"/>
          <w:jc w:val="center"/>
        </w:trPr>
        <w:tc>
          <w:tcPr>
            <w:tcW w:w="9572" w:type="dxa"/>
            <w:gridSpan w:val="4"/>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演练记录：</w:t>
            </w:r>
          </w:p>
          <w:p>
            <w:pPr>
              <w:ind w:firstLine="3360" w:firstLineChars="14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ind w:firstLine="3360" w:firstLineChars="14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ind w:firstLine="3360" w:firstLineChars="1400"/>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ind w:right="480" w:firstLine="4200" w:firstLineChars="1750"/>
              <w:jc w:val="righ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记录人： </w:t>
            </w:r>
          </w:p>
          <w:p>
            <w:pPr>
              <w:ind w:right="480" w:firstLine="4200" w:firstLineChars="1750"/>
              <w:jc w:val="righ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 xml:space="preserve">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9572" w:type="dxa"/>
            <w:gridSpan w:val="4"/>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演练效果评价：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7" w:hRule="atLeast"/>
          <w:jc w:val="center"/>
        </w:trPr>
        <w:tc>
          <w:tcPr>
            <w:tcW w:w="9572" w:type="dxa"/>
            <w:gridSpan w:val="4"/>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7" w:hRule="atLeast"/>
          <w:jc w:val="center"/>
        </w:trPr>
        <w:tc>
          <w:tcPr>
            <w:tcW w:w="9572" w:type="dxa"/>
            <w:gridSpan w:val="4"/>
          </w:tcPr>
          <w:p>
            <w:pP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t>预案评价：</w:t>
            </w:r>
          </w:p>
        </w:tc>
      </w:tr>
    </w:tbl>
    <w:p>
      <w:pPr>
        <w:widowControl/>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pStyle w:val="40"/>
        <w:widowControl/>
        <w:numPr>
          <w:ilvl w:val="0"/>
          <w:numId w:val="18"/>
        </w:numPr>
        <w:ind w:firstLineChars="0"/>
        <w:jc w:val="left"/>
        <w:rPr>
          <w:rFonts w:ascii="宋体" w:hAnsi="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cs="宋体"/>
          <w:color w:val="262626" w:themeColor="text1" w:themeTint="D9"/>
          <w:sz w:val="24"/>
          <w:szCs w:val="24"/>
          <w14:textFill>
            <w14:solidFill>
              <w14:schemeClr w14:val="tx1">
                <w14:lumMod w14:val="85000"/>
                <w14:lumOff w14:val="15000"/>
              </w14:schemeClr>
            </w14:solidFill>
          </w14:textFill>
        </w:rPr>
        <w:t>视频、图片资料</w:t>
      </w:r>
    </w:p>
    <w:p>
      <w:pPr>
        <w:widowControl/>
        <w:jc w:val="left"/>
        <w:rPr>
          <w:rFonts w:ascii="宋体" w:hAnsi="宋体" w:eastAsia="宋体" w:cs="宋体"/>
          <w:color w:val="262626" w:themeColor="text1" w:themeTint="D9"/>
          <w:sz w:val="24"/>
          <w:szCs w:val="24"/>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br w:type="page"/>
      </w:r>
    </w:p>
    <w:p>
      <w:pPr>
        <w:spacing w:line="360" w:lineRule="auto"/>
        <w:jc w:val="left"/>
        <w:outlineLvl w:val="0"/>
        <w:rPr>
          <w:rFonts w:ascii="宋体" w:hAnsi="宋体" w:eastAsia="宋体" w:cs="宋体"/>
          <w:b/>
          <w:color w:val="262626" w:themeColor="text1" w:themeTint="D9"/>
          <w:sz w:val="28"/>
          <w:szCs w:val="24"/>
          <w14:textFill>
            <w14:solidFill>
              <w14:schemeClr w14:val="tx1">
                <w14:lumMod w14:val="85000"/>
                <w14:lumOff w14:val="15000"/>
              </w14:schemeClr>
            </w14:solidFill>
          </w14:textFill>
        </w:rPr>
      </w:pPr>
      <w:bookmarkStart w:id="46" w:name="_Toc3504_WPSOffice_Level1"/>
      <w:r>
        <w:rPr>
          <w:rFonts w:hint="eastAsia" w:ascii="宋体" w:hAnsi="宋体" w:eastAsia="宋体" w:cs="宋体"/>
          <w:b/>
          <w:color w:val="262626" w:themeColor="text1" w:themeTint="D9"/>
          <w:sz w:val="28"/>
          <w:szCs w:val="24"/>
          <w14:textFill>
            <w14:solidFill>
              <w14:schemeClr w14:val="tx1">
                <w14:lumMod w14:val="85000"/>
                <w14:lumOff w14:val="15000"/>
              </w14:schemeClr>
            </w14:solidFill>
          </w14:textFill>
        </w:rPr>
        <w:t>7、有限空间日常检查要求</w:t>
      </w:r>
      <w:bookmarkEnd w:id="46"/>
    </w:p>
    <w:tbl>
      <w:tblPr>
        <w:tblStyle w:val="17"/>
        <w:tblW w:w="9931"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1057"/>
        <w:gridCol w:w="3565"/>
        <w:gridCol w:w="2524"/>
        <w:gridCol w:w="2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jc w:val="cente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序号</w:t>
            </w:r>
          </w:p>
        </w:tc>
        <w:tc>
          <w:tcPr>
            <w:tcW w:w="1057" w:type="dxa"/>
          </w:tcPr>
          <w:p>
            <w:pPr>
              <w:jc w:val="cente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检查项目</w:t>
            </w:r>
          </w:p>
        </w:tc>
        <w:tc>
          <w:tcPr>
            <w:tcW w:w="3565" w:type="dxa"/>
          </w:tcPr>
          <w:p>
            <w:pPr>
              <w:jc w:val="cente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检查要求</w:t>
            </w:r>
          </w:p>
        </w:tc>
        <w:tc>
          <w:tcPr>
            <w:tcW w:w="2524" w:type="dxa"/>
          </w:tcPr>
          <w:p>
            <w:pPr>
              <w:jc w:val="cente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检查内容</w:t>
            </w:r>
          </w:p>
        </w:tc>
        <w:tc>
          <w:tcPr>
            <w:tcW w:w="2031" w:type="dxa"/>
          </w:tcPr>
          <w:p>
            <w:pPr>
              <w:jc w:val="cente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restart"/>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1</w:t>
            </w:r>
          </w:p>
        </w:tc>
        <w:tc>
          <w:tcPr>
            <w:tcW w:w="1057" w:type="dxa"/>
            <w:vMerge w:val="restart"/>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安全制度</w:t>
            </w: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（1）有限空间作业安全生产责任制；</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主要负责人职责</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作业负责人职责</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监护人职责</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作业人员职责</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（2）有限空间作业安全操作规程；</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 xml:space="preserve">（3）有限空间作业审批制度； </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（4）有限空间安全教育培训制度；</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有限空间作业现场负责人、监护人员、作业人员、应急救援人员</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（5）有限空间生产安全事故应急救援预案。</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①制定有限空间应急预案</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②救援人员经过专业培训</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③救援人员应有在规定时间内、在有限空间危害已被识别的情况下对受害者实施救援的能力</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④配备必要的救援设备和物资。如空气呼吸器、防毒面罩、通讯设备、消防器材、安全绳索、急救药品和清水等应急装备和器材</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⑤应急管理。预案演练定期评审和更新</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（6）承发包管理制度；</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（7）持证上岗制度；</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（8）设备检维修、效验制度；</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（9）有限空间作业现场安全管理制度</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（10）安全投入情况。</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2</w:t>
            </w:r>
          </w:p>
        </w:tc>
        <w:tc>
          <w:tcPr>
            <w:tcW w:w="1057"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有限空间台账</w:t>
            </w: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对本企业的有限空间进行辨识，确定有限空间的数量、位置以及危险有害因素等基本情况；</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有限空间内部设施</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地标-1通则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3</w:t>
            </w:r>
          </w:p>
        </w:tc>
        <w:tc>
          <w:tcPr>
            <w:tcW w:w="1057"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警示标志标识</w:t>
            </w: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应有锥筒、警戒线、警示灯、有限空间作业安全告知牌、作业单位信息告知牌。</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①坑、井、洼、沟或人孔、通道出入口应设置防护栏、盖和警告标志、夜间应设警示红灯；</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②为防止无关人员进入有限空间场所，在有限空间醒目处，设置警戒区、警戒线、警戒标志；</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③作业人员进入与输送管道连接的封闭、、半封闭设备（如油罐、反应塔、储罐、锅炉等）内部时，应关闭阀门，装好盲板，设置“禁止启动”警告信息；</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④有限空间作业场所应设置警示标识，提醒危险存在和须经授权才能进入的词语；</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⑤进入带有转动部件的有限空间，电源线路与开关之间有明显的断开点并设警示牌，同时在开关上悬挂“有人检修，禁止合闸”，并设专人监护。</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关于在污水井等有限空间作业现场设置警示标志的通知（京安监发〔2009〕152号）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4</w:t>
            </w:r>
          </w:p>
        </w:tc>
        <w:tc>
          <w:tcPr>
            <w:tcW w:w="1057"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作业设备设施</w:t>
            </w: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应有通风设备、“四合一”气体检测仪、移动式发电机（现场有无电源）、三脚架及照明通讯设备。</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可燃气体的有限空间内严禁使用明火照明和非防爆设备。</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5</w:t>
            </w:r>
          </w:p>
        </w:tc>
        <w:tc>
          <w:tcPr>
            <w:tcW w:w="1057"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劳动防护用品配备</w:t>
            </w: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个体防护的安全帽、全身式安全带、安全绳。</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作业人员应佩戴安全绳或安全带。</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6</w:t>
            </w:r>
          </w:p>
        </w:tc>
        <w:tc>
          <w:tcPr>
            <w:tcW w:w="1057"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应急设备</w:t>
            </w: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长管呼吸器或正压钢瓶呼吸器</w:t>
            </w: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等隔离式呼吸保护器具。</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呼吸器或软管面具等隔离式呼吸保护器具。</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7</w:t>
            </w:r>
          </w:p>
        </w:tc>
        <w:tc>
          <w:tcPr>
            <w:tcW w:w="1057"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教育培训</w:t>
            </w: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对从事有限空间作业人员培训，培训内容：</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①有限空间作业的危险有害因素、危险特性和安全防范措施等；</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②有限空间作业的安全操作规程；</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③检测仪器、劳动防护用品的正确使用；</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④紧急情况下的应急处置措施。</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⑤作业方案、作业内容；</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⑥个人避险常识。</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检查有限空间培训记录；</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包括技术业务理论考核和实际操作技能考核。</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restart"/>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8</w:t>
            </w:r>
          </w:p>
        </w:tc>
        <w:tc>
          <w:tcPr>
            <w:tcW w:w="1057" w:type="dxa"/>
            <w:vMerge w:val="restart"/>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有限空间作业程序和要求</w:t>
            </w: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作业许可审批：</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①未经作业审批，不得进入有限空间作业；</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②危险评估；</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③明确作业现场负责人、监护人员、作业人员及其安全职责。</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有限空间作业票：</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对作业环境进行评估，分析存在的危险有害因素，提出消除、控制危害的措施，制定有限空间作业方案，并经安全生产管理人员审核，负责人批准。</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原国家安全监管总局办公厅关于开展工贸企业有限空间作业条件确认工作的通知DB11 852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Cs w:val="21"/>
                <w14:textFill>
                  <w14:solidFill>
                    <w14:schemeClr w14:val="tx1">
                      <w14:lumMod w14:val="85000"/>
                      <w14:lumOff w14:val="15000"/>
                    </w14:schemeClr>
                  </w14:solidFill>
                </w14:textFill>
              </w:rPr>
              <w:t>作业前准备：</w:t>
            </w: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作业负责人接到任务后，应做好如下工作：</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①明确班组人员工作分工，对安全工作提出明确要求；</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②认真填写作业审批表；</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③检查作业装备是否齐全、良好；</w:t>
            </w:r>
          </w:p>
          <w:p>
            <w:pPr>
              <w:ind w:left="1" w:hanging="1"/>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④前往作业现场。</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作业负责人对实施作业的全体人员进行交底，告知作业方案、作业内容和作业现场可能存在的危险有害因素、作业安全要求及应急处置方案等内容告知作业人员；并履行签字确认手续；监督作业人员按照方案进行作业准备。</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Cs w:val="21"/>
                <w14:textFill>
                  <w14:solidFill>
                    <w14:schemeClr w14:val="tx1">
                      <w14:lumMod w14:val="85000"/>
                      <w14:lumOff w14:val="15000"/>
                    </w14:schemeClr>
                  </w14:solidFill>
                </w14:textFill>
              </w:rPr>
              <w:t>作业组织</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①摆放锥筒、设置警戒线、警示灯、有限空间作业安全告知牌、作业单位信息告知牌等。</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封闭作业区域，并在出入口周边显著位置设置安全标志和警示标识。</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②穿戴个人防护器具。</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③现场监护人员对作业环境进行检测，并对每次的检测数值进行登记备案。</w:t>
            </w:r>
          </w:p>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④保证出入口畅通。</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检测指标包括氧浓度值、易燃易爆物质（可燃性气体、爆炸性粉尘）浓度值、有毒气体浓度值等。未经检测，严禁作业人员进入有限空间。</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Cs w:val="21"/>
                <w14:textFill>
                  <w14:solidFill>
                    <w14:schemeClr w14:val="tx1">
                      <w14:lumMod w14:val="85000"/>
                      <w14:lumOff w14:val="15000"/>
                    </w14:schemeClr>
                  </w14:solidFill>
                </w14:textFill>
              </w:rPr>
              <w:t>作业环境：</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①安全电压：防爆场所照明符合防爆要求。有限空间照明不应大于24V的安全行灯，在金属设备内和特别潮湿场所，其安全电压应为12V。</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②防静电：当作业环境原来盛装爆炸性液体、气体等介质，则应使用防爆电筒或电压不大于12V的防爆安全行灯，行灯变压器不应放在容器内或容器上；作业人员应穿戴防静电服装，使用防爆工具。</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Cs w:val="21"/>
                <w14:textFill>
                  <w14:solidFill>
                    <w14:schemeClr w14:val="tx1">
                      <w14:lumMod w14:val="85000"/>
                      <w14:lumOff w14:val="15000"/>
                    </w14:schemeClr>
                  </w14:solidFill>
                </w14:textFill>
              </w:rPr>
              <w:t>③</w:t>
            </w: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隔断：有效切断（并使用盲板）与有限空间相连的可燃、有毒有害介质（含氮气系统），并挂牌标识，出入口畅通无障碍物；与有限空间相关的机械上和电气上应隔离并挂警示牌</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④电阻：作业前，应对有限空间或其周围的设备接地，并进行接地电阻检测，确保阻值小于4欧。</w:t>
            </w:r>
          </w:p>
        </w:tc>
        <w:tc>
          <w:tcPr>
            <w:tcW w:w="2524"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Cs w:val="21"/>
                <w14:textFill>
                  <w14:solidFill>
                    <w14:schemeClr w14:val="tx1">
                      <w14:lumMod w14:val="85000"/>
                      <w14:lumOff w14:val="15000"/>
                    </w14:schemeClr>
                  </w14:solidFill>
                </w14:textFill>
              </w:rPr>
              <w:t>实施作业：</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①通风：实施有限空间作业前和作业过程中，可采取强制性通风措施，增加氧气浓度，降低有毒气体浓度，保持空气流通；持续通风可降低有毒气体积聚风险，即使有毒气体在不断释放，只要风量足够，就可避免中毒事故发生。</w:t>
            </w:r>
          </w:p>
        </w:tc>
        <w:tc>
          <w:tcPr>
            <w:tcW w:w="2524"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通风设备必须放置在上风且远离汽车尾气的位置；</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严禁用纯氧进行通风换气；</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纯氧遇明火易引发火灾爆炸。</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②检测：</w:t>
            </w: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检测氧含量、易燃易爆物质（可燃性气体、爆炸性粉尘）浓度和有毒有害气体含量，并根据测定结果采取相应措施；</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在作业环境条件可能发生变化时，应对作业场所中危害因素进行持续或定时检测；</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作业者工作面发生变化时，视为进入新的有限空间，应重新检测后再进入；</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作业中断超过30分钟，作业人员再次进入有限空间作业前，应当重新通风、检测合格后方可进入。</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524" w:type="dxa"/>
          </w:tcPr>
          <w:p>
            <w:pPr>
              <w:ind w:left="-2" w:leftChars="-1" w:firstLine="1"/>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做好检测记录，包括检测时间、地点、气体种类和检测浓度等信息。检测记录经检测人员签字后存档。</w:t>
            </w:r>
          </w:p>
          <w:p>
            <w:pPr>
              <w:ind w:left="-2" w:leftChars="-1" w:firstLine="1"/>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未经通风和检测合格，任何人员不得进入有限空间作业。</w:t>
            </w:r>
          </w:p>
          <w:p>
            <w:pPr>
              <w:ind w:left="-2" w:leftChars="-1" w:firstLine="1"/>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检测的时间不得早于作业开始前30分钟。</w:t>
            </w:r>
          </w:p>
          <w:p>
            <w:pPr>
              <w:ind w:left="-2" w:leftChars="-1" w:firstLine="1"/>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主要有毒有害气体标准：</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硫化氢：作业场所最高容许浓度：10mg/m</w:t>
            </w:r>
            <w:r>
              <w:rPr>
                <w:rFonts w:hint="eastAsia" w:ascii="宋体" w:hAnsi="宋体" w:eastAsia="宋体" w:cs="宋体"/>
                <w:bCs/>
                <w:color w:val="262626" w:themeColor="text1" w:themeTint="D9"/>
                <w:szCs w:val="21"/>
                <w:vertAlign w:val="superscript"/>
                <w14:textFill>
                  <w14:solidFill>
                    <w14:schemeClr w14:val="tx1">
                      <w14:lumMod w14:val="85000"/>
                      <w14:lumOff w14:val="15000"/>
                    </w14:schemeClr>
                  </w14:solidFill>
                </w14:textFill>
              </w:rPr>
              <w:t>3</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氧含量：19.5%≤氧含量≤23.5%</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甲烷：小于爆炸下限5%</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一氧化碳：小于爆炸下限12.5%；作业场所最高容许浓度：20mg/m</w:t>
            </w:r>
            <w:r>
              <w:rPr>
                <w:rFonts w:hint="eastAsia" w:ascii="宋体" w:hAnsi="宋体" w:eastAsia="宋体" w:cs="宋体"/>
                <w:bCs/>
                <w:color w:val="262626" w:themeColor="text1" w:themeTint="D9"/>
                <w:szCs w:val="21"/>
                <w:vertAlign w:val="superscript"/>
                <w14:textFill>
                  <w14:solidFill>
                    <w14:schemeClr w14:val="tx1">
                      <w14:lumMod w14:val="85000"/>
                      <w14:lumOff w14:val="15000"/>
                    </w14:schemeClr>
                  </w14:solidFill>
                </w14:textFill>
              </w:rPr>
              <w:t>3</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化学品生产单位受限空间作业安全规范（AQ3028-2008）</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③作业：在现场检测人员确认有限空间环境安全的前提下，作业人员方可进入有限空间作业。</w:t>
            </w:r>
          </w:p>
        </w:tc>
        <w:tc>
          <w:tcPr>
            <w:tcW w:w="2524" w:type="dxa"/>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作业人员必须穿戴好全身式安全带和安全绳，佩戴安全帽。</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④监护：监护人员，密切监视作业情况，不得离岗，发现异常情况，应及时采取有效措施；现场安全管理应确保操作规程的遵守和安全措施的落实。</w:t>
            </w:r>
          </w:p>
        </w:tc>
        <w:tc>
          <w:tcPr>
            <w:tcW w:w="2524"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现场</w:t>
            </w: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监护人员必须经过培训，</w:t>
            </w: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持有特种作业证；</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严禁多处有限空间同时作业只有一名监护人员的现象；</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监护人呢应熟悉作业场所工艺、环境情况，有判断和处理异常情况的能力，懂急救知识。</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北京市安全生产监督管理局关于地下有限空间作业现场监护人员必须持证上岗的通告（京安监发〔2010〕68号）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3565" w:type="dxa"/>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Cs w:val="21"/>
                <w14:textFill>
                  <w14:solidFill>
                    <w14:schemeClr w14:val="tx1">
                      <w14:lumMod w14:val="85000"/>
                      <w14:lumOff w14:val="15000"/>
                    </w14:schemeClr>
                  </w14:solidFill>
                </w14:textFill>
              </w:rPr>
              <w:t>撤场：</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作业结束后，作业现场负责人、监护人员</w:t>
            </w: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应清点人数和设备</w:t>
            </w: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，对作业现场进行清理，撤离作业人员。</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1、盖好井盖；</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2、作业材料和工具；</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3、通风和个人防护及检测设备；</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4、告知牌；</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5、警戒线、警示灯；</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6、锥筒；</w:t>
            </w:r>
          </w:p>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7、人员上车安全撤离。</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9</w:t>
            </w:r>
          </w:p>
        </w:tc>
        <w:tc>
          <w:tcPr>
            <w:tcW w:w="1057" w:type="dxa"/>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承包商</w:t>
            </w:r>
          </w:p>
        </w:tc>
        <w:tc>
          <w:tcPr>
            <w:tcW w:w="3565" w:type="dxa"/>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工贸企业对其发包的有限空间作业安全承担主体责任。承包方对其承包的有限空间作业安全承担直接责任。</w:t>
            </w:r>
          </w:p>
        </w:tc>
        <w:tc>
          <w:tcPr>
            <w:tcW w:w="2524"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承包方具备安全生产条件；</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与承包方签订专门的安全生产管理协议或者在承包合同中明确各自的安全生产职责；</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承包单位是否具备以下安全生产条件：安全设备设施、安全管理制度、特种作业操作资格证书。</w:t>
            </w:r>
          </w:p>
        </w:tc>
        <w:tc>
          <w:tcPr>
            <w:tcW w:w="2031" w:type="dxa"/>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北京市安全生产委员会办公室关于加强有限空间作业承发包安全管理的通知。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restart"/>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10</w:t>
            </w:r>
          </w:p>
        </w:tc>
        <w:tc>
          <w:tcPr>
            <w:tcW w:w="1057" w:type="dxa"/>
            <w:vMerge w:val="restart"/>
          </w:tcPr>
          <w:p>
            <w:pPr>
              <w:rPr>
                <w:rFonts w:ascii="宋体" w:hAnsi="宋体" w:eastAsia="宋体" w:cs="宋体"/>
                <w:bCs/>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其他要求</w:t>
            </w:r>
          </w:p>
        </w:tc>
        <w:tc>
          <w:tcPr>
            <w:tcW w:w="8120" w:type="dxa"/>
            <w:gridSpan w:val="3"/>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有限空间作业属高风险作业，作业人员上岗前，应进行体检，患有心血管病、糖尿病或身体体质较弱的人员，不宜从事此项工作。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8120" w:type="dxa"/>
            <w:gridSpan w:val="3"/>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有限空间作业安全要点：一通、二检、三持续、四防护：</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一通：作业前，要先对有限空间进行通风；</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二检：作业前，要先对有限空间内气体进行检测；</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三持续：作业过程中，要持续通风、持续检测；</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bCs/>
                <w:color w:val="262626" w:themeColor="text1" w:themeTint="D9"/>
                <w:szCs w:val="21"/>
                <w14:textFill>
                  <w14:solidFill>
                    <w14:schemeClr w14:val="tx1">
                      <w14:lumMod w14:val="85000"/>
                      <w14:lumOff w14:val="15000"/>
                    </w14:schemeClr>
                  </w14:solidFill>
                </w14:textFill>
              </w:rPr>
              <w:t>四防护：作业过程中，作业人员要佩戴符合国家标准的防护用品。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 w:type="dxa"/>
            <w:vMerge w:val="continue"/>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p>
        </w:tc>
        <w:tc>
          <w:tcPr>
            <w:tcW w:w="1057" w:type="dxa"/>
            <w:vMerge w:val="continue"/>
          </w:tcPr>
          <w:p>
            <w:pPr>
              <w:rPr>
                <w:rFonts w:ascii="宋体" w:hAnsi="宋体" w:eastAsia="宋体" w:cs="宋体"/>
                <w:b/>
                <w:bCs/>
                <w:color w:val="262626" w:themeColor="text1" w:themeTint="D9"/>
                <w:szCs w:val="21"/>
                <w14:textFill>
                  <w14:solidFill>
                    <w14:schemeClr w14:val="tx1">
                      <w14:lumMod w14:val="85000"/>
                      <w14:lumOff w14:val="15000"/>
                    </w14:schemeClr>
                  </w14:solidFill>
                </w14:textFill>
              </w:rPr>
            </w:pPr>
          </w:p>
        </w:tc>
        <w:tc>
          <w:tcPr>
            <w:tcW w:w="8120" w:type="dxa"/>
            <w:gridSpan w:val="3"/>
          </w:tcPr>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（一）保持有限空间出入口畅通；</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（二）设置明显的安全警示标志和警示说明；</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（三）作业前清点作业人员和工器具；</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（四）作业人员与外部有可靠的通讯联络；</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（五）监护人员不得离开作业现场，并与作业人员保持联系；</w:t>
            </w:r>
          </w:p>
          <w:p>
            <w:pPr>
              <w:rPr>
                <w:rFonts w:ascii="宋体" w:hAnsi="宋体" w:eastAsia="宋体" w:cs="宋体"/>
                <w:color w:val="262626" w:themeColor="text1" w:themeTint="D9"/>
                <w:szCs w:val="21"/>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1"/>
                <w14:textFill>
                  <w14:solidFill>
                    <w14:schemeClr w14:val="tx1">
                      <w14:lumMod w14:val="85000"/>
                      <w14:lumOff w14:val="15000"/>
                    </w14:schemeClr>
                  </w14:solidFill>
                </w14:textFill>
              </w:rPr>
              <w:t>（六）存在交叉作业时，采取避免互相伤害的措施。</w:t>
            </w:r>
          </w:p>
        </w:tc>
      </w:tr>
    </w:tbl>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bl>
      <w:tblPr>
        <w:tblStyle w:val="17"/>
        <w:tblpPr w:leftFromText="180" w:rightFromText="180" w:vertAnchor="text" w:horzAnchor="page" w:tblpX="1249" w:tblpY="461"/>
        <w:tblOverlap w:val="never"/>
        <w:tblW w:w="9440" w:type="dxa"/>
        <w:tblInd w:w="0" w:type="dxa"/>
        <w:tblLayout w:type="fixed"/>
        <w:tblCellMar>
          <w:top w:w="0" w:type="dxa"/>
          <w:left w:w="0" w:type="dxa"/>
          <w:bottom w:w="0" w:type="dxa"/>
          <w:right w:w="0" w:type="dxa"/>
        </w:tblCellMar>
      </w:tblPr>
      <w:tblGrid>
        <w:gridCol w:w="2309"/>
        <w:gridCol w:w="121"/>
        <w:gridCol w:w="4610"/>
        <w:gridCol w:w="2400"/>
      </w:tblGrid>
      <w:tr>
        <w:trPr>
          <w:trHeight w:val="800" w:hRule="atLeast"/>
        </w:trPr>
        <w:tc>
          <w:tcPr>
            <w:tcW w:w="9440" w:type="dxa"/>
            <w:gridSpan w:val="4"/>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kern w:val="0"/>
                <w:sz w:val="36"/>
                <w:szCs w:val="36"/>
                <w:lang w:bidi="ar"/>
              </w:rPr>
            </w:pPr>
          </w:p>
          <w:p>
            <w:pPr>
              <w:widowControl/>
              <w:jc w:val="center"/>
              <w:textAlignment w:val="center"/>
              <w:rPr>
                <w:rFonts w:ascii="宋体" w:hAnsi="宋体" w:eastAsia="宋体" w:cs="宋体"/>
                <w:b/>
                <w:color w:val="000000"/>
                <w:kern w:val="0"/>
                <w:sz w:val="36"/>
                <w:szCs w:val="36"/>
                <w:lang w:bidi="ar"/>
              </w:rPr>
            </w:pPr>
          </w:p>
          <w:p>
            <w:pPr>
              <w:widowControl/>
              <w:jc w:val="center"/>
              <w:textAlignment w:val="center"/>
              <w:rPr>
                <w:rFonts w:ascii="宋体" w:hAnsi="宋体" w:eastAsia="宋体" w:cs="宋体"/>
                <w:b/>
                <w:color w:val="000000"/>
                <w:kern w:val="0"/>
                <w:sz w:val="36"/>
                <w:szCs w:val="36"/>
                <w:lang w:bidi="ar"/>
              </w:rPr>
            </w:pPr>
          </w:p>
          <w:p>
            <w:pPr>
              <w:widowControl/>
              <w:jc w:val="center"/>
              <w:textAlignment w:val="center"/>
              <w:rPr>
                <w:rFonts w:ascii="宋体" w:hAnsi="宋体" w:eastAsia="宋体" w:cs="宋体"/>
                <w:b/>
                <w:color w:val="000000"/>
                <w:kern w:val="0"/>
                <w:sz w:val="36"/>
                <w:szCs w:val="36"/>
                <w:lang w:bidi="ar"/>
              </w:rPr>
            </w:pPr>
          </w:p>
          <w:p>
            <w:pPr>
              <w:widowControl/>
              <w:jc w:val="center"/>
              <w:textAlignment w:val="center"/>
              <w:rPr>
                <w:rFonts w:ascii="宋体" w:hAnsi="宋体" w:eastAsia="宋体" w:cs="宋体"/>
                <w:b/>
                <w:color w:val="000000"/>
                <w:kern w:val="0"/>
                <w:sz w:val="36"/>
                <w:szCs w:val="36"/>
                <w:lang w:bidi="ar"/>
              </w:rPr>
            </w:pPr>
          </w:p>
          <w:p>
            <w:pPr>
              <w:widowControl/>
              <w:jc w:val="center"/>
              <w:textAlignment w:val="center"/>
              <w:rPr>
                <w:rFonts w:ascii="宋体" w:hAnsi="宋体" w:eastAsia="宋体" w:cs="宋体"/>
                <w:b/>
                <w:color w:val="000000"/>
                <w:kern w:val="0"/>
                <w:sz w:val="36"/>
                <w:szCs w:val="36"/>
                <w:lang w:bidi="ar"/>
              </w:rPr>
            </w:pPr>
          </w:p>
          <w:p>
            <w:pPr>
              <w:widowControl/>
              <w:textAlignment w:val="center"/>
              <w:rPr>
                <w:rFonts w:ascii="宋体" w:hAnsi="宋体" w:eastAsia="宋体" w:cs="宋体"/>
                <w:b/>
                <w:color w:val="000000"/>
                <w:kern w:val="0"/>
                <w:sz w:val="36"/>
                <w:szCs w:val="36"/>
                <w:lang w:bidi="ar"/>
              </w:rPr>
            </w:pPr>
          </w:p>
          <w:p>
            <w:pPr>
              <w:widowControl/>
              <w:jc w:val="center"/>
              <w:textAlignment w:val="center"/>
              <w:rPr>
                <w:rFonts w:ascii="宋体" w:hAnsi="宋体" w:eastAsia="宋体" w:cs="宋体"/>
                <w:b/>
                <w:color w:val="000000"/>
                <w:kern w:val="0"/>
                <w:sz w:val="36"/>
                <w:szCs w:val="36"/>
                <w:lang w:bidi="ar"/>
              </w:rPr>
            </w:pPr>
            <w:r>
              <w:rPr>
                <w:rFonts w:hint="eastAsia" w:ascii="宋体" w:hAnsi="宋体" w:eastAsia="宋体" w:cs="宋体"/>
                <w:b/>
                <w:color w:val="000000"/>
                <w:kern w:val="0"/>
                <w:sz w:val="36"/>
                <w:szCs w:val="36"/>
                <w:lang w:bidi="ar"/>
              </w:rPr>
              <w:t>08、 有 限 空 间 作 业 许 可 证</w:t>
            </w:r>
          </w:p>
          <w:p>
            <w:pPr>
              <w:widowControl/>
              <w:jc w:val="center"/>
              <w:textAlignment w:val="center"/>
              <w:rPr>
                <w:rFonts w:ascii="宋体" w:hAnsi="宋体" w:eastAsia="宋体" w:cs="宋体"/>
                <w:b/>
                <w:color w:val="000000"/>
                <w:kern w:val="0"/>
                <w:sz w:val="36"/>
                <w:szCs w:val="36"/>
                <w:lang w:bidi="ar"/>
              </w:rPr>
            </w:pPr>
          </w:p>
        </w:tc>
      </w:tr>
      <w:tr>
        <w:tblPrEx>
          <w:tblCellMar>
            <w:top w:w="0" w:type="dxa"/>
            <w:left w:w="0" w:type="dxa"/>
            <w:bottom w:w="0" w:type="dxa"/>
            <w:right w:w="0" w:type="dxa"/>
          </w:tblCellMar>
        </w:tblPrEx>
        <w:trPr>
          <w:trHeight w:val="403"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申请人</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4"/>
                <w:szCs w:val="24"/>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部门/单位</w:t>
            </w:r>
          </w:p>
        </w:tc>
      </w:tr>
      <w:tr>
        <w:tblPrEx>
          <w:tblCellMar>
            <w:top w:w="0" w:type="dxa"/>
            <w:left w:w="0" w:type="dxa"/>
            <w:bottom w:w="0" w:type="dxa"/>
            <w:right w:w="0" w:type="dxa"/>
          </w:tblCellMar>
        </w:tblPrEx>
        <w:trPr>
          <w:trHeight w:val="403"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作业负责人</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4"/>
                <w:szCs w:val="24"/>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tblPrEx>
          <w:tblCellMar>
            <w:top w:w="0" w:type="dxa"/>
            <w:left w:w="0" w:type="dxa"/>
            <w:bottom w:w="0" w:type="dxa"/>
            <w:right w:w="0" w:type="dxa"/>
          </w:tblCellMar>
        </w:tblPrEx>
        <w:trPr>
          <w:trHeight w:val="403"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监护人</w:t>
            </w:r>
          </w:p>
        </w:tc>
        <w:tc>
          <w:tcPr>
            <w:tcW w:w="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4"/>
                <w:szCs w:val="24"/>
              </w:rPr>
            </w:pPr>
          </w:p>
        </w:tc>
        <w:tc>
          <w:tcPr>
            <w:tcW w:w="4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作业人员</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403"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作业地点</w:t>
            </w:r>
          </w:p>
        </w:tc>
        <w:tc>
          <w:tcPr>
            <w:tcW w:w="713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403"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作业内容</w:t>
            </w:r>
          </w:p>
        </w:tc>
        <w:tc>
          <w:tcPr>
            <w:tcW w:w="713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403"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作业时间</w:t>
            </w:r>
          </w:p>
        </w:tc>
        <w:tc>
          <w:tcPr>
            <w:tcW w:w="713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 xml:space="preserve">       年   </w:t>
            </w:r>
            <w:r>
              <w:rPr>
                <w:rStyle w:val="57"/>
                <w:rFonts w:hint="default"/>
                <w:lang w:bidi="ar"/>
              </w:rPr>
              <w:t>月   日   时   分始至      年   月   日   时   分止</w:t>
            </w:r>
          </w:p>
        </w:tc>
      </w:tr>
      <w:tr>
        <w:tblPrEx>
          <w:tblCellMar>
            <w:top w:w="0" w:type="dxa"/>
            <w:left w:w="0" w:type="dxa"/>
            <w:bottom w:w="0" w:type="dxa"/>
            <w:right w:w="0" w:type="dxa"/>
          </w:tblCellMar>
        </w:tblPrEx>
        <w:trPr>
          <w:trHeight w:val="403"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4731" w:type="dxa"/>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主要安全措施</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确认人</w:t>
            </w: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EHS对监护人员和作业人员进行必要的安全教育和作业环境交底</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作业前对有限空间作业危险性进行分析，识别出所有危害因素</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作业负责人、监护人员和作业人员经过有限空间作业安全培训</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作业人员清楚有限空间内存在的危害因素，佩戴好相应的防护用品</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有限空间内各气体浓度检测合格</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所有与有限空间相连的管线、阀门必须断开并按规定进行吹扫、置换</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600"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打开设备通风口自然通风，必要时采用强制性通风或佩戴隔离式防毒面具</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有限空间内的照明使用安全电压和安全行灯</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left"/>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带搅拌机的设备要切断电源，并悬挂“有人检修，禁止合闸”标示牌</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left"/>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现场应配备防毒面具、灭火器、应急照明、安全绳等应急物资</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left"/>
              <w:rPr>
                <w:rFonts w:ascii="宋体" w:hAnsi="宋体" w:eastAsia="宋体" w:cs="宋体"/>
                <w:color w:val="000000"/>
                <w:sz w:val="24"/>
                <w:szCs w:val="24"/>
              </w:rPr>
            </w:pPr>
          </w:p>
        </w:tc>
      </w:tr>
      <w:tr>
        <w:tblPrEx>
          <w:tblCellMar>
            <w:top w:w="0" w:type="dxa"/>
            <w:left w:w="0" w:type="dxa"/>
            <w:bottom w:w="0" w:type="dxa"/>
            <w:right w:w="0" w:type="dxa"/>
          </w:tblCellMar>
        </w:tblPrEx>
        <w:trPr>
          <w:trHeight w:val="49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有限空间进出口通道保持畅通，不得有阻碍人员进出的障碍物</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left"/>
              <w:rPr>
                <w:rFonts w:ascii="宋体" w:hAnsi="宋体" w:eastAsia="宋体" w:cs="宋体"/>
                <w:color w:val="000000"/>
                <w:sz w:val="24"/>
                <w:szCs w:val="24"/>
              </w:rPr>
            </w:pPr>
          </w:p>
        </w:tc>
      </w:tr>
      <w:tr>
        <w:tblPrEx>
          <w:tblCellMar>
            <w:top w:w="0" w:type="dxa"/>
            <w:left w:w="0" w:type="dxa"/>
            <w:bottom w:w="0" w:type="dxa"/>
            <w:right w:w="0" w:type="dxa"/>
          </w:tblCellMar>
        </w:tblPrEx>
        <w:trPr>
          <w:trHeight w:val="1035" w:hRule="atLeast"/>
        </w:trPr>
        <w:tc>
          <w:tcPr>
            <w:tcW w:w="2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47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其他安全措施：</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420" w:hRule="atLeast"/>
        </w:trPr>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作业现场负责人意见：</w:t>
            </w:r>
          </w:p>
        </w:tc>
        <w:tc>
          <w:tcPr>
            <w:tcW w:w="4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作业区域负责人意见：</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EHS意见：</w:t>
            </w:r>
          </w:p>
        </w:tc>
      </w:tr>
      <w:tr>
        <w:tblPrEx>
          <w:tblCellMar>
            <w:top w:w="0" w:type="dxa"/>
            <w:left w:w="0" w:type="dxa"/>
            <w:bottom w:w="0" w:type="dxa"/>
            <w:right w:w="0" w:type="dxa"/>
          </w:tblCellMar>
        </w:tblPrEx>
        <w:trPr>
          <w:trHeight w:val="1635" w:hRule="atLeast"/>
        </w:trPr>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4"/>
                <w:szCs w:val="24"/>
              </w:rPr>
            </w:pPr>
            <w:r>
              <w:rPr>
                <w:rFonts w:hint="eastAsia" w:ascii="宋体" w:hAnsi="宋体" w:eastAsia="宋体" w:cs="宋体"/>
                <w:color w:val="000000"/>
                <w:kern w:val="0"/>
                <w:sz w:val="24"/>
                <w:szCs w:val="24"/>
                <w:lang w:bidi="ar"/>
              </w:rPr>
              <w:t xml:space="preserve">签字：                                            </w:t>
            </w:r>
          </w:p>
        </w:tc>
        <w:tc>
          <w:tcPr>
            <w:tcW w:w="4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4"/>
                <w:szCs w:val="24"/>
              </w:rPr>
            </w:pPr>
            <w:r>
              <w:rPr>
                <w:rFonts w:hint="eastAsia" w:ascii="宋体" w:hAnsi="宋体" w:eastAsia="宋体" w:cs="宋体"/>
                <w:color w:val="000000"/>
                <w:kern w:val="0"/>
                <w:sz w:val="24"/>
                <w:szCs w:val="24"/>
                <w:lang w:bidi="ar"/>
              </w:rPr>
              <w:t xml:space="preserve">签字：                                        </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4"/>
                <w:szCs w:val="24"/>
              </w:rPr>
            </w:pPr>
            <w:r>
              <w:rPr>
                <w:rFonts w:hint="eastAsia" w:ascii="宋体" w:hAnsi="宋体" w:eastAsia="宋体" w:cs="宋体"/>
                <w:color w:val="000000"/>
                <w:kern w:val="0"/>
                <w:sz w:val="24"/>
                <w:szCs w:val="24"/>
                <w:lang w:bidi="ar"/>
              </w:rPr>
              <w:t xml:space="preserve">签字：                        </w:t>
            </w:r>
          </w:p>
        </w:tc>
      </w:tr>
      <w:tr>
        <w:trPr>
          <w:trHeight w:val="675" w:hRule="atLeast"/>
        </w:trPr>
        <w:tc>
          <w:tcPr>
            <w:tcW w:w="944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有限空间作业人员签字：</w:t>
            </w:r>
          </w:p>
        </w:tc>
      </w:tr>
      <w:tr>
        <w:tblPrEx>
          <w:tblCellMar>
            <w:top w:w="0" w:type="dxa"/>
            <w:left w:w="0" w:type="dxa"/>
            <w:bottom w:w="0" w:type="dxa"/>
            <w:right w:w="0" w:type="dxa"/>
          </w:tblCellMar>
        </w:tblPrEx>
        <w:trPr>
          <w:trHeight w:val="1080" w:hRule="atLeast"/>
        </w:trPr>
        <w:tc>
          <w:tcPr>
            <w:tcW w:w="944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说明：1、有限空间作业申请人应在作业前至EHS办理有限空间作业审批，对不符合有限空间作业审批规定申请，不得办理有限空间作业许可证；                                                                                                                                                      2、此表一式二份，第一联由EHS留存，第二联由作业单位留存并悬挂作业现场。</w:t>
            </w:r>
          </w:p>
        </w:tc>
      </w:tr>
    </w:tbl>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p>
      <w:pPr>
        <w:spacing w:line="360" w:lineRule="auto"/>
        <w:ind w:firstLine="879"/>
        <w:jc w:val="center"/>
        <w:rPr>
          <w:rFonts w:ascii="宋体" w:hAnsi="宋体" w:eastAsia="宋体" w:cs="宋体"/>
          <w:color w:val="262626" w:themeColor="text1" w:themeTint="D9"/>
          <w:sz w:val="24"/>
          <w:szCs w:val="24"/>
          <w14:textFill>
            <w14:solidFill>
              <w14:schemeClr w14:val="tx1">
                <w14:lumMod w14:val="85000"/>
                <w14:lumOff w14:val="15000"/>
              </w14:schemeClr>
            </w14:solidFill>
          </w14:textFill>
        </w:rPr>
      </w:pPr>
    </w:p>
    <w:tbl>
      <w:tblPr>
        <w:tblStyle w:val="17"/>
        <w:tblpPr w:leftFromText="180" w:rightFromText="180" w:vertAnchor="text" w:horzAnchor="page" w:tblpXSpec="center" w:tblpY="493"/>
        <w:tblOverlap w:val="never"/>
        <w:tblW w:w="10517" w:type="dxa"/>
        <w:tblInd w:w="0" w:type="dxa"/>
        <w:tblLayout w:type="autofit"/>
        <w:tblCellMar>
          <w:top w:w="0" w:type="dxa"/>
          <w:left w:w="0" w:type="dxa"/>
          <w:bottom w:w="0" w:type="dxa"/>
          <w:right w:w="0" w:type="dxa"/>
        </w:tblCellMar>
      </w:tblPr>
      <w:tblGrid>
        <w:gridCol w:w="866"/>
        <w:gridCol w:w="1676"/>
        <w:gridCol w:w="1676"/>
        <w:gridCol w:w="1676"/>
        <w:gridCol w:w="1676"/>
        <w:gridCol w:w="1676"/>
        <w:gridCol w:w="1271"/>
      </w:tblGrid>
      <w:tr>
        <w:tblPrEx>
          <w:tblCellMar>
            <w:top w:w="0" w:type="dxa"/>
            <w:left w:w="0" w:type="dxa"/>
            <w:bottom w:w="0" w:type="dxa"/>
            <w:right w:w="0" w:type="dxa"/>
          </w:tblCellMar>
        </w:tblPrEx>
        <w:trPr>
          <w:trHeight w:val="800" w:hRule="atLeast"/>
        </w:trPr>
        <w:tc>
          <w:tcPr>
            <w:tcW w:w="10517" w:type="dxa"/>
            <w:gridSpan w:val="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color w:val="000000"/>
                <w:kern w:val="0"/>
                <w:sz w:val="32"/>
                <w:szCs w:val="32"/>
                <w:lang w:bidi="ar"/>
              </w:rPr>
            </w:pPr>
          </w:p>
          <w:p>
            <w:pPr>
              <w:widowControl/>
              <w:textAlignment w:val="center"/>
              <w:rPr>
                <w:rFonts w:ascii="宋体" w:hAnsi="宋体" w:eastAsia="宋体" w:cs="宋体"/>
                <w:color w:val="000000"/>
                <w:kern w:val="0"/>
                <w:sz w:val="32"/>
                <w:szCs w:val="32"/>
                <w:lang w:bidi="ar"/>
              </w:rPr>
            </w:pPr>
          </w:p>
          <w:p>
            <w:pPr>
              <w:widowControl/>
              <w:jc w:val="center"/>
              <w:textAlignment w:val="center"/>
              <w:rPr>
                <w:rFonts w:ascii="宋体" w:hAnsi="宋体" w:eastAsia="宋体" w:cs="宋体"/>
                <w:b/>
                <w:bCs/>
                <w:color w:val="000000"/>
                <w:kern w:val="0"/>
                <w:sz w:val="32"/>
                <w:szCs w:val="32"/>
                <w:lang w:bidi="ar"/>
              </w:rPr>
            </w:pPr>
            <w:r>
              <w:rPr>
                <w:rFonts w:hint="eastAsia" w:ascii="宋体" w:hAnsi="宋体" w:eastAsia="宋体" w:cs="宋体"/>
                <w:b/>
                <w:bCs/>
                <w:color w:val="000000"/>
                <w:kern w:val="0"/>
                <w:sz w:val="32"/>
                <w:szCs w:val="32"/>
                <w:lang w:bidi="ar"/>
              </w:rPr>
              <w:t>09、有限空间气体检测记录</w:t>
            </w:r>
          </w:p>
          <w:p>
            <w:pPr>
              <w:widowControl/>
              <w:jc w:val="center"/>
              <w:textAlignment w:val="center"/>
              <w:rPr>
                <w:rFonts w:ascii="宋体" w:hAnsi="宋体" w:eastAsia="宋体" w:cs="宋体"/>
                <w:b/>
                <w:bCs/>
                <w:color w:val="000000"/>
                <w:kern w:val="0"/>
                <w:sz w:val="32"/>
                <w:szCs w:val="32"/>
                <w:lang w:bidi="ar"/>
              </w:rPr>
            </w:pPr>
          </w:p>
        </w:tc>
      </w:tr>
      <w:tr>
        <w:tblPrEx>
          <w:tblCellMar>
            <w:top w:w="0" w:type="dxa"/>
            <w:left w:w="0" w:type="dxa"/>
            <w:bottom w:w="0" w:type="dxa"/>
            <w:right w:w="0" w:type="dxa"/>
          </w:tblCellMar>
        </w:tblPrEx>
        <w:trPr>
          <w:trHeight w:val="60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工作内容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作业单位</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检测时间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检测部位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气体种类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检测数值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是否超标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检测人</w:t>
            </w: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r>
    </w:tbl>
    <w:p>
      <w:pPr>
        <w:spacing w:line="360" w:lineRule="auto"/>
        <w:ind w:firstLine="879"/>
        <w:rPr>
          <w:rFonts w:hint="eastAsia" w:ascii="宋体" w:hAnsi="宋体" w:eastAsia="宋体" w:cs="宋体"/>
          <w:color w:val="262626" w:themeColor="text1" w:themeTint="D9"/>
          <w:sz w:val="24"/>
          <w:szCs w:val="24"/>
          <w14:textFill>
            <w14:solidFill>
              <w14:schemeClr w14:val="tx1">
                <w14:lumMod w14:val="85000"/>
                <w14:lumOff w14:val="15000"/>
              </w14:schemeClr>
            </w14:solidFill>
          </w14:textFill>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A1384B"/>
    <w:multiLevelType w:val="singleLevel"/>
    <w:tmpl w:val="03A1384B"/>
    <w:lvl w:ilvl="0" w:tentative="0">
      <w:start w:val="8"/>
      <w:numFmt w:val="decimal"/>
      <w:suff w:val="nothing"/>
      <w:lvlText w:val="%1、"/>
      <w:lvlJc w:val="left"/>
    </w:lvl>
  </w:abstractNum>
  <w:abstractNum w:abstractNumId="1">
    <w:nsid w:val="09DE38B9"/>
    <w:multiLevelType w:val="multilevel"/>
    <w:tmpl w:val="09DE38B9"/>
    <w:lvl w:ilvl="0" w:tentative="0">
      <w:start w:val="1"/>
      <w:numFmt w:val="bullet"/>
      <w:lvlText w:val=""/>
      <w:lvlJc w:val="left"/>
      <w:pPr>
        <w:ind w:left="881" w:hanging="420"/>
      </w:pPr>
      <w:rPr>
        <w:rFonts w:hint="default" w:ascii="Wingdings" w:hAnsi="Wingdings"/>
      </w:rPr>
    </w:lvl>
    <w:lvl w:ilvl="1" w:tentative="0">
      <w:start w:val="1"/>
      <w:numFmt w:val="bullet"/>
      <w:lvlText w:val=""/>
      <w:lvlJc w:val="left"/>
      <w:pPr>
        <w:ind w:left="1301" w:hanging="420"/>
      </w:pPr>
      <w:rPr>
        <w:rFonts w:hint="default" w:ascii="Wingdings" w:hAnsi="Wingdings"/>
      </w:rPr>
    </w:lvl>
    <w:lvl w:ilvl="2" w:tentative="0">
      <w:start w:val="1"/>
      <w:numFmt w:val="bullet"/>
      <w:lvlText w:val=""/>
      <w:lvlJc w:val="left"/>
      <w:pPr>
        <w:ind w:left="1721" w:hanging="420"/>
      </w:pPr>
      <w:rPr>
        <w:rFonts w:hint="default" w:ascii="Wingdings" w:hAnsi="Wingdings"/>
      </w:rPr>
    </w:lvl>
    <w:lvl w:ilvl="3" w:tentative="0">
      <w:start w:val="1"/>
      <w:numFmt w:val="bullet"/>
      <w:lvlText w:val=""/>
      <w:lvlJc w:val="left"/>
      <w:pPr>
        <w:ind w:left="2141" w:hanging="420"/>
      </w:pPr>
      <w:rPr>
        <w:rFonts w:hint="default" w:ascii="Wingdings" w:hAnsi="Wingdings"/>
      </w:rPr>
    </w:lvl>
    <w:lvl w:ilvl="4" w:tentative="0">
      <w:start w:val="1"/>
      <w:numFmt w:val="bullet"/>
      <w:lvlText w:val=""/>
      <w:lvlJc w:val="left"/>
      <w:pPr>
        <w:ind w:left="2561" w:hanging="420"/>
      </w:pPr>
      <w:rPr>
        <w:rFonts w:hint="default" w:ascii="Wingdings" w:hAnsi="Wingdings"/>
      </w:rPr>
    </w:lvl>
    <w:lvl w:ilvl="5" w:tentative="0">
      <w:start w:val="1"/>
      <w:numFmt w:val="bullet"/>
      <w:lvlText w:val=""/>
      <w:lvlJc w:val="left"/>
      <w:pPr>
        <w:ind w:left="2981" w:hanging="420"/>
      </w:pPr>
      <w:rPr>
        <w:rFonts w:hint="default" w:ascii="Wingdings" w:hAnsi="Wingdings"/>
      </w:rPr>
    </w:lvl>
    <w:lvl w:ilvl="6" w:tentative="0">
      <w:start w:val="1"/>
      <w:numFmt w:val="bullet"/>
      <w:lvlText w:val=""/>
      <w:lvlJc w:val="left"/>
      <w:pPr>
        <w:ind w:left="3401" w:hanging="420"/>
      </w:pPr>
      <w:rPr>
        <w:rFonts w:hint="default" w:ascii="Wingdings" w:hAnsi="Wingdings"/>
      </w:rPr>
    </w:lvl>
    <w:lvl w:ilvl="7" w:tentative="0">
      <w:start w:val="1"/>
      <w:numFmt w:val="bullet"/>
      <w:lvlText w:val=""/>
      <w:lvlJc w:val="left"/>
      <w:pPr>
        <w:ind w:left="3821" w:hanging="420"/>
      </w:pPr>
      <w:rPr>
        <w:rFonts w:hint="default" w:ascii="Wingdings" w:hAnsi="Wingdings"/>
      </w:rPr>
    </w:lvl>
    <w:lvl w:ilvl="8" w:tentative="0">
      <w:start w:val="1"/>
      <w:numFmt w:val="bullet"/>
      <w:lvlText w:val=""/>
      <w:lvlJc w:val="left"/>
      <w:pPr>
        <w:ind w:left="4241" w:hanging="420"/>
      </w:pPr>
      <w:rPr>
        <w:rFonts w:hint="default" w:ascii="Wingdings" w:hAnsi="Wingdings"/>
      </w:rPr>
    </w:lvl>
  </w:abstractNum>
  <w:abstractNum w:abstractNumId="2">
    <w:nsid w:val="0AE367E9"/>
    <w:multiLevelType w:val="multilevel"/>
    <w:tmpl w:val="0AE367E9"/>
    <w:lvl w:ilvl="0" w:tentative="0">
      <w:start w:val="1"/>
      <w:numFmt w:val="none"/>
      <w:pStyle w:val="35"/>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118C57EE"/>
    <w:multiLevelType w:val="multilevel"/>
    <w:tmpl w:val="118C57E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DBF583A"/>
    <w:multiLevelType w:val="multilevel"/>
    <w:tmpl w:val="1DBF583A"/>
    <w:lvl w:ilvl="0" w:tentative="0">
      <w:start w:val="1"/>
      <w:numFmt w:val="decimal"/>
      <w:pStyle w:val="39"/>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5">
    <w:nsid w:val="1FC91163"/>
    <w:multiLevelType w:val="multilevel"/>
    <w:tmpl w:val="1FC91163"/>
    <w:lvl w:ilvl="0" w:tentative="0">
      <w:start w:val="1"/>
      <w:numFmt w:val="decimal"/>
      <w:pStyle w:val="3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9"/>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1"/>
      <w:suff w:val="nothing"/>
      <w:lvlText w:val="%1.%2.%3　"/>
      <w:lvlJc w:val="left"/>
      <w:pPr>
        <w:ind w:left="0" w:firstLine="0"/>
      </w:pPr>
      <w:rPr>
        <w:rFonts w:hint="eastAsia" w:ascii="黑体" w:hAnsi="Times New Roman" w:eastAsia="黑体"/>
        <w:b w:val="0"/>
        <w:i w:val="0"/>
        <w:sz w:val="21"/>
      </w:rPr>
    </w:lvl>
    <w:lvl w:ilvl="3" w:tentative="0">
      <w:start w:val="1"/>
      <w:numFmt w:val="decimal"/>
      <w:pStyle w:val="32"/>
      <w:suff w:val="nothing"/>
      <w:lvlText w:val="%1.%2.%3.%4　"/>
      <w:lvlJc w:val="left"/>
      <w:pPr>
        <w:ind w:left="0" w:firstLine="0"/>
      </w:pPr>
      <w:rPr>
        <w:rFonts w:hint="eastAsia" w:ascii="黑体" w:hAnsi="Times New Roman" w:eastAsia="黑体"/>
        <w:b w:val="0"/>
        <w:i w:val="0"/>
        <w:sz w:val="21"/>
      </w:rPr>
    </w:lvl>
    <w:lvl w:ilvl="4" w:tentative="0">
      <w:start w:val="1"/>
      <w:numFmt w:val="decimal"/>
      <w:pStyle w:val="33"/>
      <w:suff w:val="nothing"/>
      <w:lvlText w:val="%1.%2.%3.%4.%5　"/>
      <w:lvlJc w:val="left"/>
      <w:pPr>
        <w:ind w:left="0" w:firstLine="0"/>
      </w:pPr>
      <w:rPr>
        <w:rFonts w:hint="eastAsia" w:ascii="黑体" w:hAnsi="Times New Roman" w:eastAsia="黑体"/>
        <w:b w:val="0"/>
        <w:i w:val="0"/>
        <w:sz w:val="21"/>
      </w:rPr>
    </w:lvl>
    <w:lvl w:ilvl="5" w:tentative="0">
      <w:start w:val="1"/>
      <w:numFmt w:val="decimal"/>
      <w:pStyle w:val="3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31792AA7"/>
    <w:multiLevelType w:val="multilevel"/>
    <w:tmpl w:val="31792AA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C386477"/>
    <w:multiLevelType w:val="multilevel"/>
    <w:tmpl w:val="3C38647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D133097"/>
    <w:multiLevelType w:val="multilevel"/>
    <w:tmpl w:val="3D133097"/>
    <w:lvl w:ilvl="0" w:tentative="0">
      <w:start w:val="1"/>
      <w:numFmt w:val="bullet"/>
      <w:lvlText w:val=""/>
      <w:lvlJc w:val="left"/>
      <w:pPr>
        <w:ind w:left="905" w:hanging="420"/>
      </w:pPr>
      <w:rPr>
        <w:rFonts w:hint="default" w:ascii="Wingdings" w:hAnsi="Wingdings"/>
      </w:rPr>
    </w:lvl>
    <w:lvl w:ilvl="1" w:tentative="0">
      <w:start w:val="1"/>
      <w:numFmt w:val="bullet"/>
      <w:lvlText w:val=""/>
      <w:lvlJc w:val="left"/>
      <w:pPr>
        <w:ind w:left="1325" w:hanging="420"/>
      </w:pPr>
      <w:rPr>
        <w:rFonts w:hint="default" w:ascii="Wingdings" w:hAnsi="Wingdings"/>
      </w:rPr>
    </w:lvl>
    <w:lvl w:ilvl="2" w:tentative="0">
      <w:start w:val="1"/>
      <w:numFmt w:val="bullet"/>
      <w:lvlText w:val=""/>
      <w:lvlJc w:val="left"/>
      <w:pPr>
        <w:ind w:left="1745" w:hanging="420"/>
      </w:pPr>
      <w:rPr>
        <w:rFonts w:hint="default" w:ascii="Wingdings" w:hAnsi="Wingdings"/>
      </w:rPr>
    </w:lvl>
    <w:lvl w:ilvl="3" w:tentative="0">
      <w:start w:val="1"/>
      <w:numFmt w:val="bullet"/>
      <w:lvlText w:val=""/>
      <w:lvlJc w:val="left"/>
      <w:pPr>
        <w:ind w:left="2165" w:hanging="420"/>
      </w:pPr>
      <w:rPr>
        <w:rFonts w:hint="default" w:ascii="Wingdings" w:hAnsi="Wingdings"/>
      </w:rPr>
    </w:lvl>
    <w:lvl w:ilvl="4" w:tentative="0">
      <w:start w:val="1"/>
      <w:numFmt w:val="bullet"/>
      <w:lvlText w:val=""/>
      <w:lvlJc w:val="left"/>
      <w:pPr>
        <w:ind w:left="2585" w:hanging="420"/>
      </w:pPr>
      <w:rPr>
        <w:rFonts w:hint="default" w:ascii="Wingdings" w:hAnsi="Wingdings"/>
      </w:rPr>
    </w:lvl>
    <w:lvl w:ilvl="5" w:tentative="0">
      <w:start w:val="1"/>
      <w:numFmt w:val="bullet"/>
      <w:lvlText w:val=""/>
      <w:lvlJc w:val="left"/>
      <w:pPr>
        <w:ind w:left="3005" w:hanging="420"/>
      </w:pPr>
      <w:rPr>
        <w:rFonts w:hint="default" w:ascii="Wingdings" w:hAnsi="Wingdings"/>
      </w:rPr>
    </w:lvl>
    <w:lvl w:ilvl="6" w:tentative="0">
      <w:start w:val="1"/>
      <w:numFmt w:val="bullet"/>
      <w:lvlText w:val=""/>
      <w:lvlJc w:val="left"/>
      <w:pPr>
        <w:ind w:left="3425" w:hanging="420"/>
      </w:pPr>
      <w:rPr>
        <w:rFonts w:hint="default" w:ascii="Wingdings" w:hAnsi="Wingdings"/>
      </w:rPr>
    </w:lvl>
    <w:lvl w:ilvl="7" w:tentative="0">
      <w:start w:val="1"/>
      <w:numFmt w:val="bullet"/>
      <w:lvlText w:val=""/>
      <w:lvlJc w:val="left"/>
      <w:pPr>
        <w:ind w:left="3845" w:hanging="420"/>
      </w:pPr>
      <w:rPr>
        <w:rFonts w:hint="default" w:ascii="Wingdings" w:hAnsi="Wingdings"/>
      </w:rPr>
    </w:lvl>
    <w:lvl w:ilvl="8" w:tentative="0">
      <w:start w:val="1"/>
      <w:numFmt w:val="bullet"/>
      <w:lvlText w:val=""/>
      <w:lvlJc w:val="left"/>
      <w:pPr>
        <w:ind w:left="4265" w:hanging="420"/>
      </w:pPr>
      <w:rPr>
        <w:rFonts w:hint="default" w:ascii="Wingdings" w:hAnsi="Wingdings"/>
      </w:rPr>
    </w:lvl>
  </w:abstractNum>
  <w:abstractNum w:abstractNumId="9">
    <w:nsid w:val="3D5D4773"/>
    <w:multiLevelType w:val="multilevel"/>
    <w:tmpl w:val="3D5D4773"/>
    <w:lvl w:ilvl="0" w:tentative="0">
      <w:start w:val="1"/>
      <w:numFmt w:val="decimal"/>
      <w:lvlText w:val="%1)"/>
      <w:lvlJc w:val="left"/>
      <w:pPr>
        <w:ind w:left="1400" w:hanging="420"/>
      </w:pPr>
    </w:lvl>
    <w:lvl w:ilvl="1" w:tentative="0">
      <w:start w:val="1"/>
      <w:numFmt w:val="lowerLetter"/>
      <w:pStyle w:val="41"/>
      <w:lvlText w:val="%2)"/>
      <w:lvlJc w:val="left"/>
      <w:pPr>
        <w:ind w:left="1820" w:hanging="420"/>
      </w:pPr>
    </w:lvl>
    <w:lvl w:ilvl="2" w:tentative="0">
      <w:start w:val="1"/>
      <w:numFmt w:val="lowerRoman"/>
      <w:pStyle w:val="42"/>
      <w:lvlText w:val="%3."/>
      <w:lvlJc w:val="right"/>
      <w:pPr>
        <w:ind w:left="2240" w:hanging="420"/>
      </w:pPr>
    </w:lvl>
    <w:lvl w:ilvl="3" w:tentative="0">
      <w:start w:val="1"/>
      <w:numFmt w:val="decimal"/>
      <w:lvlText w:val="%4."/>
      <w:lvlJc w:val="left"/>
      <w:pPr>
        <w:ind w:left="2660" w:hanging="420"/>
      </w:pPr>
    </w:lvl>
    <w:lvl w:ilvl="4" w:tentative="0">
      <w:start w:val="1"/>
      <w:numFmt w:val="lowerLetter"/>
      <w:lvlText w:val="%5)"/>
      <w:lvlJc w:val="left"/>
      <w:pPr>
        <w:ind w:left="3080" w:hanging="420"/>
      </w:pPr>
    </w:lvl>
    <w:lvl w:ilvl="5" w:tentative="0">
      <w:start w:val="1"/>
      <w:numFmt w:val="lowerRoman"/>
      <w:lvlText w:val="%6."/>
      <w:lvlJc w:val="right"/>
      <w:pPr>
        <w:ind w:left="3500" w:hanging="420"/>
      </w:pPr>
    </w:lvl>
    <w:lvl w:ilvl="6" w:tentative="0">
      <w:start w:val="1"/>
      <w:numFmt w:val="decimal"/>
      <w:lvlText w:val="%7."/>
      <w:lvlJc w:val="left"/>
      <w:pPr>
        <w:ind w:left="3920" w:hanging="420"/>
      </w:pPr>
    </w:lvl>
    <w:lvl w:ilvl="7" w:tentative="0">
      <w:start w:val="1"/>
      <w:numFmt w:val="lowerLetter"/>
      <w:lvlText w:val="%8)"/>
      <w:lvlJc w:val="left"/>
      <w:pPr>
        <w:ind w:left="4340" w:hanging="420"/>
      </w:pPr>
    </w:lvl>
    <w:lvl w:ilvl="8" w:tentative="0">
      <w:start w:val="1"/>
      <w:numFmt w:val="lowerRoman"/>
      <w:lvlText w:val="%9."/>
      <w:lvlJc w:val="right"/>
      <w:pPr>
        <w:ind w:left="4760" w:hanging="420"/>
      </w:pPr>
    </w:lvl>
  </w:abstractNum>
  <w:abstractNum w:abstractNumId="10">
    <w:nsid w:val="44C50F90"/>
    <w:multiLevelType w:val="multilevel"/>
    <w:tmpl w:val="44C50F90"/>
    <w:lvl w:ilvl="0" w:tentative="0">
      <w:start w:val="1"/>
      <w:numFmt w:val="lowerLetter"/>
      <w:pStyle w:val="37"/>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36"/>
      <w:lvlText w:val="%2)"/>
      <w:lvlJc w:val="left"/>
      <w:pPr>
        <w:tabs>
          <w:tab w:val="left" w:pos="1259"/>
        </w:tabs>
        <w:ind w:left="1259" w:hanging="420"/>
      </w:pPr>
      <w:rPr>
        <w:rFonts w:hint="eastAsia" w:ascii="宋体" w:hAnsi="宋体" w:eastAsia="宋体"/>
        <w:b w:val="0"/>
        <w:i w:val="0"/>
        <w:sz w:val="20"/>
      </w:rPr>
    </w:lvl>
    <w:lvl w:ilvl="2" w:tentative="0">
      <w:start w:val="1"/>
      <w:numFmt w:val="decimal"/>
      <w:pStyle w:val="38"/>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1">
    <w:nsid w:val="49051956"/>
    <w:multiLevelType w:val="multilevel"/>
    <w:tmpl w:val="49051956"/>
    <w:lvl w:ilvl="0" w:tentative="0">
      <w:start w:val="1"/>
      <w:numFmt w:val="bullet"/>
      <w:lvlText w:val=""/>
      <w:lvlJc w:val="left"/>
      <w:pPr>
        <w:ind w:left="495" w:hanging="420"/>
      </w:pPr>
      <w:rPr>
        <w:rFonts w:hint="default" w:ascii="Wingdings" w:hAnsi="Wingdings"/>
      </w:rPr>
    </w:lvl>
    <w:lvl w:ilvl="1" w:tentative="0">
      <w:start w:val="1"/>
      <w:numFmt w:val="bullet"/>
      <w:lvlText w:val=""/>
      <w:lvlJc w:val="left"/>
      <w:pPr>
        <w:ind w:left="915" w:hanging="420"/>
      </w:pPr>
      <w:rPr>
        <w:rFonts w:hint="default" w:ascii="Wingdings" w:hAnsi="Wingdings"/>
      </w:rPr>
    </w:lvl>
    <w:lvl w:ilvl="2" w:tentative="0">
      <w:start w:val="1"/>
      <w:numFmt w:val="bullet"/>
      <w:lvlText w:val=""/>
      <w:lvlJc w:val="left"/>
      <w:pPr>
        <w:ind w:left="1335" w:hanging="420"/>
      </w:pPr>
      <w:rPr>
        <w:rFonts w:hint="default" w:ascii="Wingdings" w:hAnsi="Wingdings"/>
      </w:rPr>
    </w:lvl>
    <w:lvl w:ilvl="3" w:tentative="0">
      <w:start w:val="1"/>
      <w:numFmt w:val="bullet"/>
      <w:lvlText w:val=""/>
      <w:lvlJc w:val="left"/>
      <w:pPr>
        <w:ind w:left="1755" w:hanging="420"/>
      </w:pPr>
      <w:rPr>
        <w:rFonts w:hint="default" w:ascii="Wingdings" w:hAnsi="Wingdings"/>
      </w:rPr>
    </w:lvl>
    <w:lvl w:ilvl="4" w:tentative="0">
      <w:start w:val="1"/>
      <w:numFmt w:val="bullet"/>
      <w:lvlText w:val=""/>
      <w:lvlJc w:val="left"/>
      <w:pPr>
        <w:ind w:left="2175" w:hanging="420"/>
      </w:pPr>
      <w:rPr>
        <w:rFonts w:hint="default" w:ascii="Wingdings" w:hAnsi="Wingdings"/>
      </w:rPr>
    </w:lvl>
    <w:lvl w:ilvl="5" w:tentative="0">
      <w:start w:val="1"/>
      <w:numFmt w:val="bullet"/>
      <w:lvlText w:val=""/>
      <w:lvlJc w:val="left"/>
      <w:pPr>
        <w:ind w:left="2595" w:hanging="420"/>
      </w:pPr>
      <w:rPr>
        <w:rFonts w:hint="default" w:ascii="Wingdings" w:hAnsi="Wingdings"/>
      </w:rPr>
    </w:lvl>
    <w:lvl w:ilvl="6" w:tentative="0">
      <w:start w:val="1"/>
      <w:numFmt w:val="bullet"/>
      <w:lvlText w:val=""/>
      <w:lvlJc w:val="left"/>
      <w:pPr>
        <w:ind w:left="3015" w:hanging="420"/>
      </w:pPr>
      <w:rPr>
        <w:rFonts w:hint="default" w:ascii="Wingdings" w:hAnsi="Wingdings"/>
      </w:rPr>
    </w:lvl>
    <w:lvl w:ilvl="7" w:tentative="0">
      <w:start w:val="1"/>
      <w:numFmt w:val="bullet"/>
      <w:lvlText w:val=""/>
      <w:lvlJc w:val="left"/>
      <w:pPr>
        <w:ind w:left="3435" w:hanging="420"/>
      </w:pPr>
      <w:rPr>
        <w:rFonts w:hint="default" w:ascii="Wingdings" w:hAnsi="Wingdings"/>
      </w:rPr>
    </w:lvl>
    <w:lvl w:ilvl="8" w:tentative="0">
      <w:start w:val="1"/>
      <w:numFmt w:val="bullet"/>
      <w:lvlText w:val=""/>
      <w:lvlJc w:val="left"/>
      <w:pPr>
        <w:ind w:left="3855" w:hanging="420"/>
      </w:pPr>
      <w:rPr>
        <w:rFonts w:hint="default" w:ascii="Wingdings" w:hAnsi="Wingdings"/>
      </w:rPr>
    </w:lvl>
  </w:abstractNum>
  <w:abstractNum w:abstractNumId="12">
    <w:nsid w:val="554F0B1B"/>
    <w:multiLevelType w:val="singleLevel"/>
    <w:tmpl w:val="554F0B1B"/>
    <w:lvl w:ilvl="0" w:tentative="0">
      <w:start w:val="1"/>
      <w:numFmt w:val="bullet"/>
      <w:lvlText w:val=""/>
      <w:lvlJc w:val="left"/>
      <w:pPr>
        <w:ind w:left="420" w:hanging="420"/>
      </w:pPr>
      <w:rPr>
        <w:rFonts w:hint="default" w:ascii="Wingdings" w:hAnsi="Wingdings"/>
      </w:rPr>
    </w:lvl>
  </w:abstractNum>
  <w:abstractNum w:abstractNumId="13">
    <w:nsid w:val="554F0BF6"/>
    <w:multiLevelType w:val="singleLevel"/>
    <w:tmpl w:val="554F0BF6"/>
    <w:lvl w:ilvl="0" w:tentative="0">
      <w:start w:val="1"/>
      <w:numFmt w:val="decimal"/>
      <w:suff w:val="nothing"/>
      <w:lvlText w:val="（%1）"/>
      <w:lvlJc w:val="left"/>
    </w:lvl>
  </w:abstractNum>
  <w:abstractNum w:abstractNumId="14">
    <w:nsid w:val="554F0C1D"/>
    <w:multiLevelType w:val="singleLevel"/>
    <w:tmpl w:val="554F0C1D"/>
    <w:lvl w:ilvl="0" w:tentative="0">
      <w:start w:val="1"/>
      <w:numFmt w:val="decimal"/>
      <w:suff w:val="nothing"/>
      <w:lvlText w:val="（%1）"/>
      <w:lvlJc w:val="left"/>
    </w:lvl>
  </w:abstractNum>
  <w:abstractNum w:abstractNumId="15">
    <w:nsid w:val="554F0C71"/>
    <w:multiLevelType w:val="singleLevel"/>
    <w:tmpl w:val="554F0C71"/>
    <w:lvl w:ilvl="0" w:tentative="0">
      <w:start w:val="1"/>
      <w:numFmt w:val="decimal"/>
      <w:suff w:val="nothing"/>
      <w:lvlText w:val="（%1）"/>
      <w:lvlJc w:val="left"/>
    </w:lvl>
  </w:abstractNum>
  <w:abstractNum w:abstractNumId="16">
    <w:nsid w:val="55507637"/>
    <w:multiLevelType w:val="singleLevel"/>
    <w:tmpl w:val="55507637"/>
    <w:lvl w:ilvl="0" w:tentative="0">
      <w:start w:val="5"/>
      <w:numFmt w:val="chineseCounting"/>
      <w:suff w:val="nothing"/>
      <w:lvlText w:val="%1、"/>
      <w:lvlJc w:val="left"/>
    </w:lvl>
  </w:abstractNum>
  <w:abstractNum w:abstractNumId="17">
    <w:nsid w:val="5CFA23D4"/>
    <w:multiLevelType w:val="multilevel"/>
    <w:tmpl w:val="5CFA23D4"/>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8">
    <w:nsid w:val="5ECA2C05"/>
    <w:multiLevelType w:val="multilevel"/>
    <w:tmpl w:val="5ECA2C05"/>
    <w:lvl w:ilvl="0" w:tentative="0">
      <w:start w:val="1"/>
      <w:numFmt w:val="decimalEnclosedCircle"/>
      <w:lvlText w:val="%1"/>
      <w:lvlJc w:val="left"/>
      <w:pPr>
        <w:ind w:left="667" w:hanging="360"/>
      </w:pPr>
      <w:rPr>
        <w:rFonts w:hint="default"/>
      </w:rPr>
    </w:lvl>
    <w:lvl w:ilvl="1" w:tentative="0">
      <w:start w:val="1"/>
      <w:numFmt w:val="lowerLetter"/>
      <w:lvlText w:val="%2)"/>
      <w:lvlJc w:val="left"/>
      <w:pPr>
        <w:ind w:left="1147" w:hanging="420"/>
      </w:pPr>
    </w:lvl>
    <w:lvl w:ilvl="2" w:tentative="0">
      <w:start w:val="1"/>
      <w:numFmt w:val="lowerRoman"/>
      <w:lvlText w:val="%3."/>
      <w:lvlJc w:val="right"/>
      <w:pPr>
        <w:ind w:left="1567" w:hanging="420"/>
      </w:pPr>
    </w:lvl>
    <w:lvl w:ilvl="3" w:tentative="0">
      <w:start w:val="1"/>
      <w:numFmt w:val="decimal"/>
      <w:lvlText w:val="%4."/>
      <w:lvlJc w:val="left"/>
      <w:pPr>
        <w:ind w:left="1987" w:hanging="420"/>
      </w:pPr>
    </w:lvl>
    <w:lvl w:ilvl="4" w:tentative="0">
      <w:start w:val="1"/>
      <w:numFmt w:val="lowerLetter"/>
      <w:lvlText w:val="%5)"/>
      <w:lvlJc w:val="left"/>
      <w:pPr>
        <w:ind w:left="2407" w:hanging="420"/>
      </w:pPr>
    </w:lvl>
    <w:lvl w:ilvl="5" w:tentative="0">
      <w:start w:val="1"/>
      <w:numFmt w:val="lowerRoman"/>
      <w:lvlText w:val="%6."/>
      <w:lvlJc w:val="right"/>
      <w:pPr>
        <w:ind w:left="2827" w:hanging="420"/>
      </w:pPr>
    </w:lvl>
    <w:lvl w:ilvl="6" w:tentative="0">
      <w:start w:val="1"/>
      <w:numFmt w:val="decimal"/>
      <w:lvlText w:val="%7."/>
      <w:lvlJc w:val="left"/>
      <w:pPr>
        <w:ind w:left="3247" w:hanging="420"/>
      </w:pPr>
    </w:lvl>
    <w:lvl w:ilvl="7" w:tentative="0">
      <w:start w:val="1"/>
      <w:numFmt w:val="lowerLetter"/>
      <w:lvlText w:val="%8)"/>
      <w:lvlJc w:val="left"/>
      <w:pPr>
        <w:ind w:left="3667" w:hanging="420"/>
      </w:pPr>
    </w:lvl>
    <w:lvl w:ilvl="8" w:tentative="0">
      <w:start w:val="1"/>
      <w:numFmt w:val="lowerRoman"/>
      <w:lvlText w:val="%9."/>
      <w:lvlJc w:val="right"/>
      <w:pPr>
        <w:ind w:left="4087" w:hanging="420"/>
      </w:pPr>
    </w:lvl>
  </w:abstractNum>
  <w:abstractNum w:abstractNumId="19">
    <w:nsid w:val="657D3FBC"/>
    <w:multiLevelType w:val="multilevel"/>
    <w:tmpl w:val="657D3FBC"/>
    <w:lvl w:ilvl="0" w:tentative="0">
      <w:start w:val="1"/>
      <w:numFmt w:val="upperLetter"/>
      <w:pStyle w:val="43"/>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48"/>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49"/>
      <w:suff w:val="nothing"/>
      <w:lvlText w:val="%1.%2.%3　"/>
      <w:lvlJc w:val="left"/>
      <w:pPr>
        <w:ind w:left="0" w:firstLine="0"/>
      </w:pPr>
      <w:rPr>
        <w:rFonts w:hint="eastAsia" w:ascii="黑体" w:hAnsi="Times New Roman" w:eastAsia="黑体"/>
        <w:b w:val="0"/>
        <w:i w:val="0"/>
        <w:sz w:val="21"/>
      </w:rPr>
    </w:lvl>
    <w:lvl w:ilvl="3" w:tentative="0">
      <w:start w:val="1"/>
      <w:numFmt w:val="decimal"/>
      <w:pStyle w:val="44"/>
      <w:suff w:val="nothing"/>
      <w:lvlText w:val="%1.%2.%3.%4　"/>
      <w:lvlJc w:val="left"/>
      <w:pPr>
        <w:ind w:left="0" w:firstLine="0"/>
      </w:pPr>
      <w:rPr>
        <w:rFonts w:hint="eastAsia" w:ascii="黑体" w:hAnsi="Times New Roman" w:eastAsia="黑体"/>
        <w:b w:val="0"/>
        <w:i w:val="0"/>
        <w:sz w:val="21"/>
      </w:rPr>
    </w:lvl>
    <w:lvl w:ilvl="4" w:tentative="0">
      <w:start w:val="1"/>
      <w:numFmt w:val="decimal"/>
      <w:pStyle w:val="45"/>
      <w:suff w:val="nothing"/>
      <w:lvlText w:val="%1.%2.%3.%4.%5　"/>
      <w:lvlJc w:val="left"/>
      <w:pPr>
        <w:ind w:left="0" w:firstLine="0"/>
      </w:pPr>
      <w:rPr>
        <w:rFonts w:hint="eastAsia" w:ascii="黑体" w:hAnsi="Times New Roman" w:eastAsia="黑体"/>
        <w:b w:val="0"/>
        <w:i w:val="0"/>
        <w:sz w:val="21"/>
      </w:rPr>
    </w:lvl>
    <w:lvl w:ilvl="5" w:tentative="0">
      <w:start w:val="1"/>
      <w:numFmt w:val="decimal"/>
      <w:pStyle w:val="46"/>
      <w:suff w:val="nothing"/>
      <w:lvlText w:val="%1.%2.%3.%4.%5.%6　"/>
      <w:lvlJc w:val="left"/>
      <w:pPr>
        <w:ind w:left="0" w:firstLine="0"/>
      </w:pPr>
      <w:rPr>
        <w:rFonts w:hint="eastAsia" w:ascii="黑体" w:hAnsi="Times New Roman" w:eastAsia="黑体"/>
        <w:b w:val="0"/>
        <w:i w:val="0"/>
        <w:sz w:val="21"/>
      </w:rPr>
    </w:lvl>
    <w:lvl w:ilvl="6" w:tentative="0">
      <w:start w:val="1"/>
      <w:numFmt w:val="decimal"/>
      <w:pStyle w:val="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0">
    <w:nsid w:val="7D684812"/>
    <w:multiLevelType w:val="multilevel"/>
    <w:tmpl w:val="7D684812"/>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2"/>
  </w:num>
  <w:num w:numId="3">
    <w:abstractNumId w:val="10"/>
  </w:num>
  <w:num w:numId="4">
    <w:abstractNumId w:val="4"/>
  </w:num>
  <w:num w:numId="5">
    <w:abstractNumId w:val="9"/>
  </w:num>
  <w:num w:numId="6">
    <w:abstractNumId w:val="19"/>
  </w:num>
  <w:num w:numId="7">
    <w:abstractNumId w:val="0"/>
  </w:num>
  <w:num w:numId="8">
    <w:abstractNumId w:val="18"/>
  </w:num>
  <w:num w:numId="9">
    <w:abstractNumId w:val="20"/>
  </w:num>
  <w:num w:numId="10">
    <w:abstractNumId w:val="1"/>
  </w:num>
  <w:num w:numId="11">
    <w:abstractNumId w:val="17"/>
  </w:num>
  <w:num w:numId="12">
    <w:abstractNumId w:val="3"/>
  </w:num>
  <w:num w:numId="13">
    <w:abstractNumId w:val="8"/>
  </w:num>
  <w:num w:numId="14">
    <w:abstractNumId w:val="7"/>
  </w:num>
  <w:num w:numId="15">
    <w:abstractNumId w:val="6"/>
  </w:num>
  <w:num w:numId="16">
    <w:abstractNumId w:val="12"/>
  </w:num>
  <w:num w:numId="17">
    <w:abstractNumId w:val="13"/>
  </w:num>
  <w:num w:numId="18">
    <w:abstractNumId w:val="11"/>
  </w:num>
  <w:num w:numId="19">
    <w:abstractNumId w:val="14"/>
  </w:num>
  <w:num w:numId="20">
    <w:abstractNumId w:val="1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A03"/>
    <w:rsid w:val="000830A7"/>
    <w:rsid w:val="00093C51"/>
    <w:rsid w:val="000F4EBA"/>
    <w:rsid w:val="00142E2B"/>
    <w:rsid w:val="001549E4"/>
    <w:rsid w:val="001937CE"/>
    <w:rsid w:val="001B0ECF"/>
    <w:rsid w:val="00205A03"/>
    <w:rsid w:val="0021179B"/>
    <w:rsid w:val="00211DE3"/>
    <w:rsid w:val="00224779"/>
    <w:rsid w:val="002479BC"/>
    <w:rsid w:val="00261796"/>
    <w:rsid w:val="002878C8"/>
    <w:rsid w:val="002B7549"/>
    <w:rsid w:val="004C4A4B"/>
    <w:rsid w:val="00510310"/>
    <w:rsid w:val="00527604"/>
    <w:rsid w:val="005840E6"/>
    <w:rsid w:val="005944F1"/>
    <w:rsid w:val="005E2D3E"/>
    <w:rsid w:val="006930AF"/>
    <w:rsid w:val="006C5030"/>
    <w:rsid w:val="007647F9"/>
    <w:rsid w:val="007A4616"/>
    <w:rsid w:val="007E4CED"/>
    <w:rsid w:val="00800006"/>
    <w:rsid w:val="00847CD1"/>
    <w:rsid w:val="008F68A5"/>
    <w:rsid w:val="0094256C"/>
    <w:rsid w:val="00965E44"/>
    <w:rsid w:val="009669B8"/>
    <w:rsid w:val="009875D8"/>
    <w:rsid w:val="009E6196"/>
    <w:rsid w:val="00A10256"/>
    <w:rsid w:val="00A7417E"/>
    <w:rsid w:val="00A8469C"/>
    <w:rsid w:val="00A855BF"/>
    <w:rsid w:val="00AA1E2C"/>
    <w:rsid w:val="00AF09D7"/>
    <w:rsid w:val="00B40D08"/>
    <w:rsid w:val="00BB5666"/>
    <w:rsid w:val="00C11FF2"/>
    <w:rsid w:val="00C953C9"/>
    <w:rsid w:val="00CA0D68"/>
    <w:rsid w:val="00CF6DB3"/>
    <w:rsid w:val="00DC1B0E"/>
    <w:rsid w:val="00DF652C"/>
    <w:rsid w:val="00E4308A"/>
    <w:rsid w:val="00E64857"/>
    <w:rsid w:val="00E92195"/>
    <w:rsid w:val="00FE3D0D"/>
    <w:rsid w:val="1081646B"/>
    <w:rsid w:val="38B7125E"/>
    <w:rsid w:val="3A2B20D0"/>
    <w:rsid w:val="44EC7FAB"/>
    <w:rsid w:val="692E59AE"/>
    <w:rsid w:val="6B9144EA"/>
    <w:rsid w:val="6C7F7B70"/>
    <w:rsid w:val="7A431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napToGrid w:val="0"/>
      <w:spacing w:before="260" w:after="260" w:line="416" w:lineRule="auto"/>
      <w:ind w:firstLine="200" w:firstLineChars="200"/>
      <w:outlineLvl w:val="1"/>
    </w:pPr>
    <w:rPr>
      <w:rFonts w:ascii="Cambria" w:hAnsi="Cambria" w:eastAsia="宋体" w:cs="Times New Roman"/>
      <w:b/>
      <w:bCs/>
      <w:sz w:val="32"/>
      <w:szCs w:val="32"/>
    </w:rPr>
  </w:style>
  <w:style w:type="paragraph" w:styleId="4">
    <w:name w:val="heading 3"/>
    <w:basedOn w:val="1"/>
    <w:next w:val="1"/>
    <w:link w:val="22"/>
    <w:unhideWhenUsed/>
    <w:qFormat/>
    <w:uiPriority w:val="9"/>
    <w:pPr>
      <w:keepNext/>
      <w:keepLines/>
      <w:snapToGrid w:val="0"/>
      <w:spacing w:before="260" w:after="260" w:line="360" w:lineRule="auto"/>
      <w:ind w:firstLine="200" w:firstLineChars="200"/>
      <w:jc w:val="center"/>
      <w:outlineLvl w:val="2"/>
    </w:pPr>
    <w:rPr>
      <w:rFonts w:ascii="Calibri" w:hAnsi="Calibri" w:eastAsia="宋体" w:cs="Times New Roman"/>
      <w:b/>
      <w:bCs/>
      <w:sz w:val="32"/>
      <w:szCs w:val="32"/>
    </w:rPr>
  </w:style>
  <w:style w:type="paragraph" w:styleId="5">
    <w:name w:val="heading 4"/>
    <w:basedOn w:val="1"/>
    <w:next w:val="1"/>
    <w:link w:val="25"/>
    <w:unhideWhenUsed/>
    <w:qFormat/>
    <w:uiPriority w:val="9"/>
    <w:pPr>
      <w:keepNext/>
      <w:keepLines/>
      <w:snapToGrid w:val="0"/>
      <w:spacing w:before="280" w:after="290" w:line="360" w:lineRule="auto"/>
      <w:ind w:firstLine="200" w:firstLineChars="200"/>
      <w:outlineLvl w:val="3"/>
    </w:pPr>
    <w:rPr>
      <w:rFonts w:ascii="Cambria" w:hAnsi="Cambria" w:eastAsia="宋体" w:cs="Times New Roman"/>
      <w:b/>
      <w:bCs/>
      <w:sz w:val="28"/>
      <w:szCs w:val="28"/>
    </w:rPr>
  </w:style>
  <w:style w:type="paragraph" w:styleId="6">
    <w:name w:val="heading 5"/>
    <w:basedOn w:val="1"/>
    <w:next w:val="1"/>
    <w:link w:val="26"/>
    <w:unhideWhenUsed/>
    <w:qFormat/>
    <w:uiPriority w:val="9"/>
    <w:pPr>
      <w:keepNext/>
      <w:keepLines/>
      <w:snapToGrid w:val="0"/>
      <w:spacing w:before="280" w:after="290" w:line="312" w:lineRule="auto"/>
      <w:outlineLvl w:val="4"/>
    </w:pPr>
    <w:rPr>
      <w:rFonts w:ascii="Calibri" w:hAnsi="Calibri" w:eastAsia="宋体" w:cs="Times New Roman"/>
      <w:bCs/>
      <w:sz w:val="30"/>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Normal Indent"/>
    <w:basedOn w:val="1"/>
    <w:link w:val="52"/>
    <w:qFormat/>
    <w:uiPriority w:val="0"/>
    <w:pPr>
      <w:spacing w:line="440" w:lineRule="exact"/>
      <w:ind w:firstLine="200" w:firstLineChars="200"/>
    </w:pPr>
    <w:rPr>
      <w:rFonts w:ascii="Times New Roman" w:hAnsi="Times New Roman" w:eastAsia="仿宋_GB2312" w:cs="Times New Roman"/>
      <w:sz w:val="28"/>
      <w:szCs w:val="20"/>
      <w:lang w:val="zh-CN"/>
    </w:rPr>
  </w:style>
  <w:style w:type="paragraph" w:styleId="8">
    <w:name w:val="Body Text"/>
    <w:basedOn w:val="1"/>
    <w:link w:val="51"/>
    <w:qFormat/>
    <w:uiPriority w:val="0"/>
    <w:pPr>
      <w:widowControl/>
      <w:spacing w:before="100" w:beforeAutospacing="1" w:after="100" w:afterAutospacing="1"/>
      <w:jc w:val="left"/>
    </w:pPr>
    <w:rPr>
      <w:rFonts w:ascii="宋体" w:hAnsi="宋体" w:eastAsia="宋体" w:cs="Times New Roman"/>
      <w:kern w:val="0"/>
      <w:sz w:val="24"/>
      <w:szCs w:val="24"/>
      <w:lang w:val="zh-CN"/>
    </w:rPr>
  </w:style>
  <w:style w:type="paragraph" w:styleId="9">
    <w:name w:val="toc 3"/>
    <w:basedOn w:val="1"/>
    <w:next w:val="1"/>
    <w:unhideWhenUsed/>
    <w:qFormat/>
    <w:uiPriority w:val="39"/>
    <w:pPr>
      <w:tabs>
        <w:tab w:val="right" w:leader="dot" w:pos="8296"/>
      </w:tabs>
      <w:snapToGrid w:val="0"/>
      <w:ind w:right="397"/>
      <w:jc w:val="left"/>
    </w:pPr>
    <w:rPr>
      <w:rFonts w:ascii="Calibri" w:hAnsi="Calibri" w:eastAsia="宋体" w:cs="Times New Roman"/>
      <w:sz w:val="28"/>
      <w:szCs w:val="32"/>
    </w:rPr>
  </w:style>
  <w:style w:type="paragraph" w:styleId="10">
    <w:name w:val="Plain Text"/>
    <w:basedOn w:val="1"/>
    <w:link w:val="50"/>
    <w:qFormat/>
    <w:uiPriority w:val="0"/>
    <w:rPr>
      <w:rFonts w:ascii="宋体" w:hAnsi="Courier New" w:eastAsia="宋体" w:cs="Times New Roman"/>
      <w:szCs w:val="20"/>
    </w:rPr>
  </w:style>
  <w:style w:type="paragraph" w:styleId="11">
    <w:name w:val="Balloon Text"/>
    <w:basedOn w:val="1"/>
    <w:link w:val="55"/>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snapToGrid w:val="0"/>
      <w:spacing w:line="288" w:lineRule="auto"/>
      <w:ind w:firstLine="200" w:firstLineChars="200"/>
    </w:pPr>
    <w:rPr>
      <w:rFonts w:ascii="Calibri" w:hAnsi="Calibri" w:eastAsia="宋体" w:cs="Times New Roman"/>
      <w:sz w:val="28"/>
    </w:rPr>
  </w:style>
  <w:style w:type="paragraph" w:styleId="15">
    <w:name w:val="toc 4"/>
    <w:basedOn w:val="1"/>
    <w:next w:val="1"/>
    <w:unhideWhenUsed/>
    <w:qFormat/>
    <w:uiPriority w:val="39"/>
    <w:pPr>
      <w:tabs>
        <w:tab w:val="right" w:leader="dot" w:pos="8296"/>
      </w:tabs>
      <w:snapToGrid w:val="0"/>
      <w:spacing w:line="360" w:lineRule="exact"/>
      <w:ind w:firstLine="480" w:firstLineChars="200"/>
    </w:pPr>
    <w:rPr>
      <w:rFonts w:ascii="Calibri" w:hAnsi="Calibri" w:eastAsia="宋体" w:cs="Times New Roman"/>
      <w:sz w:val="2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sz w:val="24"/>
      <w:u w:val="single"/>
    </w:rPr>
  </w:style>
  <w:style w:type="character" w:customStyle="1" w:styleId="21">
    <w:name w:val="标题 2 字符"/>
    <w:basedOn w:val="19"/>
    <w:link w:val="3"/>
    <w:qFormat/>
    <w:uiPriority w:val="9"/>
    <w:rPr>
      <w:rFonts w:ascii="Cambria" w:hAnsi="Cambria" w:eastAsia="宋体" w:cs="Times New Roman"/>
      <w:b/>
      <w:bCs/>
      <w:sz w:val="32"/>
      <w:szCs w:val="32"/>
    </w:rPr>
  </w:style>
  <w:style w:type="character" w:customStyle="1" w:styleId="22">
    <w:name w:val="标题 3 字符"/>
    <w:basedOn w:val="19"/>
    <w:link w:val="4"/>
    <w:qFormat/>
    <w:uiPriority w:val="9"/>
    <w:rPr>
      <w:rFonts w:ascii="Calibri" w:hAnsi="Calibri" w:eastAsia="宋体" w:cs="Times New Roman"/>
      <w:b/>
      <w:bCs/>
      <w:sz w:val="32"/>
      <w:szCs w:val="32"/>
    </w:rPr>
  </w:style>
  <w:style w:type="character" w:customStyle="1" w:styleId="23">
    <w:name w:val="页眉 字符"/>
    <w:basedOn w:val="19"/>
    <w:link w:val="13"/>
    <w:qFormat/>
    <w:uiPriority w:val="99"/>
    <w:rPr>
      <w:sz w:val="18"/>
      <w:szCs w:val="18"/>
    </w:rPr>
  </w:style>
  <w:style w:type="character" w:customStyle="1" w:styleId="24">
    <w:name w:val="页脚 字符"/>
    <w:basedOn w:val="19"/>
    <w:link w:val="12"/>
    <w:qFormat/>
    <w:uiPriority w:val="99"/>
    <w:rPr>
      <w:sz w:val="18"/>
      <w:szCs w:val="18"/>
    </w:rPr>
  </w:style>
  <w:style w:type="character" w:customStyle="1" w:styleId="25">
    <w:name w:val="标题 4 字符"/>
    <w:basedOn w:val="19"/>
    <w:link w:val="5"/>
    <w:qFormat/>
    <w:uiPriority w:val="9"/>
    <w:rPr>
      <w:rFonts w:ascii="Cambria" w:hAnsi="Cambria" w:eastAsia="宋体" w:cs="Times New Roman"/>
      <w:b/>
      <w:bCs/>
      <w:sz w:val="28"/>
      <w:szCs w:val="28"/>
    </w:rPr>
  </w:style>
  <w:style w:type="character" w:customStyle="1" w:styleId="26">
    <w:name w:val="标题 5 字符"/>
    <w:basedOn w:val="19"/>
    <w:link w:val="6"/>
    <w:qFormat/>
    <w:uiPriority w:val="9"/>
    <w:rPr>
      <w:rFonts w:ascii="Calibri" w:hAnsi="Calibri" w:eastAsia="宋体" w:cs="Times New Roman"/>
      <w:bCs/>
      <w:sz w:val="30"/>
      <w:szCs w:val="28"/>
    </w:rPr>
  </w:style>
  <w:style w:type="paragraph" w:customStyle="1" w:styleId="27">
    <w:name w:val="段"/>
    <w:link w:val="28"/>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8">
    <w:name w:val="段 Char"/>
    <w:basedOn w:val="19"/>
    <w:link w:val="27"/>
    <w:qFormat/>
    <w:uiPriority w:val="0"/>
    <w:rPr>
      <w:rFonts w:ascii="宋体" w:hAnsi="Times New Roman" w:eastAsia="宋体" w:cs="Times New Roman"/>
      <w:kern w:val="0"/>
      <w:szCs w:val="20"/>
    </w:rPr>
  </w:style>
  <w:style w:type="paragraph" w:customStyle="1" w:styleId="29">
    <w:name w:val="一级条标题"/>
    <w:next w:val="27"/>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0">
    <w:name w:val="章标题"/>
    <w:next w:val="27"/>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31">
    <w:name w:val="二级条标题"/>
    <w:basedOn w:val="29"/>
    <w:next w:val="27"/>
    <w:qFormat/>
    <w:uiPriority w:val="0"/>
    <w:pPr>
      <w:numPr>
        <w:ilvl w:val="2"/>
      </w:numPr>
      <w:spacing w:before="50" w:after="50"/>
      <w:outlineLvl w:val="3"/>
    </w:pPr>
  </w:style>
  <w:style w:type="paragraph" w:customStyle="1" w:styleId="32">
    <w:name w:val="三级条标题"/>
    <w:basedOn w:val="31"/>
    <w:next w:val="27"/>
    <w:qFormat/>
    <w:uiPriority w:val="0"/>
    <w:pPr>
      <w:numPr>
        <w:ilvl w:val="3"/>
      </w:numPr>
      <w:outlineLvl w:val="4"/>
    </w:pPr>
  </w:style>
  <w:style w:type="paragraph" w:customStyle="1" w:styleId="33">
    <w:name w:val="四级条标题"/>
    <w:basedOn w:val="32"/>
    <w:next w:val="27"/>
    <w:qFormat/>
    <w:uiPriority w:val="0"/>
    <w:pPr>
      <w:numPr>
        <w:ilvl w:val="4"/>
      </w:numPr>
      <w:outlineLvl w:val="5"/>
    </w:pPr>
  </w:style>
  <w:style w:type="paragraph" w:customStyle="1" w:styleId="34">
    <w:name w:val="五级条标题"/>
    <w:basedOn w:val="33"/>
    <w:next w:val="27"/>
    <w:qFormat/>
    <w:uiPriority w:val="0"/>
    <w:pPr>
      <w:numPr>
        <w:ilvl w:val="5"/>
      </w:numPr>
      <w:outlineLvl w:val="6"/>
    </w:pPr>
  </w:style>
  <w:style w:type="paragraph" w:customStyle="1" w:styleId="35">
    <w:name w:val="示例"/>
    <w:next w:val="1"/>
    <w:qFormat/>
    <w:uiPriority w:val="0"/>
    <w:pPr>
      <w:widowControl w:val="0"/>
      <w:numPr>
        <w:ilvl w:val="0"/>
        <w:numId w:val="2"/>
      </w:numPr>
      <w:jc w:val="both"/>
    </w:pPr>
    <w:rPr>
      <w:rFonts w:ascii="宋体" w:hAnsi="Times New Roman" w:eastAsia="宋体" w:cs="Times New Roman"/>
      <w:sz w:val="18"/>
      <w:szCs w:val="18"/>
      <w:lang w:val="en-US" w:eastAsia="zh-CN" w:bidi="ar-SA"/>
    </w:rPr>
  </w:style>
  <w:style w:type="paragraph" w:customStyle="1" w:styleId="36">
    <w:name w:val="数字编号列项（二级）"/>
    <w:qFormat/>
    <w:uiPriority w:val="0"/>
    <w:pPr>
      <w:numPr>
        <w:ilvl w:val="1"/>
        <w:numId w:val="3"/>
      </w:numPr>
      <w:jc w:val="both"/>
    </w:pPr>
    <w:rPr>
      <w:rFonts w:ascii="宋体" w:hAnsi="Times New Roman" w:eastAsia="宋体" w:cs="Times New Roman"/>
      <w:sz w:val="21"/>
      <w:lang w:val="en-US" w:eastAsia="zh-CN" w:bidi="ar-SA"/>
    </w:rPr>
  </w:style>
  <w:style w:type="paragraph" w:customStyle="1" w:styleId="37">
    <w:name w:val="字母编号列项（一级）"/>
    <w:uiPriority w:val="0"/>
    <w:pPr>
      <w:numPr>
        <w:ilvl w:val="0"/>
        <w:numId w:val="3"/>
      </w:numPr>
      <w:jc w:val="both"/>
    </w:pPr>
    <w:rPr>
      <w:rFonts w:ascii="宋体" w:hAnsi="Times New Roman" w:eastAsia="宋体" w:cs="Times New Roman"/>
      <w:sz w:val="21"/>
      <w:lang w:val="en-US" w:eastAsia="zh-CN" w:bidi="ar-SA"/>
    </w:rPr>
  </w:style>
  <w:style w:type="paragraph" w:customStyle="1" w:styleId="38">
    <w:name w:val="编号列项（三级）"/>
    <w:uiPriority w:val="0"/>
    <w:pPr>
      <w:numPr>
        <w:ilvl w:val="2"/>
        <w:numId w:val="3"/>
      </w:numPr>
    </w:pPr>
    <w:rPr>
      <w:rFonts w:ascii="宋体" w:hAnsi="Times New Roman" w:eastAsia="宋体" w:cs="Times New Roman"/>
      <w:sz w:val="21"/>
      <w:lang w:val="en-US" w:eastAsia="zh-CN" w:bidi="ar-SA"/>
    </w:rPr>
  </w:style>
  <w:style w:type="paragraph" w:customStyle="1" w:styleId="39">
    <w:name w:val="注×：（正文）"/>
    <w:qFormat/>
    <w:uiPriority w:val="0"/>
    <w:pPr>
      <w:numPr>
        <w:ilvl w:val="0"/>
        <w:numId w:val="4"/>
      </w:numPr>
      <w:jc w:val="both"/>
    </w:pPr>
    <w:rPr>
      <w:rFonts w:ascii="宋体" w:hAnsi="Times New Roman" w:eastAsia="宋体" w:cs="Times New Roman"/>
      <w:sz w:val="18"/>
      <w:szCs w:val="18"/>
      <w:lang w:val="en-US" w:eastAsia="zh-CN" w:bidi="ar-SA"/>
    </w:rPr>
  </w:style>
  <w:style w:type="paragraph" w:styleId="40">
    <w:name w:val="List Paragraph"/>
    <w:basedOn w:val="1"/>
    <w:qFormat/>
    <w:uiPriority w:val="34"/>
    <w:pPr>
      <w:snapToGrid w:val="0"/>
      <w:spacing w:line="288" w:lineRule="auto"/>
      <w:ind w:firstLine="420" w:firstLineChars="200"/>
    </w:pPr>
    <w:rPr>
      <w:rFonts w:ascii="Calibri" w:hAnsi="Calibri" w:eastAsia="宋体" w:cs="Times New Roman"/>
      <w:sz w:val="28"/>
    </w:rPr>
  </w:style>
  <w:style w:type="paragraph" w:customStyle="1" w:styleId="41">
    <w:name w:val="一级无"/>
    <w:basedOn w:val="29"/>
    <w:qFormat/>
    <w:uiPriority w:val="0"/>
    <w:pPr>
      <w:numPr>
        <w:numId w:val="5"/>
      </w:numPr>
      <w:spacing w:before="0" w:beforeLines="0" w:after="0" w:afterLines="0"/>
    </w:pPr>
    <w:rPr>
      <w:rFonts w:ascii="宋体" w:eastAsia="宋体"/>
    </w:rPr>
  </w:style>
  <w:style w:type="paragraph" w:customStyle="1" w:styleId="42">
    <w:name w:val="二级无"/>
    <w:basedOn w:val="31"/>
    <w:uiPriority w:val="0"/>
    <w:pPr>
      <w:numPr>
        <w:numId w:val="5"/>
      </w:numPr>
      <w:spacing w:before="0" w:beforeLines="0" w:after="0" w:afterLines="0"/>
    </w:pPr>
    <w:rPr>
      <w:rFonts w:ascii="宋体" w:eastAsia="宋体"/>
    </w:rPr>
  </w:style>
  <w:style w:type="paragraph" w:customStyle="1" w:styleId="43">
    <w:name w:val="附录标识"/>
    <w:basedOn w:val="1"/>
    <w:next w:val="27"/>
    <w:qFormat/>
    <w:uiPriority w:val="0"/>
    <w:pPr>
      <w:keepNext/>
      <w:widowControl/>
      <w:numPr>
        <w:ilvl w:val="0"/>
        <w:numId w:val="6"/>
      </w:numPr>
      <w:shd w:val="clear" w:color="FFFFFF" w:fill="FFFFFF"/>
      <w:tabs>
        <w:tab w:val="left" w:pos="360"/>
        <w:tab w:val="left" w:pos="6405"/>
      </w:tabs>
      <w:spacing w:before="640" w:after="280"/>
      <w:jc w:val="center"/>
      <w:outlineLvl w:val="0"/>
    </w:pPr>
    <w:rPr>
      <w:rFonts w:ascii="黑体" w:hAnsi="Times New Roman" w:eastAsia="黑体" w:cs="Times New Roman"/>
      <w:kern w:val="0"/>
      <w:szCs w:val="20"/>
    </w:rPr>
  </w:style>
  <w:style w:type="paragraph" w:customStyle="1" w:styleId="44">
    <w:name w:val="附录二级条标题"/>
    <w:basedOn w:val="1"/>
    <w:next w:val="27"/>
    <w:qFormat/>
    <w:uiPriority w:val="0"/>
    <w:pPr>
      <w:widowControl/>
      <w:numPr>
        <w:ilvl w:val="3"/>
        <w:numId w:val="6"/>
      </w:numPr>
      <w:tabs>
        <w:tab w:val="left" w:pos="360"/>
      </w:tabs>
      <w:wordWrap w:val="0"/>
      <w:overflowPunct w:val="0"/>
      <w:autoSpaceDE w:val="0"/>
      <w:autoSpaceDN w:val="0"/>
      <w:spacing w:before="50" w:beforeLines="50" w:after="50" w:afterLines="50"/>
      <w:textAlignment w:val="baseline"/>
      <w:outlineLvl w:val="3"/>
    </w:pPr>
    <w:rPr>
      <w:rFonts w:ascii="黑体" w:hAnsi="Times New Roman" w:eastAsia="黑体" w:cs="Times New Roman"/>
      <w:kern w:val="21"/>
      <w:szCs w:val="20"/>
    </w:rPr>
  </w:style>
  <w:style w:type="paragraph" w:customStyle="1" w:styleId="45">
    <w:name w:val="附录三级条标题"/>
    <w:basedOn w:val="44"/>
    <w:next w:val="27"/>
    <w:qFormat/>
    <w:uiPriority w:val="0"/>
    <w:pPr>
      <w:numPr>
        <w:ilvl w:val="4"/>
      </w:numPr>
      <w:outlineLvl w:val="4"/>
    </w:pPr>
  </w:style>
  <w:style w:type="paragraph" w:customStyle="1" w:styleId="46">
    <w:name w:val="附录四级条标题"/>
    <w:basedOn w:val="45"/>
    <w:next w:val="27"/>
    <w:qFormat/>
    <w:uiPriority w:val="0"/>
    <w:pPr>
      <w:numPr>
        <w:ilvl w:val="5"/>
      </w:numPr>
      <w:outlineLvl w:val="5"/>
    </w:pPr>
  </w:style>
  <w:style w:type="paragraph" w:customStyle="1" w:styleId="47">
    <w:name w:val="附录五级条标题"/>
    <w:basedOn w:val="46"/>
    <w:next w:val="27"/>
    <w:qFormat/>
    <w:uiPriority w:val="0"/>
    <w:pPr>
      <w:numPr>
        <w:ilvl w:val="6"/>
      </w:numPr>
      <w:outlineLvl w:val="6"/>
    </w:pPr>
  </w:style>
  <w:style w:type="paragraph" w:customStyle="1" w:styleId="48">
    <w:name w:val="附录章标题"/>
    <w:next w:val="27"/>
    <w:qFormat/>
    <w:uiPriority w:val="0"/>
    <w:pPr>
      <w:numPr>
        <w:ilvl w:val="1"/>
        <w:numId w:val="6"/>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49">
    <w:name w:val="附录一级条标题"/>
    <w:basedOn w:val="48"/>
    <w:next w:val="27"/>
    <w:qFormat/>
    <w:uiPriority w:val="0"/>
    <w:pPr>
      <w:numPr>
        <w:ilvl w:val="2"/>
      </w:numPr>
      <w:autoSpaceDN w:val="0"/>
      <w:spacing w:before="50" w:beforeLines="50" w:after="50" w:afterLines="50"/>
      <w:outlineLvl w:val="2"/>
    </w:pPr>
  </w:style>
  <w:style w:type="character" w:customStyle="1" w:styleId="50">
    <w:name w:val="纯文本 字符"/>
    <w:basedOn w:val="19"/>
    <w:link w:val="10"/>
    <w:qFormat/>
    <w:uiPriority w:val="0"/>
    <w:rPr>
      <w:rFonts w:ascii="宋体" w:hAnsi="Courier New" w:eastAsia="宋体" w:cs="Times New Roman"/>
      <w:szCs w:val="20"/>
    </w:rPr>
  </w:style>
  <w:style w:type="character" w:customStyle="1" w:styleId="51">
    <w:name w:val="正文文本 字符"/>
    <w:basedOn w:val="19"/>
    <w:link w:val="8"/>
    <w:qFormat/>
    <w:uiPriority w:val="0"/>
    <w:rPr>
      <w:rFonts w:ascii="宋体" w:hAnsi="宋体" w:eastAsia="宋体" w:cs="Times New Roman"/>
      <w:kern w:val="0"/>
      <w:sz w:val="24"/>
      <w:szCs w:val="24"/>
      <w:lang w:val="zh-CN" w:eastAsia="zh-CN"/>
    </w:rPr>
  </w:style>
  <w:style w:type="character" w:customStyle="1" w:styleId="52">
    <w:name w:val="正文缩进 字符"/>
    <w:link w:val="7"/>
    <w:qFormat/>
    <w:uiPriority w:val="0"/>
    <w:rPr>
      <w:rFonts w:ascii="Times New Roman" w:hAnsi="Times New Roman" w:eastAsia="仿宋_GB2312" w:cs="Times New Roman"/>
      <w:sz w:val="28"/>
      <w:szCs w:val="20"/>
      <w:lang w:val="zh-CN" w:eastAsia="zh-CN"/>
    </w:rPr>
  </w:style>
  <w:style w:type="table" w:customStyle="1" w:styleId="53">
    <w:name w:val="网格型1"/>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标题 1 字符"/>
    <w:basedOn w:val="19"/>
    <w:link w:val="2"/>
    <w:qFormat/>
    <w:uiPriority w:val="9"/>
    <w:rPr>
      <w:b/>
      <w:bCs/>
      <w:kern w:val="44"/>
      <w:sz w:val="44"/>
      <w:szCs w:val="44"/>
    </w:rPr>
  </w:style>
  <w:style w:type="character" w:customStyle="1" w:styleId="55">
    <w:name w:val="批注框文本 字符"/>
    <w:basedOn w:val="19"/>
    <w:link w:val="11"/>
    <w:semiHidden/>
    <w:qFormat/>
    <w:uiPriority w:val="99"/>
    <w:rPr>
      <w:sz w:val="18"/>
      <w:szCs w:val="18"/>
    </w:rPr>
  </w:style>
  <w:style w:type="paragraph" w:customStyle="1" w:styleId="56">
    <w:name w:val="WPSOffice手动目录 1"/>
    <w:uiPriority w:val="0"/>
    <w:rPr>
      <w:rFonts w:asciiTheme="minorHAnsi" w:hAnsiTheme="minorHAnsi" w:eastAsiaTheme="minorEastAsia" w:cstheme="minorBidi"/>
      <w:lang w:val="en-US" w:eastAsia="zh-CN" w:bidi="ar-SA"/>
    </w:rPr>
  </w:style>
  <w:style w:type="character" w:customStyle="1" w:styleId="57">
    <w:name w:val="font21"/>
    <w:basedOn w:val="19"/>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microsoft.com/office/2007/relationships/hdphoto" Target="media/image5.wdp"/><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glossaryDocument" Target="glossary/document.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b8351d-3db0-45cf-88f7-c5d292b6fc17}"/>
        <w:style w:val=""/>
        <w:category>
          <w:name w:val="常规"/>
          <w:gallery w:val="placeholder"/>
        </w:category>
        <w:types>
          <w:type w:val="bbPlcHdr"/>
        </w:types>
        <w:behaviors>
          <w:behavior w:val="content"/>
        </w:behaviors>
        <w:description w:val=""/>
        <w:guid w:val="{EBB8351D-3DB0-45CF-88F7-C5D292B6FC17}"/>
      </w:docPartPr>
      <w:docPartBody>
        <w:p>
          <w:r>
            <w:rPr>
              <w:color w:val="808080"/>
            </w:rPr>
            <w:t>单击此处输入文字。</w:t>
          </w:r>
        </w:p>
      </w:docPartBody>
    </w:docPart>
    <w:docPart>
      <w:docPartPr>
        <w:name w:val="{2a253a6b-f97d-4904-aa41-90fff3696769}"/>
        <w:style w:val=""/>
        <w:category>
          <w:name w:val="常规"/>
          <w:gallery w:val="placeholder"/>
        </w:category>
        <w:types>
          <w:type w:val="bbPlcHdr"/>
        </w:types>
        <w:behaviors>
          <w:behavior w:val="content"/>
        </w:behaviors>
        <w:description w:val=""/>
        <w:guid w:val="{2A253A6B-F97D-4904-AA41-90FFF3696769}"/>
      </w:docPartPr>
      <w:docPartBody>
        <w:p>
          <w:r>
            <w:rPr>
              <w:color w:val="808080"/>
            </w:rPr>
            <w:t>单击此处输入文字。</w:t>
          </w:r>
        </w:p>
      </w:docPartBody>
    </w:docPart>
    <w:docPart>
      <w:docPartPr>
        <w:name w:val="{d14bea42-4101-412a-b549-f276a9b7853c}"/>
        <w:style w:val=""/>
        <w:category>
          <w:name w:val="常规"/>
          <w:gallery w:val="placeholder"/>
        </w:category>
        <w:types>
          <w:type w:val="bbPlcHdr"/>
        </w:types>
        <w:behaviors>
          <w:behavior w:val="content"/>
        </w:behaviors>
        <w:description w:val=""/>
        <w:guid w:val="{D14BEA42-4101-412A-B549-F276A9B7853C}"/>
      </w:docPartPr>
      <w:docPartBody>
        <w:p>
          <w:r>
            <w:rPr>
              <w:color w:val="808080"/>
            </w:rPr>
            <w:t>单击此处输入文字。</w:t>
          </w:r>
        </w:p>
      </w:docPartBody>
    </w:docPart>
    <w:docPart>
      <w:docPartPr>
        <w:name w:val="{6cf557dc-cfb0-4e6f-965e-ba001587ed5c}"/>
        <w:style w:val=""/>
        <w:category>
          <w:name w:val="常规"/>
          <w:gallery w:val="placeholder"/>
        </w:category>
        <w:types>
          <w:type w:val="bbPlcHdr"/>
        </w:types>
        <w:behaviors>
          <w:behavior w:val="content"/>
        </w:behaviors>
        <w:description w:val=""/>
        <w:guid w:val="{6CF557DC-CFB0-4E6F-965E-BA001587ED5C}"/>
      </w:docPartPr>
      <w:docPartBody>
        <w:p>
          <w:r>
            <w:rPr>
              <w:color w:val="808080"/>
            </w:rPr>
            <w:t>单击此处输入文字。</w:t>
          </w:r>
        </w:p>
      </w:docPartBody>
    </w:docPart>
    <w:docPart>
      <w:docPartPr>
        <w:name w:val="{df5aba1f-a076-4cf1-8e3e-83abf68ed3d8}"/>
        <w:style w:val=""/>
        <w:category>
          <w:name w:val="常规"/>
          <w:gallery w:val="placeholder"/>
        </w:category>
        <w:types>
          <w:type w:val="bbPlcHdr"/>
        </w:types>
        <w:behaviors>
          <w:behavior w:val="content"/>
        </w:behaviors>
        <w:description w:val=""/>
        <w:guid w:val="{DF5ABA1F-A076-4CF1-8E3E-83ABF68ED3D8}"/>
      </w:docPartPr>
      <w:docPartBody>
        <w:p>
          <w:r>
            <w:rPr>
              <w:color w:val="808080"/>
            </w:rPr>
            <w:t>单击此处输入文字。</w:t>
          </w:r>
        </w:p>
      </w:docPartBody>
    </w:docPart>
    <w:docPart>
      <w:docPartPr>
        <w:name w:val="{6bf04348-40f3-4e62-880e-36c4294b4eba}"/>
        <w:style w:val=""/>
        <w:category>
          <w:name w:val="常规"/>
          <w:gallery w:val="placeholder"/>
        </w:category>
        <w:types>
          <w:type w:val="bbPlcHdr"/>
        </w:types>
        <w:behaviors>
          <w:behavior w:val="content"/>
        </w:behaviors>
        <w:description w:val=""/>
        <w:guid w:val="{6BF04348-40F3-4E62-880E-36C4294B4EBA}"/>
      </w:docPartPr>
      <w:docPartBody>
        <w:p>
          <w:r>
            <w:rPr>
              <w:color w:val="808080"/>
            </w:rPr>
            <w:t>单击此处输入文字。</w:t>
          </w:r>
        </w:p>
      </w:docPartBody>
    </w:docPart>
    <w:docPart>
      <w:docPartPr>
        <w:name w:val="{8e1fc512-fd2d-462c-a943-162e1e5350f3}"/>
        <w:style w:val=""/>
        <w:category>
          <w:name w:val="常规"/>
          <w:gallery w:val="placeholder"/>
        </w:category>
        <w:types>
          <w:type w:val="bbPlcHdr"/>
        </w:types>
        <w:behaviors>
          <w:behavior w:val="content"/>
        </w:behaviors>
        <w:description w:val=""/>
        <w:guid w:val="{8E1FC512-FD2D-462C-A943-162E1E5350F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5"/>
  </w:compat>
  <w:rsids>
    <w:rsidRoot w:val="002D74C1"/>
    <w:rsid w:val="002D74C1"/>
    <w:rsid w:val="00463920"/>
    <w:rsid w:val="00E83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202CE5-8110-47FC-892A-25BE13628C14}">
  <ds:schemaRefs/>
</ds:datastoreItem>
</file>

<file path=docProps/app.xml><?xml version="1.0" encoding="utf-8"?>
<Properties xmlns="http://schemas.openxmlformats.org/officeDocument/2006/extended-properties" xmlns:vt="http://schemas.openxmlformats.org/officeDocument/2006/docPropsVTypes">
  <Template>Normal</Template>
  <Pages>36</Pages>
  <Words>10283</Words>
  <Characters>10491</Characters>
  <Lines>89</Lines>
  <Paragraphs>25</Paragraphs>
  <TotalTime>1</TotalTime>
  <ScaleCrop>false</ScaleCrop>
  <LinksUpToDate>false</LinksUpToDate>
  <CharactersWithSpaces>11040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2022-08-06T05:17:00Z</dcterms:created>
  <dc:creator>Administrator</dc:creator>
  <cp:lastModifiedBy>A呀土豆baby</cp:lastModifiedBy>
  <cp:lastPrinted>2018-08-20T02:53:00Z</cp:lastPrinted>
  <dcterms:modified xsi:type="dcterms:W3CDTF">2022-08-07T13:44:36Z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2192C927CBD94584AF8A2E9E4AB92371</vt:lpwstr>
  </property>
</Properties>
</file>