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BC2" w:rsidRDefault="00DE1BC2" w:rsidP="00DE1BC2">
      <w:pPr>
        <w:pStyle w:val="4"/>
        <w:jc w:val="center"/>
        <w:rPr>
          <w:rFonts w:ascii="Times New Roman" w:hAnsi="Times New Roman"/>
          <w:szCs w:val="21"/>
        </w:rPr>
      </w:pPr>
      <w:r>
        <w:rPr>
          <w:rFonts w:ascii="Times New Roman" w:hAnsi="Times New Roman"/>
          <w:szCs w:val="21"/>
        </w:rPr>
        <w:t xml:space="preserve">3 </w:t>
      </w:r>
      <w:r>
        <w:rPr>
          <w:rFonts w:ascii="Times New Roman" w:hAnsi="Times New Roman"/>
          <w:szCs w:val="21"/>
        </w:rPr>
        <w:t>金属粉尘企业安全风险清单</w:t>
      </w: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1701"/>
        <w:gridCol w:w="1344"/>
        <w:gridCol w:w="5034"/>
        <w:gridCol w:w="1985"/>
        <w:gridCol w:w="1308"/>
      </w:tblGrid>
      <w:tr w:rsidR="00DE1BC2" w:rsidTr="005233BA">
        <w:trPr>
          <w:tblHeader/>
        </w:trPr>
        <w:tc>
          <w:tcPr>
            <w:tcW w:w="709"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序号</w:t>
            </w:r>
          </w:p>
        </w:tc>
        <w:tc>
          <w:tcPr>
            <w:tcW w:w="1701"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场所</w:t>
            </w:r>
            <w:r>
              <w:rPr>
                <w:rFonts w:ascii="Times New Roman" w:hAnsi="Times New Roman"/>
                <w:b/>
                <w:bCs/>
                <w:szCs w:val="21"/>
              </w:rPr>
              <w:t>/</w:t>
            </w:r>
            <w:r>
              <w:rPr>
                <w:rFonts w:ascii="Times New Roman" w:hAnsi="Times New Roman"/>
                <w:b/>
                <w:bCs/>
                <w:szCs w:val="21"/>
              </w:rPr>
              <w:t>环节</w:t>
            </w:r>
            <w:r>
              <w:rPr>
                <w:rFonts w:ascii="Times New Roman" w:hAnsi="Times New Roman"/>
                <w:b/>
                <w:bCs/>
                <w:szCs w:val="21"/>
              </w:rPr>
              <w:t>/</w:t>
            </w:r>
            <w:r>
              <w:rPr>
                <w:rFonts w:ascii="Times New Roman" w:hAnsi="Times New Roman"/>
                <w:b/>
                <w:bCs/>
                <w:szCs w:val="21"/>
              </w:rPr>
              <w:t>部位</w:t>
            </w:r>
          </w:p>
        </w:tc>
        <w:tc>
          <w:tcPr>
            <w:tcW w:w="1701"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较大危险因素</w:t>
            </w:r>
          </w:p>
        </w:tc>
        <w:tc>
          <w:tcPr>
            <w:tcW w:w="1344"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易发生的事故类型</w:t>
            </w:r>
          </w:p>
        </w:tc>
        <w:tc>
          <w:tcPr>
            <w:tcW w:w="5034"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主要防范措施</w:t>
            </w:r>
          </w:p>
        </w:tc>
        <w:tc>
          <w:tcPr>
            <w:tcW w:w="1985"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依据</w:t>
            </w:r>
          </w:p>
        </w:tc>
        <w:tc>
          <w:tcPr>
            <w:tcW w:w="1308" w:type="dxa"/>
            <w:vAlign w:val="center"/>
          </w:tcPr>
          <w:p w:rsidR="00DE1BC2" w:rsidRDefault="00DE1BC2" w:rsidP="005233BA">
            <w:pPr>
              <w:jc w:val="center"/>
              <w:rPr>
                <w:rFonts w:ascii="Times New Roman" w:hAnsi="Times New Roman"/>
                <w:b/>
                <w:bCs/>
                <w:szCs w:val="21"/>
              </w:rPr>
            </w:pPr>
            <w:r>
              <w:rPr>
                <w:rFonts w:ascii="Times New Roman" w:hAnsi="Times New Roman"/>
                <w:b/>
                <w:bCs/>
                <w:szCs w:val="21"/>
              </w:rPr>
              <w:t>责任人</w:t>
            </w: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1</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平面布局</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布局不合理导致事故后果扩大</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安装有铝镁粉</w:t>
            </w:r>
            <w:proofErr w:type="gramStart"/>
            <w:r>
              <w:rPr>
                <w:rFonts w:ascii="Times New Roman" w:hAnsi="Times New Roman"/>
                <w:szCs w:val="21"/>
              </w:rPr>
              <w:t>尘</w:t>
            </w:r>
            <w:proofErr w:type="gramEnd"/>
            <w:r>
              <w:rPr>
                <w:rFonts w:ascii="Times New Roman" w:hAnsi="Times New Roman"/>
                <w:szCs w:val="21"/>
              </w:rPr>
              <w:t>爆炸危险的工艺设备或存在铝镁可燃粉尘的建</w:t>
            </w:r>
            <w:r>
              <w:rPr>
                <w:rFonts w:ascii="Times New Roman" w:hAnsi="Times New Roman"/>
                <w:szCs w:val="21"/>
              </w:rPr>
              <w:t>(</w:t>
            </w:r>
            <w:r>
              <w:rPr>
                <w:rFonts w:ascii="Times New Roman" w:hAnsi="Times New Roman"/>
                <w:szCs w:val="21"/>
              </w:rPr>
              <w:t>构</w:t>
            </w:r>
            <w:r>
              <w:rPr>
                <w:rFonts w:ascii="Times New Roman" w:hAnsi="Times New Roman"/>
                <w:szCs w:val="21"/>
              </w:rPr>
              <w:t>)</w:t>
            </w:r>
            <w:r>
              <w:rPr>
                <w:rFonts w:ascii="Times New Roman" w:hAnsi="Times New Roman"/>
                <w:szCs w:val="21"/>
              </w:rPr>
              <w:t>筑物与民用建筑（裙房，单、多层）距离大于</w:t>
            </w:r>
            <w:r>
              <w:rPr>
                <w:rFonts w:ascii="Times New Roman" w:hAnsi="Times New Roman"/>
                <w:szCs w:val="21"/>
              </w:rPr>
              <w:t>25</w:t>
            </w:r>
            <w:r>
              <w:rPr>
                <w:rFonts w:ascii="Times New Roman" w:hAnsi="Times New Roman"/>
                <w:szCs w:val="21"/>
              </w:rPr>
              <w:t>米，与民用建筑（高层）距离大于</w:t>
            </w:r>
            <w:r>
              <w:rPr>
                <w:rFonts w:ascii="Times New Roman" w:hAnsi="Times New Roman"/>
                <w:szCs w:val="21"/>
              </w:rPr>
              <w:t>50</w:t>
            </w:r>
            <w:r>
              <w:rPr>
                <w:rFonts w:ascii="Times New Roman" w:hAnsi="Times New Roman"/>
                <w:szCs w:val="21"/>
              </w:rPr>
              <w:t>米。</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《建筑设计防火规范》</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GB50016-2014</w:t>
            </w:r>
            <w:r>
              <w:rPr>
                <w:rFonts w:ascii="Times New Roman" w:hAnsi="Times New Roman"/>
                <w:szCs w:val="21"/>
              </w:rPr>
              <w:t>）</w:t>
            </w:r>
            <w:r>
              <w:rPr>
                <w:rFonts w:ascii="Times New Roman" w:hAnsi="Times New Roman"/>
                <w:szCs w:val="21"/>
              </w:rPr>
              <w:t>3.4.1</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2</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建构筑物</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结构设计不合理，造成群死群伤</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在结构方面首选轻型结构屋顶的单层建筑；若采用多层建筑，宜采用框架结构并在墙上设置符合</w:t>
            </w:r>
            <w:proofErr w:type="gramStart"/>
            <w:r>
              <w:rPr>
                <w:rFonts w:ascii="Times New Roman" w:hAnsi="Times New Roman"/>
                <w:szCs w:val="21"/>
              </w:rPr>
              <w:t>泄爆要求</w:t>
            </w:r>
            <w:proofErr w:type="gramEnd"/>
            <w:r>
              <w:rPr>
                <w:rFonts w:ascii="Times New Roman" w:hAnsi="Times New Roman"/>
                <w:szCs w:val="21"/>
              </w:rPr>
              <w:t>的泄爆口；如果将窗户或其他开口作为</w:t>
            </w:r>
            <w:proofErr w:type="gramStart"/>
            <w:r>
              <w:rPr>
                <w:rFonts w:ascii="Times New Roman" w:hAnsi="Times New Roman"/>
                <w:szCs w:val="21"/>
              </w:rPr>
              <w:t>泄</w:t>
            </w:r>
            <w:proofErr w:type="gramEnd"/>
            <w:r>
              <w:rPr>
                <w:rFonts w:ascii="Times New Roman" w:hAnsi="Times New Roman"/>
                <w:szCs w:val="21"/>
              </w:rPr>
              <w:t>爆口，核算</w:t>
            </w:r>
            <w:proofErr w:type="gramStart"/>
            <w:r>
              <w:rPr>
                <w:rFonts w:ascii="Times New Roman" w:hAnsi="Times New Roman"/>
                <w:szCs w:val="21"/>
              </w:rPr>
              <w:t>泄爆面积</w:t>
            </w:r>
            <w:proofErr w:type="gramEnd"/>
            <w:r>
              <w:rPr>
                <w:rFonts w:ascii="Times New Roman" w:hAnsi="Times New Roman"/>
                <w:szCs w:val="21"/>
              </w:rPr>
              <w:t>以保证在爆炸时其能有效地进行泄爆。</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工贸行业可燃性粉尘作业场所工艺设施防爆技术指南（试行）</w:t>
            </w:r>
            <w:r>
              <w:rPr>
                <w:rFonts w:ascii="Times New Roman" w:hAnsi="Times New Roman"/>
                <w:szCs w:val="21"/>
              </w:rPr>
              <w:t>2.1.3</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3</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建构筑物</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爆炸危险的工艺设备设置在建筑物内部造成人员死亡</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有爆炸危险的工艺设备</w:t>
            </w:r>
            <w:proofErr w:type="gramStart"/>
            <w:r>
              <w:rPr>
                <w:rFonts w:ascii="Times New Roman" w:hAnsi="Times New Roman"/>
                <w:szCs w:val="21"/>
              </w:rPr>
              <w:t>宜设置</w:t>
            </w:r>
            <w:proofErr w:type="gramEnd"/>
            <w:r>
              <w:rPr>
                <w:rFonts w:ascii="Times New Roman" w:hAnsi="Times New Roman"/>
                <w:szCs w:val="21"/>
              </w:rPr>
              <w:t>在建筑物外的露天场所。</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《粉尘防爆安全规程》</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GB15577-2007</w:t>
            </w:r>
            <w:r>
              <w:rPr>
                <w:rFonts w:ascii="Times New Roman" w:hAnsi="Times New Roman"/>
                <w:szCs w:val="21"/>
              </w:rPr>
              <w:t>）</w:t>
            </w:r>
            <w:r>
              <w:rPr>
                <w:rFonts w:ascii="Times New Roman" w:hAnsi="Times New Roman"/>
                <w:szCs w:val="21"/>
              </w:rPr>
              <w:t>5.7</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4</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生产作业管理</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车间内有明火、静电存在导致粉尘爆炸</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）所有金属管道连接处</w:t>
            </w:r>
            <w:r>
              <w:rPr>
                <w:rFonts w:ascii="Times New Roman" w:hAnsi="Times New Roman"/>
                <w:szCs w:val="21"/>
              </w:rPr>
              <w:t>(</w:t>
            </w:r>
            <w:r>
              <w:rPr>
                <w:rFonts w:ascii="Times New Roman" w:hAnsi="Times New Roman"/>
                <w:szCs w:val="21"/>
              </w:rPr>
              <w:t>如法兰</w:t>
            </w:r>
            <w:r>
              <w:rPr>
                <w:rFonts w:ascii="Times New Roman" w:hAnsi="Times New Roman"/>
                <w:szCs w:val="21"/>
              </w:rPr>
              <w:t>)</w:t>
            </w:r>
            <w:r>
              <w:rPr>
                <w:rFonts w:ascii="Times New Roman" w:hAnsi="Times New Roman"/>
                <w:szCs w:val="21"/>
              </w:rPr>
              <w:t>，应进行跨接。</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）所有金属设备、装置外壳、金属管道、支架、构件、部件等，一般应采用防静电直接接地；不便或工艺不允许直接接地的，可通过导静电材料或制品间接接地。</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）粉尘爆炸危险场所应杜绝各种非生产性明火存在。</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《粉尘防爆安全规程》</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GB15577-2007</w:t>
            </w:r>
            <w:r>
              <w:rPr>
                <w:rFonts w:ascii="Times New Roman" w:hAnsi="Times New Roman"/>
                <w:szCs w:val="21"/>
              </w:rPr>
              <w:t>）</w:t>
            </w:r>
            <w:r>
              <w:rPr>
                <w:rFonts w:ascii="Times New Roman" w:hAnsi="Times New Roman"/>
                <w:szCs w:val="21"/>
              </w:rPr>
              <w:t>4.5</w:t>
            </w:r>
            <w:r>
              <w:rPr>
                <w:rFonts w:ascii="Times New Roman" w:hAnsi="Times New Roman"/>
                <w:szCs w:val="21"/>
              </w:rPr>
              <w:t>、</w:t>
            </w:r>
            <w:r>
              <w:rPr>
                <w:rFonts w:ascii="Times New Roman" w:hAnsi="Times New Roman"/>
                <w:szCs w:val="21"/>
              </w:rPr>
              <w:t>6.3.2.1</w:t>
            </w:r>
            <w:r>
              <w:rPr>
                <w:rFonts w:ascii="Times New Roman" w:hAnsi="Times New Roman"/>
                <w:szCs w:val="21"/>
              </w:rPr>
              <w:t>、</w:t>
            </w:r>
            <w:r>
              <w:rPr>
                <w:rFonts w:ascii="Times New Roman" w:hAnsi="Times New Roman"/>
                <w:szCs w:val="21"/>
              </w:rPr>
              <w:t>6.3.2.3</w:t>
            </w:r>
          </w:p>
          <w:p w:rsidR="00DE1BC2" w:rsidRDefault="00DE1BC2" w:rsidP="005233BA">
            <w:pPr>
              <w:rPr>
                <w:rFonts w:ascii="Times New Roman" w:hAnsi="Times New Roman"/>
                <w:szCs w:val="21"/>
              </w:rPr>
            </w:pP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5</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动火作业管理</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因动火作业防范</w:t>
            </w:r>
            <w:r>
              <w:rPr>
                <w:rFonts w:ascii="Times New Roman" w:hAnsi="Times New Roman"/>
                <w:szCs w:val="21"/>
              </w:rPr>
              <w:lastRenderedPageBreak/>
              <w:t>措施不当造成火灾爆炸事故</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lastRenderedPageBreak/>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）企业根据自身情况制定动火作业安全管理制度</w:t>
            </w:r>
            <w:r>
              <w:rPr>
                <w:rFonts w:ascii="Times New Roman" w:hAnsi="Times New Roman"/>
                <w:szCs w:val="21"/>
              </w:rPr>
              <w:lastRenderedPageBreak/>
              <w:t>和操作规程。在粉尘爆炸危险场所进行动火作业前，报告企业安全负责人审批，并取得动火作业证。</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凡可拆卸的设备、管道一律拆下并搬运到安全地区进行动火作业。在与密闭容器相连的管道上有隔离闸门的，确保隔离闸门严密关闭；无隔离闸门的，拆除一段管道并封闭管口或用阻燃材料将管道隔离。作业现场在建</w:t>
            </w:r>
            <w:r>
              <w:rPr>
                <w:rFonts w:ascii="Times New Roman" w:hAnsi="Times New Roman"/>
                <w:szCs w:val="21"/>
              </w:rPr>
              <w:t>(</w:t>
            </w:r>
            <w:r>
              <w:rPr>
                <w:rFonts w:ascii="Times New Roman" w:hAnsi="Times New Roman"/>
                <w:szCs w:val="21"/>
              </w:rPr>
              <w:t>构</w:t>
            </w:r>
            <w:r>
              <w:rPr>
                <w:rFonts w:ascii="Times New Roman" w:hAnsi="Times New Roman"/>
                <w:szCs w:val="21"/>
              </w:rPr>
              <w:t>)</w:t>
            </w:r>
            <w:r>
              <w:rPr>
                <w:rFonts w:ascii="Times New Roman" w:hAnsi="Times New Roman"/>
                <w:szCs w:val="21"/>
              </w:rPr>
              <w:t>筑物内时，打开动火作业点所处楼层</w:t>
            </w:r>
            <w:r>
              <w:rPr>
                <w:rFonts w:ascii="Times New Roman" w:hAnsi="Times New Roman"/>
                <w:szCs w:val="21"/>
              </w:rPr>
              <w:t>10</w:t>
            </w:r>
            <w:r>
              <w:rPr>
                <w:rFonts w:ascii="Times New Roman" w:hAnsi="Times New Roman"/>
                <w:szCs w:val="21"/>
              </w:rPr>
              <w:t>米半径范围内的所有门窗，便于泄爆；同时严密堵塞作业现场</w:t>
            </w:r>
            <w:r>
              <w:rPr>
                <w:rFonts w:ascii="Times New Roman" w:hAnsi="Times New Roman"/>
                <w:szCs w:val="21"/>
              </w:rPr>
              <w:t>10</w:t>
            </w:r>
            <w:r>
              <w:rPr>
                <w:rFonts w:ascii="Times New Roman" w:hAnsi="Times New Roman"/>
                <w:szCs w:val="21"/>
              </w:rPr>
              <w:t>米范围内的全部楼面和墙壁上的孔洞、通风除尘吸口，防止火苗侵入。</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）动火作业开始前，停止一切产生粉尘的作业，并清除作业点</w:t>
            </w:r>
            <w:r>
              <w:rPr>
                <w:rFonts w:ascii="Times New Roman" w:hAnsi="Times New Roman"/>
                <w:szCs w:val="21"/>
              </w:rPr>
              <w:t>10</w:t>
            </w:r>
            <w:r>
              <w:rPr>
                <w:rFonts w:ascii="Times New Roman" w:hAnsi="Times New Roman"/>
                <w:szCs w:val="21"/>
              </w:rPr>
              <w:t>米范围内的可燃性粉尘，用水冲洗</w:t>
            </w:r>
            <w:proofErr w:type="gramStart"/>
            <w:r>
              <w:rPr>
                <w:rFonts w:ascii="Times New Roman" w:hAnsi="Times New Roman"/>
                <w:szCs w:val="21"/>
              </w:rPr>
              <w:t>淋</w:t>
            </w:r>
            <w:proofErr w:type="gramEnd"/>
            <w:r>
              <w:rPr>
                <w:rFonts w:ascii="Times New Roman" w:hAnsi="Times New Roman"/>
                <w:szCs w:val="21"/>
              </w:rPr>
              <w:t>湿地面和墙壁（遇湿反应的粉尘除外）；清除作业范围内的所有可燃物，不能移走的可燃建筑或物体用阻燃材料加以保护。</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）动火作业时，有安全员在现场监护，并备有适量和适用的灭火器材及供水管路，确保作业现场及时冷却和淋</w:t>
            </w:r>
            <w:proofErr w:type="gramStart"/>
            <w:r>
              <w:rPr>
                <w:rFonts w:ascii="Times New Roman" w:hAnsi="Times New Roman"/>
                <w:szCs w:val="21"/>
              </w:rPr>
              <w:t>灭周围</w:t>
            </w:r>
            <w:proofErr w:type="gramEnd"/>
            <w:r>
              <w:rPr>
                <w:rFonts w:ascii="Times New Roman" w:hAnsi="Times New Roman"/>
                <w:szCs w:val="21"/>
              </w:rPr>
              <w:t>火星。</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5</w:t>
            </w:r>
            <w:r>
              <w:rPr>
                <w:rFonts w:ascii="Times New Roman" w:hAnsi="Times New Roman"/>
                <w:szCs w:val="21"/>
              </w:rPr>
              <w:t>）作业结束后，动火人员和监护人员要共同熄灭残余火迹，清扫作业现场，检查无残留火迹，确认安全方准撤离现场。</w:t>
            </w:r>
          </w:p>
          <w:p w:rsidR="00DE1BC2" w:rsidRDefault="00DE1BC2" w:rsidP="005233BA">
            <w:pPr>
              <w:rPr>
                <w:rFonts w:ascii="Times New Roman" w:hAnsi="Times New Roman"/>
                <w:szCs w:val="21"/>
              </w:rPr>
            </w:pP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lastRenderedPageBreak/>
              <w:t>工贸行业可燃性粉</w:t>
            </w:r>
            <w:r>
              <w:rPr>
                <w:rFonts w:ascii="Times New Roman" w:hAnsi="Times New Roman"/>
                <w:szCs w:val="21"/>
              </w:rPr>
              <w:lastRenderedPageBreak/>
              <w:t>尘作业场所工艺设施防爆技术指南（试行）</w:t>
            </w:r>
          </w:p>
          <w:p w:rsidR="00DE1BC2" w:rsidRDefault="00DE1BC2" w:rsidP="005233BA">
            <w:pPr>
              <w:rPr>
                <w:rFonts w:ascii="Times New Roman" w:hAnsi="Times New Roman"/>
                <w:szCs w:val="21"/>
              </w:rPr>
            </w:pPr>
            <w:r>
              <w:rPr>
                <w:rFonts w:ascii="Times New Roman" w:hAnsi="Times New Roman"/>
                <w:szCs w:val="21"/>
              </w:rPr>
              <w:t>2.3</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6</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除尘</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除尘措施、工具不当而造成粉尘</w:t>
            </w:r>
            <w:r>
              <w:rPr>
                <w:rFonts w:ascii="Times New Roman" w:hAnsi="Times New Roman"/>
                <w:szCs w:val="21"/>
              </w:rPr>
              <w:lastRenderedPageBreak/>
              <w:t>爆炸事故</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lastRenderedPageBreak/>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）根据本企业可燃性粉尘特性对产生粉尘的车间采用负压吸尘、洒水降尘等不会产生二次扬尘的方式</w:t>
            </w:r>
            <w:r>
              <w:rPr>
                <w:rFonts w:ascii="Times New Roman" w:hAnsi="Times New Roman"/>
                <w:szCs w:val="21"/>
              </w:rPr>
              <w:lastRenderedPageBreak/>
              <w:t>进行清扫，使作业场所积累的粉尘量降至最低。</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）为避免二次扬尘，清扫过程中不能使用压缩空气等进行吹扫，可采取负压吸尘、洒水降尘等方式清扫。</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lastRenderedPageBreak/>
              <w:t>《工贸行业可燃性粉尘作业场所工艺</w:t>
            </w:r>
            <w:r>
              <w:rPr>
                <w:rFonts w:ascii="Times New Roman" w:hAnsi="Times New Roman"/>
                <w:szCs w:val="21"/>
              </w:rPr>
              <w:lastRenderedPageBreak/>
              <w:t>设施防爆技术指南（试行）》</w:t>
            </w:r>
            <w:r>
              <w:rPr>
                <w:rFonts w:ascii="Times New Roman" w:hAnsi="Times New Roman"/>
                <w:szCs w:val="21"/>
              </w:rPr>
              <w:t>2.1.5</w:t>
            </w:r>
            <w:r>
              <w:rPr>
                <w:rFonts w:ascii="Times New Roman" w:hAnsi="Times New Roman"/>
                <w:szCs w:val="21"/>
              </w:rPr>
              <w:t>、</w:t>
            </w:r>
            <w:r>
              <w:rPr>
                <w:rFonts w:ascii="Times New Roman" w:hAnsi="Times New Roman"/>
                <w:szCs w:val="21"/>
              </w:rPr>
              <w:t>2.2.3</w:t>
            </w:r>
          </w:p>
          <w:p w:rsidR="00DE1BC2" w:rsidRDefault="00DE1BC2" w:rsidP="005233BA">
            <w:pPr>
              <w:rPr>
                <w:rFonts w:ascii="Times New Roman" w:hAnsi="Times New Roman"/>
                <w:szCs w:val="21"/>
              </w:rPr>
            </w:pPr>
            <w:r>
              <w:rPr>
                <w:rFonts w:ascii="Times New Roman" w:hAnsi="Times New Roman"/>
                <w:szCs w:val="21"/>
              </w:rPr>
              <w:t>《粉尘防爆安全规程》（</w:t>
            </w:r>
            <w:r>
              <w:rPr>
                <w:rFonts w:ascii="Times New Roman" w:hAnsi="Times New Roman"/>
                <w:szCs w:val="21"/>
              </w:rPr>
              <w:t>GB15577-2007</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8.3.2</w:t>
            </w:r>
          </w:p>
        </w:tc>
        <w:tc>
          <w:tcPr>
            <w:tcW w:w="1308" w:type="dxa"/>
            <w:vAlign w:val="center"/>
          </w:tcPr>
          <w:p w:rsidR="00DE1BC2" w:rsidRDefault="00DE1BC2" w:rsidP="005233BA">
            <w:pPr>
              <w:rPr>
                <w:rFonts w:ascii="Times New Roman" w:hAnsi="Times New Roman"/>
                <w:szCs w:val="21"/>
              </w:rPr>
            </w:pPr>
          </w:p>
        </w:tc>
      </w:tr>
      <w:tr w:rsidR="00DE1BC2" w:rsidTr="005233BA">
        <w:trPr>
          <w:trHeight w:val="1253"/>
        </w:trPr>
        <w:tc>
          <w:tcPr>
            <w:tcW w:w="709" w:type="dxa"/>
            <w:vAlign w:val="center"/>
          </w:tcPr>
          <w:p w:rsidR="00DE1BC2" w:rsidRDefault="00DE1BC2" w:rsidP="005233BA">
            <w:pPr>
              <w:rPr>
                <w:rFonts w:ascii="Times New Roman" w:hAnsi="Times New Roman"/>
                <w:szCs w:val="21"/>
              </w:rPr>
            </w:pPr>
            <w:r>
              <w:rPr>
                <w:rFonts w:ascii="Times New Roman" w:hAnsi="Times New Roman"/>
                <w:szCs w:val="21"/>
              </w:rPr>
              <w:t>7</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除尘器</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除尘器位置设置不当加重人员伤亡事故</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干式除尘器一般设置在厂房建筑物外部和屋顶，同时与厂房外墙的距离大于</w:t>
            </w:r>
            <w:r>
              <w:rPr>
                <w:rFonts w:ascii="Times New Roman" w:hAnsi="Times New Roman"/>
                <w:szCs w:val="21"/>
              </w:rPr>
              <w:t>10</w:t>
            </w:r>
            <w:r>
              <w:rPr>
                <w:rFonts w:ascii="Times New Roman" w:hAnsi="Times New Roman"/>
                <w:szCs w:val="21"/>
              </w:rPr>
              <w:t>米，若距离厂房外墙小于规定距离，厂房外墙设非燃烧体防爆墙或在除尘器与厂房外墙间之间设置有足够强度的非燃烧体防爆墙。</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《工贸行业可燃性粉尘作业场所工艺设施防爆技术指南（试行）》</w:t>
            </w:r>
            <w:r>
              <w:rPr>
                <w:rFonts w:ascii="Times New Roman" w:hAnsi="Times New Roman"/>
                <w:szCs w:val="21"/>
              </w:rPr>
              <w:t>4.3.1</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8</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电气安全</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电气线路断路产生明火引发火灾爆炸</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存在可燃性粉尘车间的电器线路采用镀锌钢管套管保护，设备接地可靠、电源采取防爆措施；严禁乱拉私接临时电线，电气线路符合行业标准。</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《工贸行业可燃性粉尘作业场所工艺设施防爆技术指南（试行）》</w:t>
            </w:r>
            <w:r>
              <w:rPr>
                <w:rFonts w:ascii="Times New Roman" w:hAnsi="Times New Roman"/>
                <w:szCs w:val="21"/>
              </w:rPr>
              <w:t>2.1.7</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9</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人员行为</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因为人员缺少防静电措施而引起粉尘火灾爆炸</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在粉尘爆炸危险场所的工作人员穿戴防静电的工作服、鞋、手套，禁止穿戴化纤、丝绸衣物；必要时操作人员佩带接地的导电的腕带、腿带和围裙；地面采用导电地面。</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《工贸行业可燃性粉尘作业场所工艺设施防爆技术指南（试行）》</w:t>
            </w:r>
            <w:r>
              <w:rPr>
                <w:rFonts w:ascii="Times New Roman" w:hAnsi="Times New Roman"/>
                <w:szCs w:val="21"/>
              </w:rPr>
              <w:t>3.1.6</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10</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管道设计</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管道设计不合理而造成粉尘聚集遇明火发生火灾爆炸事故</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）管道应采用除静电钢质金属材料制造，以避免静电积聚，同时可适当增加管道内风速，以满足管道内风量在正常运行或故障情况下粉尘空气混合物最高浓度不超过爆炸下限的</w:t>
            </w:r>
            <w:r>
              <w:rPr>
                <w:rFonts w:ascii="Times New Roman" w:hAnsi="Times New Roman"/>
                <w:szCs w:val="21"/>
              </w:rPr>
              <w:t>50</w:t>
            </w:r>
            <w:r>
              <w:rPr>
                <w:rFonts w:ascii="Times New Roman" w:hAnsi="Times New Roman"/>
                <w:szCs w:val="21"/>
              </w:rPr>
              <w:t>％。</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）为了防止粉尘在风管内沉积，可燃性粉尘的除尘管道截面应采用圆形，尽量缩短水平风管的长度，减</w:t>
            </w:r>
            <w:r>
              <w:rPr>
                <w:rFonts w:ascii="Times New Roman" w:hAnsi="Times New Roman"/>
                <w:szCs w:val="21"/>
              </w:rPr>
              <w:lastRenderedPageBreak/>
              <w:t>少弯头数量，管道上不应设置端头和袋状管，避免粉尘积聚；水平管道每隔</w:t>
            </w:r>
            <w:r>
              <w:rPr>
                <w:rFonts w:ascii="Times New Roman" w:hAnsi="Times New Roman"/>
                <w:szCs w:val="21"/>
              </w:rPr>
              <w:t>6</w:t>
            </w:r>
            <w:r>
              <w:rPr>
                <w:rFonts w:ascii="Times New Roman" w:hAnsi="Times New Roman"/>
                <w:szCs w:val="21"/>
              </w:rPr>
              <w:t>米设有清理口。管道接口处采用金属构件紧固并采用与管道横截面面积相等的过渡连接。</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）为了防止局部管道爆炸后能及时控制爆炸的进一步发展或防止爆炸引起冲击波外泄，造成扬尘，产生二次爆炸，管道架空敷设，不允许暗设和布置在地下、半地下建筑物中；管道长度每隔</w:t>
            </w:r>
            <w:r>
              <w:rPr>
                <w:rFonts w:ascii="Times New Roman" w:hAnsi="Times New Roman"/>
                <w:szCs w:val="21"/>
              </w:rPr>
              <w:t xml:space="preserve"> 6</w:t>
            </w:r>
            <w:r>
              <w:rPr>
                <w:rFonts w:ascii="Times New Roman" w:hAnsi="Times New Roman"/>
                <w:szCs w:val="21"/>
              </w:rPr>
              <w:t>米处，以及分支管道汇集到集中排风管道接口的集中排风管道上游的</w:t>
            </w:r>
            <w:r>
              <w:rPr>
                <w:rFonts w:ascii="Times New Roman" w:hAnsi="Times New Roman"/>
                <w:szCs w:val="21"/>
              </w:rPr>
              <w:t>1</w:t>
            </w:r>
            <w:r>
              <w:rPr>
                <w:rFonts w:ascii="Times New Roman" w:hAnsi="Times New Roman"/>
                <w:szCs w:val="21"/>
              </w:rPr>
              <w:t>米处，设置泄压面积和开启压力符合要求的径向控爆泄压口，各除尘支路与总回风管道连接处装设自动隔爆阀；</w:t>
            </w:r>
            <w:proofErr w:type="gramStart"/>
            <w:r>
              <w:rPr>
                <w:rFonts w:ascii="Times New Roman" w:hAnsi="Times New Roman"/>
                <w:szCs w:val="21"/>
              </w:rPr>
              <w:t>若控爆</w:t>
            </w:r>
            <w:proofErr w:type="gramEnd"/>
            <w:r>
              <w:rPr>
                <w:rFonts w:ascii="Times New Roman" w:hAnsi="Times New Roman"/>
                <w:szCs w:val="21"/>
              </w:rPr>
              <w:t>泄压口设置在厂房建筑物内时，使用长度不超过</w:t>
            </w:r>
            <w:r>
              <w:rPr>
                <w:rFonts w:ascii="Times New Roman" w:hAnsi="Times New Roman"/>
                <w:szCs w:val="21"/>
              </w:rPr>
              <w:t>6</w:t>
            </w:r>
            <w:r>
              <w:rPr>
                <w:rFonts w:ascii="Times New Roman" w:hAnsi="Times New Roman"/>
                <w:szCs w:val="21"/>
              </w:rPr>
              <w:t>米的泄压导管通向室外。</w:t>
            </w:r>
          </w:p>
          <w:p w:rsidR="00DE1BC2" w:rsidRDefault="00DE1BC2" w:rsidP="005233BA">
            <w:pPr>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）除尘系统之间不应有管道互连。吸尘罩的入口不得正对加工产生的溅射火花，以防止溅射火花进入除尘管道。除尘器和管道需采用泄压设计。</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lastRenderedPageBreak/>
              <w:t>《工贸行业可燃性粉尘作业场所工艺设施防爆技术指南（试行）》</w:t>
            </w:r>
            <w:r>
              <w:rPr>
                <w:rFonts w:ascii="Times New Roman" w:hAnsi="Times New Roman"/>
                <w:szCs w:val="21"/>
              </w:rPr>
              <w:t>4.2.1</w:t>
            </w:r>
            <w:r>
              <w:rPr>
                <w:rFonts w:ascii="Times New Roman" w:hAnsi="Times New Roman"/>
                <w:szCs w:val="21"/>
              </w:rPr>
              <w:t>、</w:t>
            </w:r>
            <w:r>
              <w:rPr>
                <w:rFonts w:ascii="Times New Roman" w:hAnsi="Times New Roman"/>
                <w:szCs w:val="21"/>
              </w:rPr>
              <w:t>4.2.2</w:t>
            </w:r>
            <w:r>
              <w:rPr>
                <w:rFonts w:ascii="Times New Roman" w:hAnsi="Times New Roman"/>
                <w:szCs w:val="21"/>
              </w:rPr>
              <w:t>、</w:t>
            </w:r>
            <w:r>
              <w:rPr>
                <w:rFonts w:ascii="Times New Roman" w:hAnsi="Times New Roman"/>
                <w:szCs w:val="21"/>
              </w:rPr>
              <w:t>4.2.3</w:t>
            </w:r>
            <w:r>
              <w:rPr>
                <w:rFonts w:ascii="Times New Roman" w:hAnsi="Times New Roman"/>
                <w:szCs w:val="21"/>
              </w:rPr>
              <w:t>、</w:t>
            </w:r>
            <w:r>
              <w:rPr>
                <w:rFonts w:ascii="Times New Roman" w:hAnsi="Times New Roman"/>
                <w:szCs w:val="21"/>
              </w:rPr>
              <w:t>6.9.2</w:t>
            </w:r>
          </w:p>
        </w:tc>
        <w:tc>
          <w:tcPr>
            <w:tcW w:w="1308" w:type="dxa"/>
            <w:vAlign w:val="center"/>
          </w:tcPr>
          <w:p w:rsidR="00DE1BC2" w:rsidRDefault="00DE1BC2" w:rsidP="005233BA">
            <w:pPr>
              <w:rPr>
                <w:rFonts w:ascii="Times New Roman" w:hAnsi="Times New Roman"/>
                <w:szCs w:val="21"/>
              </w:rPr>
            </w:pPr>
          </w:p>
        </w:tc>
      </w:tr>
      <w:tr w:rsidR="00DE1BC2" w:rsidTr="005233BA">
        <w:tc>
          <w:tcPr>
            <w:tcW w:w="709" w:type="dxa"/>
            <w:vAlign w:val="center"/>
          </w:tcPr>
          <w:p w:rsidR="00DE1BC2" w:rsidRDefault="00DE1BC2" w:rsidP="005233BA">
            <w:pPr>
              <w:rPr>
                <w:rFonts w:ascii="Times New Roman" w:hAnsi="Times New Roman"/>
                <w:szCs w:val="21"/>
              </w:rPr>
            </w:pPr>
            <w:r>
              <w:rPr>
                <w:rFonts w:ascii="Times New Roman" w:hAnsi="Times New Roman"/>
                <w:szCs w:val="21"/>
              </w:rPr>
              <w:t>11</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应急灭火措施</w:t>
            </w:r>
          </w:p>
        </w:tc>
        <w:tc>
          <w:tcPr>
            <w:tcW w:w="1701" w:type="dxa"/>
            <w:vAlign w:val="center"/>
          </w:tcPr>
          <w:p w:rsidR="00DE1BC2" w:rsidRDefault="00DE1BC2" w:rsidP="005233BA">
            <w:pPr>
              <w:rPr>
                <w:rFonts w:ascii="Times New Roman" w:hAnsi="Times New Roman"/>
                <w:szCs w:val="21"/>
              </w:rPr>
            </w:pPr>
            <w:r>
              <w:rPr>
                <w:rFonts w:ascii="Times New Roman" w:hAnsi="Times New Roman"/>
                <w:szCs w:val="21"/>
              </w:rPr>
              <w:t>灭火器材选用不当而造成此次生事故</w:t>
            </w:r>
          </w:p>
        </w:tc>
        <w:tc>
          <w:tcPr>
            <w:tcW w:w="1344" w:type="dxa"/>
            <w:vAlign w:val="center"/>
          </w:tcPr>
          <w:p w:rsidR="00DE1BC2" w:rsidRDefault="00DE1BC2" w:rsidP="005233BA">
            <w:pPr>
              <w:rPr>
                <w:rFonts w:ascii="Times New Roman" w:hAnsi="Times New Roman"/>
                <w:szCs w:val="21"/>
              </w:rPr>
            </w:pPr>
            <w:r>
              <w:rPr>
                <w:rFonts w:ascii="Times New Roman" w:hAnsi="Times New Roman"/>
                <w:szCs w:val="21"/>
              </w:rPr>
              <w:t>火灾爆炸</w:t>
            </w:r>
          </w:p>
        </w:tc>
        <w:tc>
          <w:tcPr>
            <w:tcW w:w="5034" w:type="dxa"/>
            <w:vAlign w:val="center"/>
          </w:tcPr>
          <w:p w:rsidR="00DE1BC2" w:rsidRDefault="00DE1BC2" w:rsidP="005233BA">
            <w:pPr>
              <w:rPr>
                <w:rFonts w:ascii="Times New Roman" w:hAnsi="Times New Roman"/>
                <w:szCs w:val="21"/>
              </w:rPr>
            </w:pPr>
            <w:r>
              <w:rPr>
                <w:rFonts w:ascii="Times New Roman" w:hAnsi="Times New Roman"/>
                <w:szCs w:val="21"/>
              </w:rPr>
              <w:t>粉尘燃烧时必须使用消防沙灭火，严禁使用普通灭火器灭火。</w:t>
            </w:r>
          </w:p>
        </w:tc>
        <w:tc>
          <w:tcPr>
            <w:tcW w:w="1985" w:type="dxa"/>
            <w:vAlign w:val="center"/>
          </w:tcPr>
          <w:p w:rsidR="00DE1BC2" w:rsidRDefault="00DE1BC2" w:rsidP="005233BA">
            <w:pPr>
              <w:rPr>
                <w:rFonts w:ascii="Times New Roman" w:hAnsi="Times New Roman"/>
                <w:szCs w:val="21"/>
              </w:rPr>
            </w:pPr>
            <w:r>
              <w:rPr>
                <w:rFonts w:ascii="Times New Roman" w:hAnsi="Times New Roman"/>
                <w:szCs w:val="21"/>
              </w:rPr>
              <w:t>《国务院安委会办公室关于深入开展铝镁制品机加工企业安全生产专项治理的通知》（安委办〔</w:t>
            </w:r>
            <w:r>
              <w:rPr>
                <w:rFonts w:ascii="Times New Roman" w:hAnsi="Times New Roman"/>
                <w:szCs w:val="21"/>
              </w:rPr>
              <w:t>2012</w:t>
            </w:r>
            <w:r>
              <w:rPr>
                <w:rFonts w:ascii="Times New Roman" w:hAnsi="Times New Roman"/>
                <w:szCs w:val="21"/>
              </w:rPr>
              <w:t>〕</w:t>
            </w:r>
            <w:r>
              <w:rPr>
                <w:rFonts w:ascii="Times New Roman" w:hAnsi="Times New Roman"/>
                <w:szCs w:val="21"/>
              </w:rPr>
              <w:t>38</w:t>
            </w:r>
            <w:r>
              <w:rPr>
                <w:rFonts w:ascii="Times New Roman" w:hAnsi="Times New Roman"/>
                <w:szCs w:val="21"/>
              </w:rPr>
              <w:t>号）</w:t>
            </w:r>
          </w:p>
        </w:tc>
        <w:tc>
          <w:tcPr>
            <w:tcW w:w="1308" w:type="dxa"/>
            <w:vAlign w:val="center"/>
          </w:tcPr>
          <w:p w:rsidR="00DE1BC2" w:rsidRDefault="00DE1BC2" w:rsidP="005233BA">
            <w:pPr>
              <w:rPr>
                <w:rFonts w:ascii="Times New Roman" w:hAnsi="Times New Roman"/>
                <w:szCs w:val="21"/>
              </w:rPr>
            </w:pPr>
          </w:p>
        </w:tc>
      </w:tr>
    </w:tbl>
    <w:p w:rsidR="00DE1BC2" w:rsidRDefault="00DE1BC2" w:rsidP="00DE1BC2">
      <w:pPr>
        <w:rPr>
          <w:rFonts w:ascii="Times New Roman" w:hAnsi="Times New Roman"/>
        </w:rPr>
      </w:pPr>
    </w:p>
    <w:p w:rsidR="00DE1BC2" w:rsidRDefault="00DE1BC2" w:rsidP="00DE1BC2">
      <w:pPr>
        <w:pStyle w:val="a3"/>
        <w:spacing w:beforeLines="50" w:before="156"/>
        <w:rPr>
          <w:rFonts w:ascii="Times New Roman" w:hAnsi="Times New Roman"/>
          <w:szCs w:val="21"/>
        </w:rPr>
      </w:pPr>
    </w:p>
    <w:p w:rsidR="00105557" w:rsidRPr="00DE1BC2" w:rsidRDefault="00105557"/>
    <w:sectPr w:rsidR="00105557" w:rsidRPr="00DE1BC2" w:rsidSect="00DE1BC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BC2"/>
    <w:rsid w:val="00105557"/>
    <w:rsid w:val="00544A59"/>
    <w:rsid w:val="00D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64D470-CCAB-4D4D-9687-85CCF55E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BC2"/>
    <w:pPr>
      <w:widowControl w:val="0"/>
      <w:jc w:val="both"/>
    </w:pPr>
    <w:rPr>
      <w:rFonts w:ascii="Calibri" w:eastAsia="宋体" w:hAnsi="Calibri" w:cs="Times New Roman"/>
    </w:rPr>
  </w:style>
  <w:style w:type="paragraph" w:styleId="4">
    <w:name w:val="heading 4"/>
    <w:basedOn w:val="a"/>
    <w:next w:val="a"/>
    <w:link w:val="4Char"/>
    <w:qFormat/>
    <w:rsid w:val="00DE1BC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E1BC2"/>
    <w:rPr>
      <w:rFonts w:ascii="Cambria" w:eastAsia="宋体" w:hAnsi="Cambria" w:cs="Times New Roman"/>
      <w:b/>
      <w:bCs/>
      <w:sz w:val="28"/>
      <w:szCs w:val="28"/>
    </w:rPr>
  </w:style>
  <w:style w:type="paragraph" w:styleId="a3">
    <w:name w:val="caption"/>
    <w:basedOn w:val="a"/>
    <w:next w:val="a"/>
    <w:qFormat/>
    <w:rsid w:val="00DE1BC2"/>
    <w:pPr>
      <w:jc w:val="center"/>
    </w:pPr>
    <w:rPr>
      <w:rFonts w:ascii="Cambria" w:eastAsia="黑体"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2018-06-19T11:13:00Z</dcterms:created>
  <dcterms:modified xsi:type="dcterms:W3CDTF">2018-06-19T11:13:00Z</dcterms:modified>
</cp:coreProperties>
</file>