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306" w:rsidRDefault="00923306" w:rsidP="00923306">
      <w:pPr>
        <w:pStyle w:val="4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 </w:t>
      </w:r>
      <w:r>
        <w:rPr>
          <w:rFonts w:ascii="Times New Roman" w:hAnsi="Times New Roman"/>
          <w:szCs w:val="21"/>
        </w:rPr>
        <w:t>电镀企业安全风险清单</w:t>
      </w:r>
      <w:bookmarkStart w:id="0" w:name="_GoBack"/>
      <w:bookmarkEnd w:id="0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2"/>
        <w:gridCol w:w="1562"/>
        <w:gridCol w:w="1276"/>
        <w:gridCol w:w="5104"/>
        <w:gridCol w:w="2002"/>
        <w:gridCol w:w="1254"/>
      </w:tblGrid>
      <w:tr w:rsidR="00923306" w:rsidTr="005233BA">
        <w:trPr>
          <w:tblHeader/>
        </w:trPr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序号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场所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环节</w:t>
            </w:r>
            <w:r>
              <w:rPr>
                <w:rFonts w:ascii="Times New Roman" w:hAnsi="Times New Roman"/>
                <w:b/>
                <w:szCs w:val="21"/>
              </w:rPr>
              <w:t>/</w:t>
            </w:r>
            <w:r>
              <w:rPr>
                <w:rFonts w:ascii="Times New Roman" w:hAnsi="Times New Roman"/>
                <w:b/>
                <w:szCs w:val="21"/>
              </w:rPr>
              <w:t>部位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较大危险因素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易发生的事故类型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主要防范措施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依据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责任人</w:t>
            </w:r>
          </w:p>
        </w:tc>
      </w:tr>
      <w:tr w:rsidR="00923306" w:rsidTr="005233BA">
        <w:tc>
          <w:tcPr>
            <w:tcW w:w="13749" w:type="dxa"/>
            <w:gridSpan w:val="7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（一）剧毒品使用车间</w:t>
            </w: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车间布局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布局不合理导致事故后果扩大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其它爆炸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）剧毒化学使用场所与生活场所分开，作业场所不得住人。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）有害作业与无害作业分开，高毒作业场所与其它作业场所隔离。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《使用有毒物质作业场所劳动保护条例》（国务院令第</w:t>
            </w:r>
            <w:r>
              <w:rPr>
                <w:rFonts w:ascii="Times New Roman" w:hAnsi="Times New Roman"/>
                <w:color w:val="000000"/>
                <w:szCs w:val="21"/>
              </w:rPr>
              <w:t>352</w:t>
            </w:r>
            <w:r>
              <w:rPr>
                <w:rFonts w:ascii="Times New Roman" w:hAnsi="Times New Roman"/>
                <w:color w:val="000000"/>
                <w:szCs w:val="21"/>
              </w:rPr>
              <w:t>号）第</w:t>
            </w:r>
            <w:r>
              <w:rPr>
                <w:rFonts w:ascii="Times New Roman" w:hAnsi="Times New Roman"/>
                <w:color w:val="000000"/>
                <w:szCs w:val="21"/>
              </w:rPr>
              <w:t>11</w:t>
            </w:r>
            <w:r>
              <w:rPr>
                <w:rFonts w:ascii="Times New Roman" w:hAnsi="Times New Roman"/>
                <w:color w:val="000000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自动</w:t>
            </w:r>
            <w:proofErr w:type="gramStart"/>
            <w:r>
              <w:rPr>
                <w:rFonts w:ascii="Times New Roman" w:hAnsi="Times New Roman"/>
                <w:szCs w:val="21"/>
              </w:rPr>
              <w:t>电镀线</w:t>
            </w:r>
            <w:proofErr w:type="gramEnd"/>
            <w:r>
              <w:rPr>
                <w:rFonts w:ascii="Times New Roman" w:hAnsi="Times New Roman"/>
                <w:szCs w:val="21"/>
              </w:rPr>
              <w:t>电镀槽体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氢气聚集而发生爆炸，通风不良导致中毒和窒息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其它爆炸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自动电镀生产线应设有槽</w:t>
            </w:r>
            <w:proofErr w:type="gramStart"/>
            <w:r>
              <w:rPr>
                <w:rFonts w:ascii="Times New Roman" w:hAnsi="Times New Roman"/>
                <w:szCs w:val="21"/>
              </w:rPr>
              <w:t>液快速</w:t>
            </w:r>
            <w:proofErr w:type="gramEnd"/>
            <w:r>
              <w:rPr>
                <w:rFonts w:ascii="Times New Roman" w:hAnsi="Times New Roman"/>
                <w:szCs w:val="21"/>
              </w:rPr>
              <w:t>循环和溢流的措施，防止氢气聚集。</w:t>
            </w:r>
          </w:p>
          <w:p w:rsidR="00923306" w:rsidRDefault="00923306" w:rsidP="005233BA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镀槽应设置抽风净化装置。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）对于酸洗槽应在附近设置冲洗、喷淋装置。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《电镀生产装置安全技术条件》（</w:t>
            </w:r>
            <w:r>
              <w:rPr>
                <w:rFonts w:ascii="Times New Roman" w:hAnsi="Times New Roman"/>
                <w:color w:val="000000"/>
                <w:szCs w:val="21"/>
              </w:rPr>
              <w:t>AQ5203</w:t>
            </w:r>
            <w:r>
              <w:rPr>
                <w:rFonts w:ascii="Times New Roman" w:hAnsi="Times New Roman"/>
                <w:color w:val="000000"/>
                <w:szCs w:val="21"/>
              </w:rPr>
              <w:t>）第</w:t>
            </w:r>
            <w:r>
              <w:rPr>
                <w:rFonts w:ascii="Times New Roman" w:hAnsi="Times New Roman"/>
                <w:color w:val="000000"/>
                <w:szCs w:val="21"/>
              </w:rPr>
              <w:t>5.7</w:t>
            </w:r>
            <w:r>
              <w:rPr>
                <w:rFonts w:ascii="Times New Roman" w:hAnsi="Times New Roman"/>
                <w:color w:val="000000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镀槽导电与电源装置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电气设备不符合安全要求，导致过载等故障，引起触电、火灾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触电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）直流输出的额定电压宜不小于镀槽最高工作电压的</w:t>
            </w:r>
            <w:r>
              <w:rPr>
                <w:rFonts w:ascii="Times New Roman" w:hAnsi="Times New Roman"/>
              </w:rPr>
              <w:t>1.1</w:t>
            </w:r>
            <w:r>
              <w:rPr>
                <w:rFonts w:ascii="Times New Roman" w:hAnsi="Times New Roman"/>
              </w:rPr>
              <w:t>倍，若生产工艺需要，整流器的电压冗余应满足镀槽冲击负荷的要求。直流额定电流值应不小于计算电流值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电流密度与每</w:t>
            </w:r>
            <w:proofErr w:type="gramStart"/>
            <w:r>
              <w:rPr>
                <w:rFonts w:ascii="Times New Roman" w:hAnsi="Times New Roman"/>
              </w:rPr>
              <w:t>槽最大施镀面积</w:t>
            </w:r>
            <w:proofErr w:type="gramEnd"/>
            <w:r>
              <w:rPr>
                <w:rFonts w:ascii="Times New Roman" w:hAnsi="Times New Roman"/>
              </w:rPr>
              <w:t>的乘积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。需要冲击电流时，整流器应根据冲击电流值及电源设备短时允许过载能力来确定。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</w:rPr>
              <w:t>（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）整流器的外壳应安全接地。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</w:rPr>
              <w:t>《电镀生产装置安全技术条件》（</w:t>
            </w:r>
            <w:r>
              <w:rPr>
                <w:rFonts w:ascii="Times New Roman" w:hAnsi="Times New Roman"/>
              </w:rPr>
              <w:t>AQ 5203-2008</w:t>
            </w:r>
            <w:r>
              <w:rPr>
                <w:rFonts w:ascii="Times New Roman" w:hAnsi="Times New Roman"/>
              </w:rPr>
              <w:t>）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槽液配置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槽液配置方法不当引起飞溅和爆炸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灼烫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其它爆炸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槽液混合作业时，添加的新槽液应缓慢加入，同时进行充分搅拌。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镀液配置和调整时，应先将固体化学品在槽外溶解后再慢慢加入槽内。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《电镀生产安全操作规程》（</w:t>
            </w:r>
            <w:r>
              <w:rPr>
                <w:rFonts w:ascii="Times New Roman" w:hAnsi="Times New Roman"/>
                <w:color w:val="000000"/>
                <w:szCs w:val="21"/>
              </w:rPr>
              <w:t>AQ5202</w:t>
            </w:r>
            <w:r>
              <w:rPr>
                <w:rFonts w:ascii="Times New Roman" w:hAnsi="Times New Roman"/>
                <w:color w:val="000000"/>
                <w:szCs w:val="21"/>
              </w:rPr>
              <w:t>）第</w:t>
            </w:r>
            <w:r>
              <w:rPr>
                <w:rFonts w:ascii="Times New Roman" w:hAnsi="Times New Roman"/>
                <w:color w:val="000000"/>
                <w:szCs w:val="21"/>
              </w:rPr>
              <w:t>7.2</w:t>
            </w:r>
            <w:r>
              <w:rPr>
                <w:rFonts w:ascii="Times New Roman" w:hAnsi="Times New Roman"/>
                <w:color w:val="000000"/>
                <w:szCs w:val="21"/>
              </w:rPr>
              <w:t>、</w:t>
            </w:r>
            <w:r>
              <w:rPr>
                <w:rFonts w:ascii="Times New Roman" w:hAnsi="Times New Roman"/>
                <w:color w:val="000000"/>
                <w:szCs w:val="21"/>
              </w:rPr>
              <w:t>7.5</w:t>
            </w:r>
            <w:r>
              <w:rPr>
                <w:rFonts w:ascii="Times New Roman" w:hAnsi="Times New Roman"/>
                <w:color w:val="000000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5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设备设施布局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防止将酸带入</w:t>
            </w:r>
            <w:r>
              <w:rPr>
                <w:rFonts w:ascii="Times New Roman" w:hAnsi="Times New Roman"/>
              </w:rPr>
              <w:t>氰化镀槽</w:t>
            </w:r>
            <w:r>
              <w:rPr>
                <w:rFonts w:ascii="Times New Roman" w:hAnsi="Times New Roman"/>
                <w:color w:val="000000"/>
                <w:szCs w:val="21"/>
              </w:rPr>
              <w:t>内形成剧毒氰化氢气体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</w:rPr>
              <w:t>氰化镀槽与酸液槽不准相邻或背靠设置，氰化镀槽与酸液槽</w:t>
            </w:r>
            <w:proofErr w:type="gramStart"/>
            <w:r>
              <w:rPr>
                <w:rFonts w:ascii="Times New Roman" w:hAnsi="Times New Roman"/>
              </w:rPr>
              <w:t>的镀后清洗</w:t>
            </w:r>
            <w:proofErr w:type="gramEnd"/>
            <w:r>
              <w:rPr>
                <w:rFonts w:ascii="Times New Roman" w:hAnsi="Times New Roman"/>
              </w:rPr>
              <w:t>槽不准合用。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《电镀生产安全操作规程》（</w:t>
            </w:r>
            <w:r>
              <w:rPr>
                <w:rFonts w:ascii="Times New Roman" w:hAnsi="Times New Roman"/>
                <w:color w:val="000000"/>
                <w:szCs w:val="21"/>
              </w:rPr>
              <w:t>AQ5202</w:t>
            </w:r>
            <w:r>
              <w:rPr>
                <w:rFonts w:ascii="Times New Roman" w:hAnsi="Times New Roman"/>
                <w:color w:val="000000"/>
                <w:szCs w:val="21"/>
              </w:rPr>
              <w:t>）第</w:t>
            </w:r>
            <w:r>
              <w:rPr>
                <w:rFonts w:ascii="Times New Roman" w:hAnsi="Times New Roman"/>
                <w:color w:val="000000"/>
                <w:szCs w:val="21"/>
              </w:rPr>
              <w:t>6.5</w:t>
            </w:r>
            <w:r>
              <w:rPr>
                <w:rFonts w:ascii="Times New Roman" w:hAnsi="Times New Roman"/>
                <w:color w:val="000000"/>
                <w:szCs w:val="21"/>
              </w:rPr>
              <w:t>、</w:t>
            </w:r>
            <w:r>
              <w:rPr>
                <w:rFonts w:ascii="Times New Roman" w:hAnsi="Times New Roman"/>
                <w:color w:val="000000"/>
                <w:szCs w:val="21"/>
              </w:rPr>
              <w:t>10.1</w:t>
            </w:r>
            <w:r>
              <w:rPr>
                <w:rFonts w:ascii="Times New Roman" w:hAnsi="Times New Roman"/>
                <w:color w:val="000000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</w:rPr>
              <w:t>职业健康管理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未提供适当的劳动防护用品导致操作人员健康受到损害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其它伤害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操作人员应穿戴好防护用品再进入电镀操作岗位。在有毒气体可能逸出的场所，所有电镀操作人员应穿戴防护工作服、胶靴、手套；溶液配置或调整、运输和使用酸碱溶液等场所，操作人员应戴长胶裙、护目镜和乳胶手套；在设备维护时，清洗阳极板时应戴耐酸耐碱手套，并防止极板的金属毛刺和碎片刺伤皮肤。所穿戴的防护用品不应穿离工作场所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《电镀生产安全操作规程》（</w:t>
            </w:r>
            <w:r>
              <w:rPr>
                <w:rFonts w:ascii="Times New Roman" w:hAnsi="Times New Roman"/>
                <w:color w:val="000000"/>
                <w:szCs w:val="21"/>
              </w:rPr>
              <w:t>AQ5202</w:t>
            </w:r>
            <w:r>
              <w:rPr>
                <w:rFonts w:ascii="Times New Roman" w:hAnsi="Times New Roman"/>
                <w:color w:val="000000"/>
                <w:szCs w:val="21"/>
              </w:rPr>
              <w:t>）第</w:t>
            </w:r>
            <w:r>
              <w:rPr>
                <w:rFonts w:ascii="Times New Roman" w:hAnsi="Times New Roman"/>
                <w:color w:val="000000"/>
                <w:szCs w:val="21"/>
              </w:rPr>
              <w:t>8.5</w:t>
            </w:r>
            <w:r>
              <w:rPr>
                <w:rFonts w:ascii="Times New Roman" w:hAnsi="Times New Roman"/>
                <w:color w:val="000000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13749" w:type="dxa"/>
            <w:gridSpan w:val="7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（二）剧毒品储存场所</w:t>
            </w: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电镀危化品储存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电镀危化品储存不当，无通风措施，导致火灾、中毒和窒息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中毒和窒息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灭火方法不同、相互反应的危化品应分库、分柜、</w:t>
            </w:r>
            <w:proofErr w:type="gramStart"/>
            <w:r>
              <w:rPr>
                <w:rFonts w:ascii="Times New Roman" w:hAnsi="Times New Roman"/>
                <w:szCs w:val="21"/>
              </w:rPr>
              <w:t>分架和</w:t>
            </w:r>
            <w:proofErr w:type="gramEnd"/>
            <w:r>
              <w:rPr>
                <w:rFonts w:ascii="Times New Roman" w:hAnsi="Times New Roman"/>
                <w:szCs w:val="21"/>
              </w:rPr>
              <w:t>分堆存放。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t>库房的耐火等级不得低于二级，门窗应向外开启，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并应设置良好的通风设施。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）储存酸、碱或其它具有强腐蚀性液体的设备、储罐应采取防溢出、防渗漏等措施，并设置事故排放装置及报警装置。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ascii="Times New Roman" w:hAnsi="Times New Roman"/>
                <w:szCs w:val="21"/>
              </w:rPr>
              <w:t>）铬</w:t>
            </w:r>
            <w:proofErr w:type="gramStart"/>
            <w:r>
              <w:rPr>
                <w:rFonts w:ascii="Times New Roman" w:hAnsi="Times New Roman"/>
                <w:szCs w:val="21"/>
              </w:rPr>
              <w:t>酐</w:t>
            </w:r>
            <w:proofErr w:type="gramEnd"/>
            <w:r>
              <w:rPr>
                <w:rFonts w:ascii="Times New Roman" w:hAnsi="Times New Roman"/>
                <w:szCs w:val="21"/>
              </w:rPr>
              <w:t>应远离火种、热源，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避免与还原剂、活性金属粉末接触；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t>包装必须密封，切勿受潮。</w:t>
            </w:r>
          </w:p>
          <w:p w:rsidR="00923306" w:rsidRDefault="00923306" w:rsidP="005233BA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）剧毒</w:t>
            </w:r>
            <w:proofErr w:type="gramStart"/>
            <w:r>
              <w:rPr>
                <w:rFonts w:ascii="Times New Roman" w:hAnsi="Times New Roman"/>
                <w:szCs w:val="21"/>
              </w:rPr>
              <w:t>品严格</w:t>
            </w:r>
            <w:proofErr w:type="gramEnd"/>
            <w:r>
              <w:rPr>
                <w:rFonts w:ascii="Times New Roman" w:hAnsi="Times New Roman"/>
                <w:szCs w:val="21"/>
              </w:rPr>
              <w:t>执行双人、双锁、双帐、双领和双人用等措施。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《毒害性商品储存养护技术条件》（</w:t>
            </w:r>
            <w:r>
              <w:rPr>
                <w:rFonts w:ascii="Times New Roman" w:hAnsi="Times New Roman"/>
                <w:color w:val="000000"/>
                <w:szCs w:val="21"/>
              </w:rPr>
              <w:t>GB17916-2013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《常用化学危险品贮存通则》（</w:t>
            </w:r>
            <w:r>
              <w:rPr>
                <w:rFonts w:ascii="Times New Roman" w:hAnsi="Times New Roman"/>
                <w:color w:val="000000"/>
                <w:szCs w:val="21"/>
              </w:rPr>
              <w:t>GB15603-1995</w:t>
            </w:r>
            <w:r>
              <w:rPr>
                <w:rFonts w:ascii="Times New Roman" w:hAnsi="Times New Roman"/>
                <w:color w:val="000000"/>
                <w:szCs w:val="21"/>
              </w:rPr>
              <w:t>）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13749" w:type="dxa"/>
            <w:gridSpan w:val="7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（三）消防</w:t>
            </w: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1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灭火器配置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发生火灾时，因灭火器配置不符合要求，使火灾爆炸危害扩大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其它爆炸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）应根据场所内的物质及其燃烧特性，以及可燃物数量、火灾蔓延速度、扑救难易程度等因素选择不同类型的灭火器。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）应根据灭火器的最大保护距离设置数量，并符合《建筑灭火器配置设计规范》（</w:t>
            </w:r>
            <w:r>
              <w:rPr>
                <w:rFonts w:ascii="Times New Roman" w:hAnsi="Times New Roman"/>
                <w:szCs w:val="21"/>
              </w:rPr>
              <w:t>GB50140)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）应设置在明显、且便于取用的地点，并不得影响安全疏散。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《建筑灭火器配置设计规范》（</w:t>
            </w:r>
            <w:r>
              <w:rPr>
                <w:rFonts w:ascii="Times New Roman" w:hAnsi="Times New Roman"/>
                <w:szCs w:val="21"/>
              </w:rPr>
              <w:t>GB50140)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923306" w:rsidTr="005233BA">
        <w:tc>
          <w:tcPr>
            <w:tcW w:w="709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84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安全出口设置</w:t>
            </w:r>
          </w:p>
        </w:tc>
        <w:tc>
          <w:tcPr>
            <w:tcW w:w="156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安全出口设置不足或通道堵塞，紧急情况时人员无法及时疏散</w:t>
            </w:r>
          </w:p>
        </w:tc>
        <w:tc>
          <w:tcPr>
            <w:tcW w:w="1276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火灾</w:t>
            </w:r>
          </w:p>
          <w:p w:rsidR="00923306" w:rsidRDefault="00923306" w:rsidP="005233BA">
            <w:pPr>
              <w:pStyle w:val="a3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其它伤害</w:t>
            </w:r>
          </w:p>
        </w:tc>
        <w:tc>
          <w:tcPr>
            <w:tcW w:w="510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）厂房任一点至最近安全出口的直线距离不应大于</w:t>
            </w:r>
            <w:r>
              <w:rPr>
                <w:rFonts w:ascii="Times New Roman" w:hAnsi="Times New Roman"/>
                <w:szCs w:val="21"/>
              </w:rPr>
              <w:t>GB50016-2014</w:t>
            </w:r>
            <w:r>
              <w:rPr>
                <w:rFonts w:ascii="Times New Roman" w:hAnsi="Times New Roman"/>
                <w:szCs w:val="21"/>
              </w:rPr>
              <w:t>表</w:t>
            </w:r>
            <w:r>
              <w:rPr>
                <w:rFonts w:ascii="Times New Roman" w:hAnsi="Times New Roman"/>
                <w:szCs w:val="21"/>
              </w:rPr>
              <w:t>3.7.4</w:t>
            </w:r>
            <w:r>
              <w:rPr>
                <w:rFonts w:ascii="Times New Roman" w:hAnsi="Times New Roman"/>
                <w:szCs w:val="21"/>
              </w:rPr>
              <w:t>的规定。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）每座仓库的安全出口应不少于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个，仓库内每个防火分区通向疏散走道、楼梯或室外的出口不宜少于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个。</w:t>
            </w:r>
          </w:p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）安全出口和消防通道保持畅通。</w:t>
            </w:r>
          </w:p>
        </w:tc>
        <w:tc>
          <w:tcPr>
            <w:tcW w:w="2002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《建筑设计防火规范》（</w:t>
            </w:r>
            <w:r>
              <w:rPr>
                <w:rFonts w:ascii="Times New Roman" w:hAnsi="Times New Roman"/>
                <w:szCs w:val="21"/>
              </w:rPr>
              <w:t>GB50016)</w:t>
            </w:r>
            <w:r>
              <w:rPr>
                <w:rFonts w:ascii="Times New Roman" w:hAnsi="Times New Roman"/>
                <w:szCs w:val="21"/>
              </w:rPr>
              <w:t>第</w:t>
            </w:r>
            <w:r>
              <w:rPr>
                <w:rFonts w:ascii="Times New Roman" w:hAnsi="Times New Roman"/>
                <w:szCs w:val="21"/>
              </w:rPr>
              <w:t>3.7.4/3.8.2/3.8.3</w:t>
            </w:r>
            <w:r>
              <w:rPr>
                <w:rFonts w:ascii="Times New Roman" w:hAnsi="Times New Roman"/>
                <w:szCs w:val="21"/>
              </w:rPr>
              <w:t>条</w:t>
            </w:r>
          </w:p>
        </w:tc>
        <w:tc>
          <w:tcPr>
            <w:tcW w:w="1254" w:type="dxa"/>
            <w:vAlign w:val="center"/>
          </w:tcPr>
          <w:p w:rsidR="00923306" w:rsidRDefault="00923306" w:rsidP="005233BA">
            <w:pPr>
              <w:pStyle w:val="a3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</w:tbl>
    <w:p w:rsidR="00923306" w:rsidRDefault="00923306" w:rsidP="00923306">
      <w:pPr>
        <w:rPr>
          <w:rFonts w:ascii="Times New Roman" w:hAnsi="Times New Roman"/>
          <w:szCs w:val="21"/>
        </w:rPr>
      </w:pPr>
    </w:p>
    <w:p w:rsidR="00105557" w:rsidRPr="00923306" w:rsidRDefault="00105557"/>
    <w:sectPr w:rsidR="00105557" w:rsidRPr="00923306" w:rsidSect="009233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06"/>
    <w:rsid w:val="00105557"/>
    <w:rsid w:val="00544A59"/>
    <w:rsid w:val="0092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DC07EF-D33F-4354-9316-81E6B6EC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306"/>
    <w:pPr>
      <w:widowControl w:val="0"/>
      <w:jc w:val="both"/>
    </w:pPr>
    <w:rPr>
      <w:rFonts w:ascii="Calibri" w:eastAsia="宋体" w:hAnsi="Calibri" w:cs="Times New Roman"/>
    </w:rPr>
  </w:style>
  <w:style w:type="paragraph" w:styleId="4">
    <w:name w:val="heading 4"/>
    <w:basedOn w:val="a"/>
    <w:next w:val="a"/>
    <w:link w:val="4Char"/>
    <w:qFormat/>
    <w:rsid w:val="00923306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923306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9233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</cp:revision>
  <dcterms:created xsi:type="dcterms:W3CDTF">2018-06-19T11:14:00Z</dcterms:created>
  <dcterms:modified xsi:type="dcterms:W3CDTF">2018-06-19T11:14:00Z</dcterms:modified>
</cp:coreProperties>
</file>