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05D" w:rsidRDefault="00D5105D" w:rsidP="00D5105D">
      <w:pPr>
        <w:pStyle w:val="4"/>
        <w:jc w:val="center"/>
        <w:rPr>
          <w:rFonts w:ascii="Times New Roman" w:hAnsi="Times New Roman"/>
          <w:szCs w:val="21"/>
        </w:rPr>
      </w:pPr>
      <w:r>
        <w:rPr>
          <w:rFonts w:ascii="Times New Roman" w:hAnsi="Times New Roman"/>
          <w:szCs w:val="21"/>
        </w:rPr>
        <w:t>9</w:t>
      </w:r>
      <w:r>
        <w:rPr>
          <w:rFonts w:ascii="Times New Roman" w:hAnsi="Times New Roman"/>
          <w:szCs w:val="21"/>
        </w:rPr>
        <w:t>涉氨制冷企业安全风险清单</w:t>
      </w:r>
      <w:bookmarkStart w:id="0" w:name="_GoBack"/>
      <w:bookmarkEnd w:id="0"/>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42"/>
        <w:gridCol w:w="1560"/>
        <w:gridCol w:w="1275"/>
        <w:gridCol w:w="5103"/>
        <w:gridCol w:w="1985"/>
        <w:gridCol w:w="1308"/>
      </w:tblGrid>
      <w:tr w:rsidR="00D5105D" w:rsidTr="005233BA">
        <w:trPr>
          <w:tblHeader/>
        </w:trPr>
        <w:tc>
          <w:tcPr>
            <w:tcW w:w="709" w:type="dxa"/>
            <w:vAlign w:val="center"/>
          </w:tcPr>
          <w:p w:rsidR="00D5105D" w:rsidRDefault="00D5105D" w:rsidP="005233BA">
            <w:pPr>
              <w:pStyle w:val="1"/>
              <w:ind w:firstLineChars="0" w:firstLine="0"/>
              <w:jc w:val="center"/>
              <w:rPr>
                <w:rFonts w:ascii="Times New Roman" w:hAnsi="Times New Roman"/>
                <w:b/>
                <w:szCs w:val="21"/>
              </w:rPr>
            </w:pPr>
            <w:r>
              <w:rPr>
                <w:rFonts w:ascii="Times New Roman" w:hAnsi="Times New Roman"/>
                <w:b/>
                <w:szCs w:val="21"/>
              </w:rPr>
              <w:t>序号</w:t>
            </w:r>
          </w:p>
        </w:tc>
        <w:tc>
          <w:tcPr>
            <w:tcW w:w="1842" w:type="dxa"/>
            <w:vAlign w:val="center"/>
          </w:tcPr>
          <w:p w:rsidR="00D5105D" w:rsidRDefault="00D5105D" w:rsidP="005233BA">
            <w:pPr>
              <w:pStyle w:val="1"/>
              <w:ind w:firstLineChars="0" w:firstLine="0"/>
              <w:jc w:val="center"/>
              <w:rPr>
                <w:rFonts w:ascii="Times New Roman" w:hAnsi="Times New Roman"/>
                <w:b/>
                <w:szCs w:val="21"/>
              </w:rPr>
            </w:pPr>
            <w:r>
              <w:rPr>
                <w:rFonts w:ascii="Times New Roman" w:hAnsi="Times New Roman"/>
                <w:b/>
                <w:szCs w:val="21"/>
              </w:rPr>
              <w:t>场所</w:t>
            </w:r>
            <w:r>
              <w:rPr>
                <w:rFonts w:ascii="Times New Roman" w:hAnsi="Times New Roman"/>
                <w:b/>
                <w:szCs w:val="21"/>
              </w:rPr>
              <w:t>/</w:t>
            </w:r>
            <w:r>
              <w:rPr>
                <w:rFonts w:ascii="Times New Roman" w:hAnsi="Times New Roman"/>
                <w:b/>
                <w:szCs w:val="21"/>
              </w:rPr>
              <w:t>环节</w:t>
            </w:r>
            <w:r>
              <w:rPr>
                <w:rFonts w:ascii="Times New Roman" w:hAnsi="Times New Roman"/>
                <w:b/>
                <w:szCs w:val="21"/>
              </w:rPr>
              <w:t>/</w:t>
            </w:r>
            <w:r>
              <w:rPr>
                <w:rFonts w:ascii="Times New Roman" w:hAnsi="Times New Roman"/>
                <w:b/>
                <w:szCs w:val="21"/>
              </w:rPr>
              <w:t>部位</w:t>
            </w:r>
          </w:p>
        </w:tc>
        <w:tc>
          <w:tcPr>
            <w:tcW w:w="1560" w:type="dxa"/>
            <w:vAlign w:val="center"/>
          </w:tcPr>
          <w:p w:rsidR="00D5105D" w:rsidRDefault="00D5105D" w:rsidP="005233BA">
            <w:pPr>
              <w:pStyle w:val="1"/>
              <w:ind w:firstLineChars="0" w:firstLine="0"/>
              <w:jc w:val="center"/>
              <w:rPr>
                <w:rFonts w:ascii="Times New Roman" w:hAnsi="Times New Roman"/>
                <w:b/>
                <w:szCs w:val="21"/>
              </w:rPr>
            </w:pPr>
            <w:r>
              <w:rPr>
                <w:rFonts w:ascii="Times New Roman" w:hAnsi="Times New Roman"/>
                <w:b/>
                <w:szCs w:val="21"/>
              </w:rPr>
              <w:t>较大危险因素</w:t>
            </w:r>
          </w:p>
        </w:tc>
        <w:tc>
          <w:tcPr>
            <w:tcW w:w="1275" w:type="dxa"/>
            <w:vAlign w:val="center"/>
          </w:tcPr>
          <w:p w:rsidR="00D5105D" w:rsidRDefault="00D5105D" w:rsidP="005233BA">
            <w:pPr>
              <w:pStyle w:val="1"/>
              <w:ind w:firstLineChars="0" w:firstLine="0"/>
              <w:jc w:val="center"/>
              <w:rPr>
                <w:rFonts w:ascii="Times New Roman" w:hAnsi="Times New Roman"/>
                <w:b/>
                <w:szCs w:val="21"/>
              </w:rPr>
            </w:pPr>
            <w:r>
              <w:rPr>
                <w:rFonts w:ascii="Times New Roman" w:hAnsi="Times New Roman"/>
                <w:b/>
                <w:szCs w:val="21"/>
              </w:rPr>
              <w:t>易发生的事故类型</w:t>
            </w:r>
          </w:p>
        </w:tc>
        <w:tc>
          <w:tcPr>
            <w:tcW w:w="5103" w:type="dxa"/>
            <w:vAlign w:val="center"/>
          </w:tcPr>
          <w:p w:rsidR="00D5105D" w:rsidRDefault="00D5105D" w:rsidP="005233BA">
            <w:pPr>
              <w:pStyle w:val="1"/>
              <w:ind w:firstLineChars="0" w:firstLine="0"/>
              <w:jc w:val="center"/>
              <w:rPr>
                <w:rFonts w:ascii="Times New Roman" w:hAnsi="Times New Roman"/>
                <w:b/>
                <w:szCs w:val="21"/>
              </w:rPr>
            </w:pPr>
            <w:r>
              <w:rPr>
                <w:rFonts w:ascii="Times New Roman" w:hAnsi="Times New Roman"/>
                <w:b/>
                <w:szCs w:val="21"/>
              </w:rPr>
              <w:t>主要防范措施</w:t>
            </w:r>
          </w:p>
        </w:tc>
        <w:tc>
          <w:tcPr>
            <w:tcW w:w="1985" w:type="dxa"/>
            <w:vAlign w:val="center"/>
          </w:tcPr>
          <w:p w:rsidR="00D5105D" w:rsidRDefault="00D5105D" w:rsidP="005233BA">
            <w:pPr>
              <w:pStyle w:val="1"/>
              <w:ind w:firstLineChars="0" w:firstLine="0"/>
              <w:jc w:val="center"/>
              <w:rPr>
                <w:rFonts w:ascii="Times New Roman" w:hAnsi="Times New Roman"/>
                <w:b/>
                <w:szCs w:val="21"/>
              </w:rPr>
            </w:pPr>
            <w:r>
              <w:rPr>
                <w:rFonts w:ascii="Times New Roman" w:hAnsi="Times New Roman"/>
                <w:b/>
                <w:szCs w:val="21"/>
              </w:rPr>
              <w:t>依据</w:t>
            </w:r>
          </w:p>
        </w:tc>
        <w:tc>
          <w:tcPr>
            <w:tcW w:w="1308" w:type="dxa"/>
            <w:vAlign w:val="center"/>
          </w:tcPr>
          <w:p w:rsidR="00D5105D" w:rsidRDefault="00D5105D" w:rsidP="005233BA">
            <w:pPr>
              <w:pStyle w:val="1"/>
              <w:ind w:firstLineChars="0" w:firstLine="0"/>
              <w:jc w:val="center"/>
              <w:rPr>
                <w:rFonts w:ascii="Times New Roman" w:hAnsi="Times New Roman"/>
                <w:b/>
                <w:szCs w:val="21"/>
              </w:rPr>
            </w:pPr>
            <w:r>
              <w:rPr>
                <w:rFonts w:ascii="Times New Roman" w:hAnsi="Times New Roman"/>
                <w:b/>
                <w:szCs w:val="21"/>
              </w:rPr>
              <w:t>责任人</w:t>
            </w:r>
          </w:p>
        </w:tc>
      </w:tr>
      <w:tr w:rsidR="00D5105D" w:rsidTr="005233BA">
        <w:tc>
          <w:tcPr>
            <w:tcW w:w="13782" w:type="dxa"/>
            <w:gridSpan w:val="7"/>
            <w:vAlign w:val="center"/>
          </w:tcPr>
          <w:p w:rsidR="00D5105D" w:rsidRDefault="00D5105D" w:rsidP="005233BA">
            <w:pPr>
              <w:pStyle w:val="1"/>
              <w:ind w:firstLineChars="0" w:firstLine="0"/>
              <w:rPr>
                <w:rFonts w:ascii="Times New Roman" w:hAnsi="Times New Roman"/>
                <w:b/>
                <w:szCs w:val="21"/>
              </w:rPr>
            </w:pPr>
            <w:r>
              <w:rPr>
                <w:rFonts w:ascii="Times New Roman" w:hAnsi="Times New Roman"/>
                <w:b/>
                <w:szCs w:val="21"/>
              </w:rPr>
              <w:t>（一）制冷</w:t>
            </w:r>
          </w:p>
        </w:tc>
      </w:tr>
      <w:tr w:rsidR="00D5105D" w:rsidTr="005233BA">
        <w:tc>
          <w:tcPr>
            <w:tcW w:w="709"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制冷机房</w:t>
            </w:r>
          </w:p>
        </w:tc>
        <w:tc>
          <w:tcPr>
            <w:tcW w:w="1560" w:type="dxa"/>
            <w:vAlign w:val="center"/>
          </w:tcPr>
          <w:p w:rsidR="00D5105D" w:rsidRDefault="00D5105D" w:rsidP="005233BA">
            <w:pPr>
              <w:pStyle w:val="1"/>
              <w:ind w:firstLineChars="0" w:firstLine="0"/>
              <w:rPr>
                <w:rFonts w:ascii="Times New Roman" w:hAnsi="Times New Roman"/>
                <w:szCs w:val="21"/>
              </w:rPr>
            </w:pPr>
            <w:r>
              <w:rPr>
                <w:rFonts w:ascii="Times New Roman" w:hAnsi="Times New Roman"/>
                <w:szCs w:val="21"/>
              </w:rPr>
              <w:t>液氨储罐、压缩机、</w:t>
            </w:r>
            <w:proofErr w:type="gramStart"/>
            <w:r>
              <w:rPr>
                <w:rFonts w:ascii="Times New Roman" w:hAnsi="Times New Roman"/>
                <w:szCs w:val="21"/>
              </w:rPr>
              <w:t>调节站</w:t>
            </w:r>
            <w:proofErr w:type="gramEnd"/>
            <w:r>
              <w:rPr>
                <w:rFonts w:ascii="Times New Roman" w:hAnsi="Times New Roman"/>
                <w:szCs w:val="21"/>
              </w:rPr>
              <w:t>等，液氨泄漏</w:t>
            </w:r>
          </w:p>
        </w:tc>
        <w:tc>
          <w:tcPr>
            <w:tcW w:w="1275"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容器爆炸</w:t>
            </w:r>
          </w:p>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中毒和窒息</w:t>
            </w:r>
          </w:p>
          <w:p w:rsidR="00D5105D" w:rsidRDefault="00D5105D" w:rsidP="005233BA">
            <w:pPr>
              <w:pStyle w:val="1"/>
              <w:ind w:firstLineChars="0" w:firstLine="0"/>
              <w:rPr>
                <w:rFonts w:ascii="Times New Roman" w:hAnsi="Times New Roman"/>
                <w:szCs w:val="21"/>
              </w:rPr>
            </w:pPr>
          </w:p>
        </w:tc>
        <w:tc>
          <w:tcPr>
            <w:tcW w:w="5103" w:type="dxa"/>
            <w:vAlign w:val="center"/>
          </w:tcPr>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必须根据制冷压力管道设计图纸中的制冷工艺设计说明，确定储氨单元的存氨量。</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构成重大危险源的冷酷，应登记建档、定期检测、评估、监控、备案等；</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贮氨器、低压循环桶、气液分离器和中间冷却器均设高液位报警装置。并应设有维持其正常液位的供液装置。</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系统应设冷凝压力超压报警装置。</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制冷机房贮氨器等重要部位上部均应安装氨气浓度报警装置，当空气中氨气浓度达到</w:t>
            </w:r>
            <w:r>
              <w:rPr>
                <w:rFonts w:ascii="Times New Roman" w:hAnsi="Times New Roman"/>
                <w:color w:val="000000"/>
                <w:szCs w:val="21"/>
              </w:rPr>
              <w:t>100ppm</w:t>
            </w:r>
            <w:r>
              <w:rPr>
                <w:rFonts w:ascii="Times New Roman" w:hAnsi="Times New Roman"/>
                <w:color w:val="000000"/>
                <w:szCs w:val="21"/>
              </w:rPr>
              <w:t>或</w:t>
            </w:r>
            <w:r>
              <w:rPr>
                <w:rFonts w:ascii="Times New Roman" w:hAnsi="Times New Roman"/>
                <w:color w:val="000000"/>
                <w:szCs w:val="21"/>
              </w:rPr>
              <w:t>150ppm</w:t>
            </w:r>
            <w:r>
              <w:rPr>
                <w:rFonts w:ascii="Times New Roman" w:hAnsi="Times New Roman"/>
                <w:color w:val="000000"/>
                <w:szCs w:val="21"/>
              </w:rPr>
              <w:t>时，应自动发出报警信号，并应自动开启制冷机房内的防爆事故排风机。</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制冷机房内事故风机及应急照明均应采用防爆型。</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贮氨器上方宜</w:t>
            </w:r>
            <w:proofErr w:type="gramStart"/>
            <w:r>
              <w:rPr>
                <w:rFonts w:ascii="Times New Roman" w:hAnsi="Times New Roman"/>
                <w:color w:val="000000"/>
                <w:szCs w:val="21"/>
              </w:rPr>
              <w:t>安装水</w:t>
            </w:r>
            <w:proofErr w:type="gramEnd"/>
            <w:r>
              <w:rPr>
                <w:rFonts w:ascii="Times New Roman" w:hAnsi="Times New Roman"/>
                <w:color w:val="000000"/>
                <w:szCs w:val="21"/>
              </w:rPr>
              <w:t>喷淋系统。</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氨制冷机房和设备间（靠近贮氨器处）门外应按有关规定设置消防栓，并采用</w:t>
            </w:r>
            <w:proofErr w:type="gramStart"/>
            <w:r>
              <w:rPr>
                <w:rFonts w:ascii="Times New Roman" w:hAnsi="Times New Roman"/>
                <w:color w:val="000000"/>
                <w:szCs w:val="21"/>
              </w:rPr>
              <w:t>开式</w:t>
            </w:r>
            <w:proofErr w:type="gramEnd"/>
            <w:r>
              <w:rPr>
                <w:rFonts w:ascii="Times New Roman" w:hAnsi="Times New Roman"/>
                <w:color w:val="000000"/>
                <w:szCs w:val="21"/>
              </w:rPr>
              <w:t>喷头。</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构成重大危险源的单位应至少配备正压式空气呼吸器</w:t>
            </w:r>
            <w:r>
              <w:rPr>
                <w:rFonts w:ascii="Times New Roman" w:hAnsi="Times New Roman"/>
                <w:color w:val="000000"/>
                <w:szCs w:val="21"/>
              </w:rPr>
              <w:t>2</w:t>
            </w:r>
            <w:r>
              <w:rPr>
                <w:rFonts w:ascii="Times New Roman" w:hAnsi="Times New Roman"/>
                <w:color w:val="000000"/>
                <w:szCs w:val="21"/>
              </w:rPr>
              <w:t>套，其他防护器具应满足岗位人员一人一具。</w:t>
            </w:r>
            <w:r>
              <w:rPr>
                <w:rFonts w:ascii="Times New Roman" w:hAnsi="Times New Roman"/>
                <w:color w:val="000000"/>
                <w:szCs w:val="21"/>
              </w:rPr>
              <w:lastRenderedPageBreak/>
              <w:t>非重大危险源单位应根据实际需要至少配备</w:t>
            </w:r>
            <w:r>
              <w:rPr>
                <w:rFonts w:ascii="Times New Roman" w:hAnsi="Times New Roman"/>
                <w:color w:val="000000"/>
                <w:szCs w:val="21"/>
              </w:rPr>
              <w:t>1</w:t>
            </w:r>
            <w:r>
              <w:rPr>
                <w:rFonts w:ascii="Times New Roman" w:hAnsi="Times New Roman"/>
                <w:color w:val="000000"/>
                <w:szCs w:val="21"/>
              </w:rPr>
              <w:t>套隔离式防护服、防毒面具及岗位人员一人一具橡胶手套、胶靴和化学安全防护眼镜。定期进行液氨泄漏应急演练。</w:t>
            </w:r>
          </w:p>
          <w:p w:rsidR="00D5105D" w:rsidRDefault="00D5105D" w:rsidP="00D5105D">
            <w:pPr>
              <w:pStyle w:val="1"/>
              <w:numPr>
                <w:ilvl w:val="0"/>
                <w:numId w:val="1"/>
              </w:numPr>
              <w:ind w:firstLineChars="0" w:firstLine="0"/>
              <w:rPr>
                <w:rFonts w:ascii="Times New Roman" w:hAnsi="Times New Roman"/>
                <w:color w:val="000000"/>
                <w:szCs w:val="21"/>
              </w:rPr>
            </w:pPr>
            <w:r>
              <w:rPr>
                <w:rFonts w:ascii="Times New Roman" w:hAnsi="Times New Roman"/>
                <w:color w:val="000000"/>
                <w:szCs w:val="21"/>
              </w:rPr>
              <w:t>制定落实液氨泄漏现场处置方案，每年不少于两次的应急演练。</w:t>
            </w:r>
          </w:p>
          <w:p w:rsidR="00D5105D" w:rsidRDefault="00D5105D" w:rsidP="00D5105D">
            <w:pPr>
              <w:pStyle w:val="1"/>
              <w:numPr>
                <w:ilvl w:val="0"/>
                <w:numId w:val="1"/>
              </w:numPr>
              <w:ind w:firstLineChars="0" w:firstLine="0"/>
              <w:rPr>
                <w:rFonts w:ascii="Times New Roman" w:hAnsi="Times New Roman"/>
                <w:szCs w:val="21"/>
              </w:rPr>
            </w:pPr>
            <w:r>
              <w:rPr>
                <w:rFonts w:ascii="Times New Roman" w:hAnsi="Times New Roman"/>
                <w:color w:val="000000"/>
                <w:szCs w:val="21"/>
              </w:rPr>
              <w:t>每半年对避雷设施进行一次检测。</w:t>
            </w:r>
          </w:p>
        </w:tc>
        <w:tc>
          <w:tcPr>
            <w:tcW w:w="1985" w:type="dxa"/>
            <w:vAlign w:val="center"/>
          </w:tcPr>
          <w:p w:rsidR="00D5105D" w:rsidRDefault="00D5105D" w:rsidP="005233BA">
            <w:pPr>
              <w:pStyle w:val="1"/>
              <w:ind w:firstLineChars="0" w:firstLine="0"/>
              <w:rPr>
                <w:rFonts w:ascii="Times New Roman" w:hAnsi="Times New Roman"/>
                <w:color w:val="000000"/>
                <w:szCs w:val="21"/>
              </w:rPr>
            </w:pPr>
            <w:r>
              <w:rPr>
                <w:rFonts w:ascii="Times New Roman" w:hAnsi="Times New Roman"/>
                <w:color w:val="000000"/>
                <w:szCs w:val="21"/>
              </w:rPr>
              <w:lastRenderedPageBreak/>
              <w:t>《冷库设计规范》（</w:t>
            </w:r>
            <w:r>
              <w:rPr>
                <w:rFonts w:ascii="Times New Roman" w:hAnsi="Times New Roman"/>
                <w:color w:val="000000"/>
                <w:szCs w:val="21"/>
              </w:rPr>
              <w:t>GB50072</w:t>
            </w:r>
            <w:r>
              <w:rPr>
                <w:rFonts w:ascii="Times New Roman" w:hAnsi="Times New Roman"/>
                <w:color w:val="000000"/>
                <w:szCs w:val="21"/>
              </w:rPr>
              <w:t>）</w:t>
            </w:r>
          </w:p>
          <w:p w:rsidR="00D5105D" w:rsidRDefault="00D5105D" w:rsidP="005233BA">
            <w:pPr>
              <w:pStyle w:val="1"/>
              <w:ind w:firstLineChars="0" w:firstLine="0"/>
              <w:rPr>
                <w:rFonts w:ascii="Times New Roman" w:hAnsi="Times New Roman"/>
                <w:color w:val="000000"/>
                <w:szCs w:val="21"/>
              </w:rPr>
            </w:pPr>
            <w:r>
              <w:rPr>
                <w:rFonts w:ascii="Times New Roman" w:hAnsi="Times New Roman"/>
                <w:color w:val="000000"/>
                <w:szCs w:val="21"/>
              </w:rPr>
              <w:t>《冷库安全规程》（</w:t>
            </w:r>
            <w:r>
              <w:rPr>
                <w:rFonts w:ascii="Times New Roman" w:hAnsi="Times New Roman"/>
                <w:color w:val="000000"/>
                <w:szCs w:val="21"/>
              </w:rPr>
              <w:t>GB28009</w:t>
            </w:r>
            <w:r>
              <w:rPr>
                <w:rFonts w:ascii="Times New Roman" w:hAnsi="Times New Roman"/>
                <w:color w:val="000000"/>
                <w:szCs w:val="21"/>
              </w:rPr>
              <w:t>）</w:t>
            </w:r>
          </w:p>
          <w:p w:rsidR="00D5105D" w:rsidRDefault="00D5105D" w:rsidP="005233BA">
            <w:pPr>
              <w:pStyle w:val="1"/>
              <w:ind w:firstLineChars="0" w:firstLine="0"/>
              <w:rPr>
                <w:rFonts w:ascii="Times New Roman" w:hAnsi="Times New Roman"/>
                <w:color w:val="000000"/>
                <w:szCs w:val="21"/>
              </w:rPr>
            </w:pPr>
            <w:r>
              <w:rPr>
                <w:rFonts w:ascii="Times New Roman" w:hAnsi="Times New Roman"/>
                <w:color w:val="000000"/>
                <w:szCs w:val="21"/>
              </w:rPr>
              <w:t>《防雷减灾管理办法（修订）》（中国气象局第</w:t>
            </w:r>
            <w:r>
              <w:rPr>
                <w:rFonts w:ascii="Times New Roman" w:hAnsi="Times New Roman"/>
                <w:color w:val="000000"/>
                <w:szCs w:val="21"/>
              </w:rPr>
              <w:t>24</w:t>
            </w:r>
            <w:r>
              <w:rPr>
                <w:rFonts w:ascii="Times New Roman" w:hAnsi="Times New Roman"/>
                <w:color w:val="000000"/>
                <w:szCs w:val="21"/>
              </w:rPr>
              <w:t>号令）</w:t>
            </w:r>
          </w:p>
        </w:tc>
        <w:tc>
          <w:tcPr>
            <w:tcW w:w="1308" w:type="dxa"/>
            <w:vAlign w:val="center"/>
          </w:tcPr>
          <w:p w:rsidR="00D5105D" w:rsidRDefault="00D5105D" w:rsidP="005233BA">
            <w:pPr>
              <w:pStyle w:val="1"/>
              <w:ind w:firstLineChars="0" w:firstLine="0"/>
              <w:rPr>
                <w:rFonts w:ascii="Times New Roman" w:hAnsi="Times New Roman"/>
                <w:szCs w:val="21"/>
              </w:rPr>
            </w:pPr>
          </w:p>
        </w:tc>
      </w:tr>
      <w:tr w:rsidR="00D5105D" w:rsidTr="005233BA">
        <w:tc>
          <w:tcPr>
            <w:tcW w:w="709"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2</w:t>
            </w:r>
          </w:p>
        </w:tc>
        <w:tc>
          <w:tcPr>
            <w:tcW w:w="1842"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液氨管线</w:t>
            </w:r>
          </w:p>
        </w:tc>
        <w:tc>
          <w:tcPr>
            <w:tcW w:w="1560" w:type="dxa"/>
            <w:vAlign w:val="center"/>
          </w:tcPr>
          <w:p w:rsidR="00D5105D" w:rsidRDefault="00D5105D" w:rsidP="005233BA">
            <w:pPr>
              <w:pStyle w:val="1"/>
              <w:ind w:firstLineChars="0" w:firstLine="0"/>
              <w:rPr>
                <w:rFonts w:ascii="Times New Roman" w:hAnsi="Times New Roman"/>
                <w:szCs w:val="21"/>
              </w:rPr>
            </w:pPr>
            <w:r>
              <w:rPr>
                <w:rFonts w:ascii="Times New Roman" w:hAnsi="Times New Roman"/>
                <w:szCs w:val="21"/>
              </w:rPr>
              <w:t>液氨管线超压破裂造成液氨泄漏</w:t>
            </w:r>
          </w:p>
        </w:tc>
        <w:tc>
          <w:tcPr>
            <w:tcW w:w="1275"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中毒和窒息</w:t>
            </w:r>
          </w:p>
        </w:tc>
        <w:tc>
          <w:tcPr>
            <w:tcW w:w="5103" w:type="dxa"/>
            <w:vAlign w:val="center"/>
          </w:tcPr>
          <w:p w:rsidR="00D5105D" w:rsidRDefault="00D5105D" w:rsidP="005233BA">
            <w:pPr>
              <w:pStyle w:val="1"/>
              <w:ind w:firstLineChars="0" w:firstLine="0"/>
              <w:rPr>
                <w:rFonts w:ascii="Times New Roman" w:hAnsi="Times New Roman"/>
                <w:szCs w:val="21"/>
              </w:rPr>
            </w:pPr>
            <w:r>
              <w:rPr>
                <w:rFonts w:ascii="Times New Roman" w:hAnsi="Times New Roman"/>
                <w:color w:val="000000"/>
                <w:szCs w:val="21"/>
              </w:rPr>
              <w:t>液氨管线禁止穿过有人办公、休息和居住的建筑物。</w:t>
            </w:r>
          </w:p>
        </w:tc>
        <w:tc>
          <w:tcPr>
            <w:tcW w:w="1985" w:type="dxa"/>
            <w:vAlign w:val="center"/>
          </w:tcPr>
          <w:p w:rsidR="00D5105D" w:rsidRDefault="00D5105D" w:rsidP="005233BA">
            <w:pPr>
              <w:pStyle w:val="1"/>
              <w:ind w:firstLineChars="0" w:firstLine="0"/>
              <w:rPr>
                <w:rFonts w:ascii="Times New Roman" w:hAnsi="Times New Roman"/>
                <w:color w:val="000000"/>
                <w:szCs w:val="21"/>
              </w:rPr>
            </w:pPr>
          </w:p>
        </w:tc>
        <w:tc>
          <w:tcPr>
            <w:tcW w:w="1308" w:type="dxa"/>
            <w:vAlign w:val="center"/>
          </w:tcPr>
          <w:p w:rsidR="00D5105D" w:rsidRDefault="00D5105D" w:rsidP="005233BA">
            <w:pPr>
              <w:pStyle w:val="1"/>
              <w:ind w:firstLineChars="0" w:firstLine="0"/>
              <w:rPr>
                <w:rFonts w:ascii="Times New Roman" w:hAnsi="Times New Roman"/>
                <w:szCs w:val="21"/>
              </w:rPr>
            </w:pPr>
          </w:p>
        </w:tc>
      </w:tr>
      <w:tr w:rsidR="00D5105D" w:rsidTr="005233BA">
        <w:tc>
          <w:tcPr>
            <w:tcW w:w="709"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3</w:t>
            </w:r>
          </w:p>
        </w:tc>
        <w:tc>
          <w:tcPr>
            <w:tcW w:w="1842"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生产车间</w:t>
            </w:r>
          </w:p>
        </w:tc>
        <w:tc>
          <w:tcPr>
            <w:tcW w:w="1560" w:type="dxa"/>
            <w:vAlign w:val="center"/>
          </w:tcPr>
          <w:p w:rsidR="00D5105D" w:rsidRDefault="00D5105D" w:rsidP="005233BA">
            <w:pPr>
              <w:autoSpaceDE w:val="0"/>
              <w:autoSpaceDN w:val="0"/>
              <w:adjustRightInd w:val="0"/>
              <w:rPr>
                <w:rFonts w:ascii="Times New Roman" w:hAnsi="Times New Roman"/>
                <w:szCs w:val="21"/>
              </w:rPr>
            </w:pPr>
            <w:r>
              <w:rPr>
                <w:rFonts w:ascii="Times New Roman" w:hAnsi="Times New Roman"/>
                <w:szCs w:val="21"/>
              </w:rPr>
              <w:t>用氨设备、液氨管线超压破裂造成液氨泄漏</w:t>
            </w:r>
          </w:p>
        </w:tc>
        <w:tc>
          <w:tcPr>
            <w:tcW w:w="1275"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中毒和窒息</w:t>
            </w:r>
          </w:p>
        </w:tc>
        <w:tc>
          <w:tcPr>
            <w:tcW w:w="5103" w:type="dxa"/>
            <w:vAlign w:val="center"/>
          </w:tcPr>
          <w:p w:rsidR="00D5105D" w:rsidRDefault="00D5105D" w:rsidP="00D5105D">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用氨场所应有醒目的安全警示标识。</w:t>
            </w:r>
          </w:p>
          <w:p w:rsidR="00D5105D" w:rsidRDefault="00D5105D" w:rsidP="00D5105D">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车间应安装氨气浓度报警装置，并与液氨管线快速切断阀、事故排风系统连锁。</w:t>
            </w:r>
          </w:p>
          <w:p w:rsidR="00D5105D" w:rsidRDefault="00D5105D" w:rsidP="00D5105D">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液氨管线禁止穿过</w:t>
            </w:r>
            <w:proofErr w:type="gramStart"/>
            <w:r>
              <w:rPr>
                <w:rFonts w:ascii="Times New Roman" w:hAnsi="Times New Roman"/>
                <w:color w:val="000000"/>
                <w:szCs w:val="21"/>
              </w:rPr>
              <w:t>偶人员</w:t>
            </w:r>
            <w:proofErr w:type="gramEnd"/>
            <w:r>
              <w:rPr>
                <w:rFonts w:ascii="Times New Roman" w:hAnsi="Times New Roman"/>
                <w:color w:val="000000"/>
                <w:szCs w:val="21"/>
              </w:rPr>
              <w:t>办公、休息和居住的建筑物。</w:t>
            </w:r>
          </w:p>
          <w:p w:rsidR="00D5105D" w:rsidRDefault="00D5105D" w:rsidP="00D5105D">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人员较多的生产场所的空调系统不得采用</w:t>
            </w:r>
            <w:proofErr w:type="gramStart"/>
            <w:r>
              <w:rPr>
                <w:rFonts w:ascii="Times New Roman" w:hAnsi="Times New Roman"/>
                <w:color w:val="000000"/>
                <w:szCs w:val="21"/>
              </w:rPr>
              <w:t>氨直接</w:t>
            </w:r>
            <w:proofErr w:type="gramEnd"/>
            <w:r>
              <w:rPr>
                <w:rFonts w:ascii="Times New Roman" w:hAnsi="Times New Roman"/>
                <w:color w:val="000000"/>
                <w:szCs w:val="21"/>
              </w:rPr>
              <w:t>蒸发制冷，应用其他介质进行二次换热或采用单独的环保型冷媒空调系统。</w:t>
            </w:r>
          </w:p>
        </w:tc>
        <w:tc>
          <w:tcPr>
            <w:tcW w:w="1985" w:type="dxa"/>
            <w:vAlign w:val="center"/>
          </w:tcPr>
          <w:p w:rsidR="00D5105D" w:rsidRDefault="00D5105D" w:rsidP="005233BA">
            <w:pPr>
              <w:pStyle w:val="1"/>
              <w:ind w:firstLineChars="0" w:firstLine="0"/>
              <w:rPr>
                <w:rFonts w:ascii="Times New Roman" w:hAnsi="Times New Roman"/>
                <w:color w:val="000000"/>
                <w:szCs w:val="21"/>
              </w:rPr>
            </w:pPr>
            <w:r>
              <w:rPr>
                <w:rFonts w:ascii="Times New Roman" w:hAnsi="Times New Roman"/>
                <w:color w:val="000000"/>
                <w:szCs w:val="21"/>
              </w:rPr>
              <w:t>《冷库设计规范》（</w:t>
            </w:r>
            <w:r>
              <w:rPr>
                <w:rFonts w:ascii="Times New Roman" w:hAnsi="Times New Roman"/>
                <w:color w:val="000000"/>
                <w:szCs w:val="21"/>
              </w:rPr>
              <w:t>GB50072</w:t>
            </w:r>
            <w:r>
              <w:rPr>
                <w:rFonts w:ascii="Times New Roman" w:hAnsi="Times New Roman"/>
                <w:color w:val="000000"/>
                <w:szCs w:val="21"/>
              </w:rPr>
              <w:t>）</w:t>
            </w:r>
          </w:p>
        </w:tc>
        <w:tc>
          <w:tcPr>
            <w:tcW w:w="1308" w:type="dxa"/>
            <w:vAlign w:val="center"/>
          </w:tcPr>
          <w:p w:rsidR="00D5105D" w:rsidRDefault="00D5105D" w:rsidP="005233BA">
            <w:pPr>
              <w:pStyle w:val="1"/>
              <w:ind w:firstLineChars="0" w:firstLine="0"/>
              <w:rPr>
                <w:rFonts w:ascii="Times New Roman" w:hAnsi="Times New Roman"/>
                <w:szCs w:val="21"/>
              </w:rPr>
            </w:pPr>
          </w:p>
        </w:tc>
      </w:tr>
      <w:tr w:rsidR="00D5105D" w:rsidTr="005233BA">
        <w:tc>
          <w:tcPr>
            <w:tcW w:w="13782" w:type="dxa"/>
            <w:gridSpan w:val="7"/>
            <w:vAlign w:val="center"/>
          </w:tcPr>
          <w:p w:rsidR="00D5105D" w:rsidRDefault="00D5105D" w:rsidP="005233BA">
            <w:pPr>
              <w:pStyle w:val="1"/>
              <w:ind w:firstLineChars="0" w:firstLine="0"/>
              <w:rPr>
                <w:rFonts w:ascii="Times New Roman" w:hAnsi="Times New Roman"/>
                <w:b/>
                <w:szCs w:val="21"/>
              </w:rPr>
            </w:pPr>
            <w:r>
              <w:rPr>
                <w:rFonts w:ascii="Times New Roman" w:hAnsi="Times New Roman"/>
                <w:b/>
                <w:szCs w:val="21"/>
              </w:rPr>
              <w:t>（二）建筑及消防</w:t>
            </w:r>
          </w:p>
        </w:tc>
      </w:tr>
      <w:tr w:rsidR="00D5105D" w:rsidTr="005233BA">
        <w:tc>
          <w:tcPr>
            <w:tcW w:w="709"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厂房设计</w:t>
            </w:r>
          </w:p>
        </w:tc>
        <w:tc>
          <w:tcPr>
            <w:tcW w:w="1560" w:type="dxa"/>
            <w:vAlign w:val="center"/>
          </w:tcPr>
          <w:p w:rsidR="00D5105D" w:rsidRDefault="00D5105D" w:rsidP="005233BA">
            <w:pPr>
              <w:autoSpaceDE w:val="0"/>
              <w:autoSpaceDN w:val="0"/>
              <w:adjustRightInd w:val="0"/>
              <w:rPr>
                <w:rFonts w:ascii="Times New Roman" w:hAnsi="Times New Roman"/>
                <w:szCs w:val="21"/>
              </w:rPr>
            </w:pPr>
            <w:r>
              <w:rPr>
                <w:rFonts w:ascii="Times New Roman" w:hAnsi="Times New Roman"/>
                <w:szCs w:val="21"/>
              </w:rPr>
              <w:t>有爆炸危险性的厂房设计不符合要求可能会造成事故后果扩大</w:t>
            </w:r>
          </w:p>
        </w:tc>
        <w:tc>
          <w:tcPr>
            <w:tcW w:w="1275"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容器爆炸</w:t>
            </w:r>
          </w:p>
        </w:tc>
        <w:tc>
          <w:tcPr>
            <w:tcW w:w="5103" w:type="dxa"/>
            <w:vAlign w:val="center"/>
          </w:tcPr>
          <w:p w:rsidR="00D5105D" w:rsidRDefault="00D5105D" w:rsidP="00D5105D">
            <w:pPr>
              <w:numPr>
                <w:ilvl w:val="0"/>
                <w:numId w:val="3"/>
              </w:numPr>
              <w:autoSpaceDE w:val="0"/>
              <w:autoSpaceDN w:val="0"/>
              <w:adjustRightInd w:val="0"/>
              <w:rPr>
                <w:rFonts w:ascii="Times New Roman" w:hAnsi="Times New Roman"/>
                <w:szCs w:val="21"/>
              </w:rPr>
            </w:pPr>
            <w:r>
              <w:rPr>
                <w:rFonts w:ascii="Times New Roman" w:hAnsi="Times New Roman"/>
                <w:szCs w:val="21"/>
              </w:rPr>
              <w:t>有爆炸危险的厂房或厂房内有爆炸危险的部位应设置泄压设施，泄压设施宜采用轻质屋面板、轻质墙体和门窗，门、窗</w:t>
            </w:r>
            <w:proofErr w:type="gramStart"/>
            <w:r>
              <w:rPr>
                <w:rFonts w:ascii="Times New Roman" w:hAnsi="Times New Roman"/>
                <w:szCs w:val="21"/>
              </w:rPr>
              <w:t>应想外开启</w:t>
            </w:r>
            <w:proofErr w:type="gramEnd"/>
            <w:r>
              <w:rPr>
                <w:rFonts w:ascii="Times New Roman" w:hAnsi="Times New Roman"/>
                <w:szCs w:val="21"/>
              </w:rPr>
              <w:t>。</w:t>
            </w:r>
          </w:p>
          <w:p w:rsidR="00D5105D" w:rsidRDefault="00D5105D" w:rsidP="00D5105D">
            <w:pPr>
              <w:numPr>
                <w:ilvl w:val="0"/>
                <w:numId w:val="3"/>
              </w:numPr>
              <w:autoSpaceDE w:val="0"/>
              <w:autoSpaceDN w:val="0"/>
              <w:adjustRightInd w:val="0"/>
              <w:rPr>
                <w:rFonts w:ascii="Times New Roman" w:hAnsi="Times New Roman"/>
                <w:szCs w:val="21"/>
              </w:rPr>
            </w:pPr>
            <w:r>
              <w:rPr>
                <w:rFonts w:ascii="Times New Roman" w:hAnsi="Times New Roman"/>
                <w:szCs w:val="21"/>
              </w:rPr>
              <w:t>泄压面积应经过计算，并符合</w:t>
            </w:r>
            <w:r>
              <w:rPr>
                <w:rFonts w:ascii="Times New Roman" w:hAnsi="Times New Roman"/>
                <w:szCs w:val="21"/>
              </w:rPr>
              <w:t>GB50016-2014</w:t>
            </w:r>
            <w:r>
              <w:rPr>
                <w:rFonts w:ascii="Times New Roman" w:hAnsi="Times New Roman"/>
                <w:szCs w:val="21"/>
              </w:rPr>
              <w:t>中第</w:t>
            </w:r>
            <w:r>
              <w:rPr>
                <w:rFonts w:ascii="Times New Roman" w:hAnsi="Times New Roman"/>
                <w:szCs w:val="21"/>
              </w:rPr>
              <w:t>3.6.4</w:t>
            </w:r>
            <w:r>
              <w:rPr>
                <w:rFonts w:ascii="Times New Roman" w:hAnsi="Times New Roman"/>
                <w:szCs w:val="21"/>
              </w:rPr>
              <w:t>条的要求。</w:t>
            </w:r>
          </w:p>
        </w:tc>
        <w:tc>
          <w:tcPr>
            <w:tcW w:w="1985" w:type="dxa"/>
            <w:vAlign w:val="center"/>
          </w:tcPr>
          <w:p w:rsidR="00D5105D" w:rsidRDefault="00D5105D" w:rsidP="005233BA">
            <w:pPr>
              <w:pStyle w:val="1"/>
              <w:ind w:firstLineChars="0" w:firstLine="0"/>
              <w:rPr>
                <w:rFonts w:ascii="Times New Roman" w:hAnsi="Times New Roman"/>
                <w:szCs w:val="21"/>
              </w:rPr>
            </w:pPr>
            <w:r>
              <w:rPr>
                <w:rFonts w:ascii="Times New Roman" w:hAnsi="Times New Roman"/>
                <w:color w:val="000000"/>
                <w:szCs w:val="21"/>
              </w:rPr>
              <w:t>《建筑设计防火规范》（</w:t>
            </w:r>
            <w:r>
              <w:rPr>
                <w:rFonts w:ascii="Times New Roman" w:hAnsi="Times New Roman"/>
                <w:color w:val="000000"/>
                <w:szCs w:val="21"/>
              </w:rPr>
              <w:t>GB50016</w:t>
            </w:r>
            <w:r>
              <w:rPr>
                <w:rFonts w:ascii="Times New Roman" w:hAnsi="Times New Roman"/>
                <w:color w:val="000000"/>
                <w:szCs w:val="21"/>
              </w:rPr>
              <w:t>）</w:t>
            </w:r>
          </w:p>
        </w:tc>
        <w:tc>
          <w:tcPr>
            <w:tcW w:w="1308" w:type="dxa"/>
            <w:vAlign w:val="center"/>
          </w:tcPr>
          <w:p w:rsidR="00D5105D" w:rsidRDefault="00D5105D" w:rsidP="005233BA">
            <w:pPr>
              <w:pStyle w:val="1"/>
              <w:ind w:firstLineChars="0" w:firstLine="0"/>
              <w:rPr>
                <w:rFonts w:ascii="Times New Roman" w:hAnsi="Times New Roman"/>
                <w:szCs w:val="21"/>
              </w:rPr>
            </w:pPr>
          </w:p>
        </w:tc>
      </w:tr>
      <w:tr w:rsidR="00D5105D" w:rsidTr="005233BA">
        <w:tc>
          <w:tcPr>
            <w:tcW w:w="709"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2</w:t>
            </w:r>
          </w:p>
        </w:tc>
        <w:tc>
          <w:tcPr>
            <w:tcW w:w="1842"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消防设施</w:t>
            </w:r>
          </w:p>
        </w:tc>
        <w:tc>
          <w:tcPr>
            <w:tcW w:w="1560" w:type="dxa"/>
            <w:vAlign w:val="center"/>
          </w:tcPr>
          <w:p w:rsidR="00D5105D" w:rsidRDefault="00D5105D" w:rsidP="005233BA">
            <w:pPr>
              <w:autoSpaceDE w:val="0"/>
              <w:autoSpaceDN w:val="0"/>
              <w:adjustRightInd w:val="0"/>
              <w:rPr>
                <w:rFonts w:ascii="Times New Roman" w:hAnsi="Times New Roman"/>
                <w:szCs w:val="21"/>
              </w:rPr>
            </w:pPr>
            <w:r>
              <w:rPr>
                <w:rFonts w:ascii="Times New Roman" w:hAnsi="Times New Roman"/>
                <w:szCs w:val="21"/>
              </w:rPr>
              <w:t>未设置自动火</w:t>
            </w:r>
            <w:r>
              <w:rPr>
                <w:rFonts w:ascii="Times New Roman" w:hAnsi="Times New Roman"/>
                <w:szCs w:val="21"/>
              </w:rPr>
              <w:lastRenderedPageBreak/>
              <w:t>灾报警装置，未设消防水系统与消防通道</w:t>
            </w:r>
          </w:p>
        </w:tc>
        <w:tc>
          <w:tcPr>
            <w:tcW w:w="1275"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lastRenderedPageBreak/>
              <w:t>火灾</w:t>
            </w:r>
          </w:p>
        </w:tc>
        <w:tc>
          <w:tcPr>
            <w:tcW w:w="5103" w:type="dxa"/>
            <w:vAlign w:val="center"/>
          </w:tcPr>
          <w:p w:rsidR="00D5105D" w:rsidRDefault="00D5105D" w:rsidP="005233BA">
            <w:pPr>
              <w:pStyle w:val="1"/>
              <w:ind w:firstLineChars="0" w:firstLine="0"/>
              <w:rPr>
                <w:rFonts w:ascii="Times New Roman" w:hAnsi="Times New Roman"/>
                <w:szCs w:val="21"/>
              </w:rPr>
            </w:pPr>
            <w:r>
              <w:rPr>
                <w:rFonts w:ascii="Times New Roman" w:hAnsi="Times New Roman"/>
                <w:szCs w:val="21"/>
              </w:rPr>
              <w:t>主控室、电气间、电缆隧道、可燃介质的液压站等易发</w:t>
            </w:r>
            <w:r>
              <w:rPr>
                <w:rFonts w:ascii="Times New Roman" w:hAnsi="Times New Roman"/>
                <w:szCs w:val="21"/>
              </w:rPr>
              <w:lastRenderedPageBreak/>
              <w:t>生火灾的建构筑物，应设置自动火灾报警装置，应设置消防水系统与消防通道，并设置警示标志。</w:t>
            </w:r>
          </w:p>
        </w:tc>
        <w:tc>
          <w:tcPr>
            <w:tcW w:w="1985" w:type="dxa"/>
            <w:vAlign w:val="center"/>
          </w:tcPr>
          <w:p w:rsidR="00D5105D" w:rsidRDefault="00D5105D" w:rsidP="005233BA">
            <w:pPr>
              <w:pStyle w:val="1"/>
              <w:ind w:firstLineChars="0" w:firstLine="0"/>
              <w:rPr>
                <w:rFonts w:ascii="Times New Roman" w:hAnsi="Times New Roman"/>
                <w:color w:val="000000"/>
                <w:szCs w:val="21"/>
              </w:rPr>
            </w:pPr>
            <w:r>
              <w:rPr>
                <w:rFonts w:ascii="Times New Roman" w:hAnsi="Times New Roman"/>
                <w:color w:val="000000"/>
                <w:szCs w:val="21"/>
              </w:rPr>
              <w:lastRenderedPageBreak/>
              <w:t>《建筑设计防火规</w:t>
            </w:r>
            <w:r>
              <w:rPr>
                <w:rFonts w:ascii="Times New Roman" w:hAnsi="Times New Roman"/>
                <w:color w:val="000000"/>
                <w:szCs w:val="21"/>
              </w:rPr>
              <w:lastRenderedPageBreak/>
              <w:t>范》（</w:t>
            </w:r>
            <w:r>
              <w:rPr>
                <w:rFonts w:ascii="Times New Roman" w:hAnsi="Times New Roman"/>
                <w:color w:val="000000"/>
                <w:szCs w:val="21"/>
              </w:rPr>
              <w:t>GB50016</w:t>
            </w:r>
            <w:r>
              <w:rPr>
                <w:rFonts w:ascii="Times New Roman" w:hAnsi="Times New Roman"/>
                <w:color w:val="000000"/>
                <w:szCs w:val="21"/>
              </w:rPr>
              <w:t>）</w:t>
            </w:r>
          </w:p>
        </w:tc>
        <w:tc>
          <w:tcPr>
            <w:tcW w:w="1308" w:type="dxa"/>
            <w:vAlign w:val="center"/>
          </w:tcPr>
          <w:p w:rsidR="00D5105D" w:rsidRDefault="00D5105D" w:rsidP="005233BA">
            <w:pPr>
              <w:pStyle w:val="1"/>
              <w:ind w:firstLineChars="0" w:firstLine="0"/>
              <w:rPr>
                <w:rFonts w:ascii="Times New Roman" w:hAnsi="Times New Roman"/>
                <w:szCs w:val="21"/>
              </w:rPr>
            </w:pPr>
          </w:p>
        </w:tc>
      </w:tr>
      <w:tr w:rsidR="00D5105D" w:rsidTr="005233BA">
        <w:tc>
          <w:tcPr>
            <w:tcW w:w="709"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3</w:t>
            </w:r>
          </w:p>
        </w:tc>
        <w:tc>
          <w:tcPr>
            <w:tcW w:w="1842"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电器防爆</w:t>
            </w:r>
          </w:p>
        </w:tc>
        <w:tc>
          <w:tcPr>
            <w:tcW w:w="1560" w:type="dxa"/>
            <w:vAlign w:val="center"/>
          </w:tcPr>
          <w:p w:rsidR="00D5105D" w:rsidRDefault="00D5105D" w:rsidP="005233BA">
            <w:pPr>
              <w:autoSpaceDE w:val="0"/>
              <w:autoSpaceDN w:val="0"/>
              <w:adjustRightInd w:val="0"/>
              <w:rPr>
                <w:rFonts w:ascii="Times New Roman" w:hAnsi="Times New Roman"/>
                <w:szCs w:val="21"/>
              </w:rPr>
            </w:pPr>
            <w:r>
              <w:rPr>
                <w:rFonts w:ascii="Times New Roman" w:hAnsi="Times New Roman"/>
                <w:szCs w:val="21"/>
              </w:rPr>
              <w:t>易燃易爆场所未设置防爆电器或等级不够</w:t>
            </w:r>
          </w:p>
        </w:tc>
        <w:tc>
          <w:tcPr>
            <w:tcW w:w="1275"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触电</w:t>
            </w:r>
          </w:p>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火灾</w:t>
            </w:r>
          </w:p>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其他爆炸</w:t>
            </w:r>
          </w:p>
        </w:tc>
        <w:tc>
          <w:tcPr>
            <w:tcW w:w="5103" w:type="dxa"/>
            <w:vAlign w:val="center"/>
          </w:tcPr>
          <w:p w:rsidR="00D5105D" w:rsidRDefault="00D5105D" w:rsidP="00D5105D">
            <w:pPr>
              <w:pStyle w:val="1"/>
              <w:numPr>
                <w:ilvl w:val="0"/>
                <w:numId w:val="4"/>
              </w:numPr>
              <w:ind w:firstLineChars="0" w:firstLine="0"/>
              <w:rPr>
                <w:rFonts w:ascii="Times New Roman" w:hAnsi="Times New Roman"/>
                <w:szCs w:val="21"/>
              </w:rPr>
            </w:pPr>
            <w:r>
              <w:rPr>
                <w:rFonts w:ascii="Times New Roman" w:hAnsi="Times New Roman"/>
                <w:szCs w:val="21"/>
              </w:rPr>
              <w:t>防爆场所应配用防爆电器。应根据爆炸性危险区域的等级及爆炸性气体混合物的级别、组别，正确选择相应类型的级别和组别的电气设备，并应安装漏电保护装置。敷设的配电线路必须穿金属管保护。</w:t>
            </w:r>
          </w:p>
          <w:p w:rsidR="00D5105D" w:rsidRDefault="00D5105D" w:rsidP="00D5105D">
            <w:pPr>
              <w:pStyle w:val="1"/>
              <w:numPr>
                <w:ilvl w:val="0"/>
                <w:numId w:val="4"/>
              </w:numPr>
              <w:ind w:firstLineChars="0" w:firstLine="0"/>
              <w:rPr>
                <w:rFonts w:ascii="Times New Roman" w:hAnsi="Times New Roman"/>
                <w:szCs w:val="21"/>
              </w:rPr>
            </w:pPr>
            <w:r>
              <w:rPr>
                <w:rFonts w:ascii="Times New Roman" w:hAnsi="Times New Roman"/>
                <w:szCs w:val="21"/>
              </w:rPr>
              <w:t>每层厂房应</w:t>
            </w:r>
            <w:proofErr w:type="gramStart"/>
            <w:r>
              <w:rPr>
                <w:rFonts w:ascii="Times New Roman" w:hAnsi="Times New Roman"/>
                <w:szCs w:val="21"/>
              </w:rPr>
              <w:t>设独立</w:t>
            </w:r>
            <w:proofErr w:type="gramEnd"/>
            <w:r>
              <w:rPr>
                <w:rFonts w:ascii="Times New Roman" w:hAnsi="Times New Roman"/>
                <w:szCs w:val="21"/>
              </w:rPr>
              <w:t>电源箱，使用断路保护器。</w:t>
            </w:r>
          </w:p>
        </w:tc>
        <w:tc>
          <w:tcPr>
            <w:tcW w:w="1985" w:type="dxa"/>
            <w:vAlign w:val="center"/>
          </w:tcPr>
          <w:p w:rsidR="00D5105D" w:rsidRDefault="00D5105D" w:rsidP="005233BA">
            <w:pPr>
              <w:pStyle w:val="1"/>
              <w:ind w:firstLineChars="0" w:firstLine="0"/>
              <w:rPr>
                <w:rFonts w:ascii="Times New Roman" w:hAnsi="Times New Roman"/>
                <w:color w:val="000000"/>
                <w:szCs w:val="21"/>
              </w:rPr>
            </w:pPr>
            <w:r>
              <w:rPr>
                <w:rFonts w:ascii="Times New Roman" w:hAnsi="Times New Roman"/>
                <w:color w:val="000000"/>
                <w:szCs w:val="21"/>
              </w:rPr>
              <w:t>《爆炸危险环境电力装置设计规范》（</w:t>
            </w:r>
            <w:r>
              <w:rPr>
                <w:rFonts w:ascii="Times New Roman" w:hAnsi="Times New Roman"/>
                <w:color w:val="000000"/>
                <w:szCs w:val="21"/>
              </w:rPr>
              <w:t>GB50058</w:t>
            </w:r>
            <w:r>
              <w:rPr>
                <w:rFonts w:ascii="Times New Roman" w:hAnsi="Times New Roman"/>
                <w:color w:val="000000"/>
                <w:szCs w:val="21"/>
              </w:rPr>
              <w:t>）</w:t>
            </w:r>
          </w:p>
        </w:tc>
        <w:tc>
          <w:tcPr>
            <w:tcW w:w="1308" w:type="dxa"/>
            <w:vAlign w:val="center"/>
          </w:tcPr>
          <w:p w:rsidR="00D5105D" w:rsidRDefault="00D5105D" w:rsidP="005233BA">
            <w:pPr>
              <w:pStyle w:val="1"/>
              <w:ind w:firstLineChars="0" w:firstLine="0"/>
              <w:rPr>
                <w:rFonts w:ascii="Times New Roman" w:hAnsi="Times New Roman"/>
                <w:szCs w:val="21"/>
              </w:rPr>
            </w:pPr>
          </w:p>
        </w:tc>
      </w:tr>
      <w:tr w:rsidR="00D5105D" w:rsidTr="005233BA">
        <w:tc>
          <w:tcPr>
            <w:tcW w:w="709"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4</w:t>
            </w:r>
          </w:p>
        </w:tc>
        <w:tc>
          <w:tcPr>
            <w:tcW w:w="1842"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电气线路</w:t>
            </w:r>
          </w:p>
        </w:tc>
        <w:tc>
          <w:tcPr>
            <w:tcW w:w="1560" w:type="dxa"/>
            <w:vAlign w:val="center"/>
          </w:tcPr>
          <w:p w:rsidR="00D5105D" w:rsidRDefault="00D5105D" w:rsidP="005233BA">
            <w:pPr>
              <w:autoSpaceDE w:val="0"/>
              <w:autoSpaceDN w:val="0"/>
              <w:adjustRightInd w:val="0"/>
              <w:rPr>
                <w:rFonts w:ascii="Times New Roman" w:hAnsi="Times New Roman"/>
                <w:szCs w:val="21"/>
              </w:rPr>
            </w:pPr>
            <w:r>
              <w:rPr>
                <w:rFonts w:ascii="Times New Roman" w:hAnsi="Times New Roman"/>
                <w:szCs w:val="21"/>
              </w:rPr>
              <w:t>临时线路未安装总开关控制和漏电保护装置</w:t>
            </w:r>
          </w:p>
        </w:tc>
        <w:tc>
          <w:tcPr>
            <w:tcW w:w="1275"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触电</w:t>
            </w:r>
          </w:p>
        </w:tc>
        <w:tc>
          <w:tcPr>
            <w:tcW w:w="5103" w:type="dxa"/>
            <w:vAlign w:val="center"/>
          </w:tcPr>
          <w:p w:rsidR="00D5105D" w:rsidRDefault="00D5105D" w:rsidP="00D5105D">
            <w:pPr>
              <w:pStyle w:val="1"/>
              <w:numPr>
                <w:ilvl w:val="0"/>
                <w:numId w:val="5"/>
              </w:numPr>
              <w:ind w:firstLineChars="0" w:firstLine="0"/>
              <w:rPr>
                <w:rFonts w:ascii="Times New Roman" w:hAnsi="Times New Roman"/>
                <w:szCs w:val="21"/>
              </w:rPr>
            </w:pPr>
            <w:r>
              <w:rPr>
                <w:rFonts w:ascii="Times New Roman" w:hAnsi="Times New Roman"/>
                <w:szCs w:val="21"/>
              </w:rPr>
              <w:t>临时线路敷设符合安全要求，应安装总开关控制和漏电保护装置。</w:t>
            </w:r>
          </w:p>
          <w:p w:rsidR="00D5105D" w:rsidRDefault="00D5105D" w:rsidP="00D5105D">
            <w:pPr>
              <w:pStyle w:val="1"/>
              <w:numPr>
                <w:ilvl w:val="0"/>
                <w:numId w:val="5"/>
              </w:numPr>
              <w:ind w:firstLineChars="0" w:firstLine="0"/>
              <w:rPr>
                <w:rFonts w:ascii="Times New Roman" w:hAnsi="Times New Roman"/>
                <w:szCs w:val="21"/>
              </w:rPr>
            </w:pPr>
            <w:r>
              <w:rPr>
                <w:rFonts w:ascii="Times New Roman" w:hAnsi="Times New Roman"/>
                <w:szCs w:val="21"/>
              </w:rPr>
              <w:t>临时用电设备</w:t>
            </w:r>
            <w:r>
              <w:rPr>
                <w:rFonts w:ascii="Times New Roman" w:hAnsi="Times New Roman"/>
                <w:szCs w:val="21"/>
              </w:rPr>
              <w:t>PE</w:t>
            </w:r>
            <w:r>
              <w:rPr>
                <w:rFonts w:ascii="Times New Roman" w:hAnsi="Times New Roman"/>
                <w:szCs w:val="21"/>
              </w:rPr>
              <w:t>（保护接地线）连接可靠。</w:t>
            </w:r>
          </w:p>
        </w:tc>
        <w:tc>
          <w:tcPr>
            <w:tcW w:w="1985" w:type="dxa"/>
            <w:vAlign w:val="center"/>
          </w:tcPr>
          <w:p w:rsidR="00D5105D" w:rsidRDefault="00D5105D" w:rsidP="005233BA">
            <w:pPr>
              <w:pStyle w:val="1"/>
              <w:ind w:firstLineChars="0" w:firstLine="0"/>
              <w:rPr>
                <w:rFonts w:ascii="Times New Roman" w:hAnsi="Times New Roman"/>
                <w:color w:val="000000"/>
                <w:szCs w:val="21"/>
              </w:rPr>
            </w:pPr>
            <w:r>
              <w:rPr>
                <w:rFonts w:ascii="Times New Roman" w:hAnsi="Times New Roman"/>
                <w:color w:val="000000"/>
                <w:szCs w:val="21"/>
              </w:rPr>
              <w:t>《电压配电设计规范》（</w:t>
            </w:r>
            <w:r>
              <w:rPr>
                <w:rFonts w:ascii="Times New Roman" w:hAnsi="Times New Roman"/>
                <w:color w:val="000000"/>
                <w:szCs w:val="21"/>
              </w:rPr>
              <w:t>GB50054</w:t>
            </w:r>
            <w:r>
              <w:rPr>
                <w:rFonts w:ascii="Times New Roman" w:hAnsi="Times New Roman"/>
                <w:color w:val="000000"/>
                <w:szCs w:val="21"/>
              </w:rPr>
              <w:t>）</w:t>
            </w:r>
          </w:p>
        </w:tc>
        <w:tc>
          <w:tcPr>
            <w:tcW w:w="1308" w:type="dxa"/>
            <w:vAlign w:val="center"/>
          </w:tcPr>
          <w:p w:rsidR="00D5105D" w:rsidRDefault="00D5105D" w:rsidP="005233BA">
            <w:pPr>
              <w:pStyle w:val="1"/>
              <w:ind w:firstLineChars="0" w:firstLine="0"/>
              <w:rPr>
                <w:rFonts w:ascii="Times New Roman" w:hAnsi="Times New Roman"/>
                <w:szCs w:val="21"/>
              </w:rPr>
            </w:pPr>
          </w:p>
        </w:tc>
      </w:tr>
      <w:tr w:rsidR="00D5105D" w:rsidTr="005233BA">
        <w:tc>
          <w:tcPr>
            <w:tcW w:w="13782" w:type="dxa"/>
            <w:gridSpan w:val="7"/>
            <w:vAlign w:val="center"/>
          </w:tcPr>
          <w:p w:rsidR="00D5105D" w:rsidRDefault="00D5105D" w:rsidP="005233BA">
            <w:pPr>
              <w:pStyle w:val="1"/>
              <w:ind w:firstLineChars="0" w:firstLine="0"/>
              <w:rPr>
                <w:rFonts w:ascii="Times New Roman" w:hAnsi="Times New Roman"/>
                <w:b/>
                <w:szCs w:val="21"/>
              </w:rPr>
            </w:pPr>
            <w:r>
              <w:rPr>
                <w:rFonts w:ascii="Times New Roman" w:hAnsi="Times New Roman"/>
                <w:b/>
                <w:szCs w:val="21"/>
              </w:rPr>
              <w:t>（三）特种设备</w:t>
            </w:r>
          </w:p>
        </w:tc>
      </w:tr>
      <w:tr w:rsidR="00D5105D" w:rsidTr="005233BA">
        <w:tc>
          <w:tcPr>
            <w:tcW w:w="709"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压力容器、管道</w:t>
            </w:r>
          </w:p>
        </w:tc>
        <w:tc>
          <w:tcPr>
            <w:tcW w:w="1560" w:type="dxa"/>
            <w:vAlign w:val="center"/>
          </w:tcPr>
          <w:p w:rsidR="00D5105D" w:rsidRDefault="00D5105D" w:rsidP="005233BA">
            <w:pPr>
              <w:pStyle w:val="1"/>
              <w:ind w:firstLineChars="0" w:firstLine="0"/>
              <w:rPr>
                <w:rFonts w:ascii="Times New Roman" w:hAnsi="Times New Roman"/>
                <w:szCs w:val="21"/>
              </w:rPr>
            </w:pPr>
            <w:r>
              <w:rPr>
                <w:rFonts w:ascii="Times New Roman" w:hAnsi="Times New Roman"/>
                <w:szCs w:val="21"/>
              </w:rPr>
              <w:t>超压使用、安全装置缺失或失效</w:t>
            </w:r>
          </w:p>
        </w:tc>
        <w:tc>
          <w:tcPr>
            <w:tcW w:w="1275" w:type="dxa"/>
            <w:vAlign w:val="center"/>
          </w:tcPr>
          <w:p w:rsidR="00D5105D" w:rsidRDefault="00D5105D" w:rsidP="005233BA">
            <w:pPr>
              <w:jc w:val="center"/>
              <w:rPr>
                <w:rFonts w:ascii="Times New Roman" w:hAnsi="Times New Roman"/>
                <w:szCs w:val="21"/>
              </w:rPr>
            </w:pPr>
            <w:r>
              <w:rPr>
                <w:rFonts w:ascii="Times New Roman" w:hAnsi="Times New Roman"/>
                <w:szCs w:val="21"/>
              </w:rPr>
              <w:t>火灾</w:t>
            </w:r>
          </w:p>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物体打击</w:t>
            </w:r>
          </w:p>
          <w:p w:rsidR="00D5105D" w:rsidRDefault="00D5105D" w:rsidP="005233BA">
            <w:pPr>
              <w:pStyle w:val="1"/>
              <w:ind w:firstLineChars="0" w:firstLine="0"/>
              <w:jc w:val="center"/>
              <w:rPr>
                <w:rFonts w:ascii="Times New Roman" w:hAnsi="Times New Roman"/>
                <w:szCs w:val="21"/>
              </w:rPr>
            </w:pPr>
            <w:r>
              <w:rPr>
                <w:rFonts w:ascii="Times New Roman" w:hAnsi="Times New Roman"/>
                <w:szCs w:val="21"/>
              </w:rPr>
              <w:t>容器爆炸</w:t>
            </w:r>
          </w:p>
        </w:tc>
        <w:tc>
          <w:tcPr>
            <w:tcW w:w="5103" w:type="dxa"/>
            <w:vAlign w:val="center"/>
          </w:tcPr>
          <w:p w:rsidR="00D5105D" w:rsidRDefault="00D5105D" w:rsidP="005233BA">
            <w:pPr>
              <w:pStyle w:val="1"/>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）容器、管道的设计压力应当不小于在操作中可能遇到的最高的压力与温度组合工况的压力。容器、管道不应超压运行。</w:t>
            </w:r>
          </w:p>
          <w:p w:rsidR="00D5105D" w:rsidRDefault="00D5105D" w:rsidP="005233BA">
            <w:pPr>
              <w:pStyle w:val="1"/>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）应按规定设置安全阀、爆破片、紧急切断装置、压力表、液面计、测温仪表、安全</w:t>
            </w:r>
            <w:proofErr w:type="gramStart"/>
            <w:r>
              <w:rPr>
                <w:rFonts w:ascii="Times New Roman" w:hAnsi="Times New Roman"/>
                <w:szCs w:val="21"/>
              </w:rPr>
              <w:t>联锁</w:t>
            </w:r>
            <w:proofErr w:type="gramEnd"/>
            <w:r>
              <w:rPr>
                <w:rFonts w:ascii="Times New Roman" w:hAnsi="Times New Roman"/>
                <w:szCs w:val="21"/>
              </w:rPr>
              <w:t>等安全装置。</w:t>
            </w:r>
          </w:p>
          <w:p w:rsidR="00D5105D" w:rsidRDefault="00D5105D" w:rsidP="00D5105D">
            <w:pPr>
              <w:pStyle w:val="1"/>
              <w:numPr>
                <w:ilvl w:val="0"/>
                <w:numId w:val="5"/>
              </w:numPr>
              <w:ind w:firstLineChars="0" w:firstLine="0"/>
              <w:rPr>
                <w:rFonts w:ascii="Times New Roman" w:hAnsi="Times New Roman"/>
                <w:szCs w:val="21"/>
              </w:rPr>
            </w:pPr>
            <w:r>
              <w:rPr>
                <w:rFonts w:ascii="Times New Roman" w:hAnsi="Times New Roman"/>
                <w:szCs w:val="21"/>
              </w:rPr>
              <w:t>容器、管道使用单位应当在工艺操作规程和岗位操作规程中，明确提出容器、管道的安全操作要求。</w:t>
            </w:r>
          </w:p>
        </w:tc>
        <w:tc>
          <w:tcPr>
            <w:tcW w:w="1985" w:type="dxa"/>
            <w:vAlign w:val="center"/>
          </w:tcPr>
          <w:p w:rsidR="00D5105D" w:rsidRDefault="00D5105D" w:rsidP="005233BA">
            <w:pPr>
              <w:pStyle w:val="1"/>
              <w:ind w:firstLineChars="0" w:firstLine="0"/>
              <w:rPr>
                <w:rFonts w:ascii="Times New Roman" w:hAnsi="Times New Roman"/>
                <w:szCs w:val="21"/>
              </w:rPr>
            </w:pPr>
            <w:r>
              <w:rPr>
                <w:rFonts w:ascii="Times New Roman" w:hAnsi="Times New Roman"/>
                <w:szCs w:val="21"/>
              </w:rPr>
              <w:t>《压力容器使用管理规则》（</w:t>
            </w:r>
            <w:r>
              <w:rPr>
                <w:rFonts w:ascii="Times New Roman" w:hAnsi="Times New Roman"/>
                <w:szCs w:val="21"/>
              </w:rPr>
              <w:t>TSGR5002)</w:t>
            </w:r>
          </w:p>
          <w:p w:rsidR="00D5105D" w:rsidRDefault="00D5105D" w:rsidP="005233BA">
            <w:pPr>
              <w:pStyle w:val="1"/>
              <w:ind w:firstLineChars="0" w:firstLine="0"/>
              <w:rPr>
                <w:rFonts w:ascii="Times New Roman" w:hAnsi="Times New Roman"/>
                <w:szCs w:val="21"/>
              </w:rPr>
            </w:pPr>
            <w:r>
              <w:rPr>
                <w:rFonts w:ascii="Times New Roman" w:hAnsi="Times New Roman"/>
                <w:szCs w:val="21"/>
              </w:rPr>
              <w:t>《压力管道安全技术监察规程》（</w:t>
            </w:r>
            <w:r>
              <w:rPr>
                <w:rFonts w:ascii="Times New Roman" w:hAnsi="Times New Roman"/>
                <w:szCs w:val="21"/>
              </w:rPr>
              <w:t>TSGD0001)</w:t>
            </w:r>
          </w:p>
        </w:tc>
        <w:tc>
          <w:tcPr>
            <w:tcW w:w="1308" w:type="dxa"/>
            <w:vAlign w:val="center"/>
          </w:tcPr>
          <w:p w:rsidR="00D5105D" w:rsidRDefault="00D5105D" w:rsidP="005233BA">
            <w:pPr>
              <w:pStyle w:val="1"/>
              <w:ind w:firstLineChars="0" w:firstLine="0"/>
              <w:rPr>
                <w:rFonts w:ascii="Times New Roman" w:hAnsi="Times New Roman"/>
                <w:szCs w:val="21"/>
              </w:rPr>
            </w:pPr>
          </w:p>
        </w:tc>
      </w:tr>
    </w:tbl>
    <w:p w:rsidR="00D5105D" w:rsidRDefault="00D5105D" w:rsidP="00D5105D">
      <w:pPr>
        <w:rPr>
          <w:rFonts w:ascii="Times New Roman" w:hAnsi="Times New Roman"/>
        </w:rPr>
      </w:pPr>
    </w:p>
    <w:p w:rsidR="00D5105D" w:rsidRDefault="00D5105D" w:rsidP="00D5105D">
      <w:pPr>
        <w:pStyle w:val="a3"/>
        <w:spacing w:beforeLines="50" w:before="156"/>
        <w:rPr>
          <w:rFonts w:ascii="Times New Roman" w:hAnsi="Times New Roman"/>
          <w:szCs w:val="21"/>
        </w:rPr>
      </w:pPr>
    </w:p>
    <w:p w:rsidR="00105557" w:rsidRPr="00D5105D" w:rsidRDefault="00105557"/>
    <w:sectPr w:rsidR="00105557" w:rsidRPr="00D5105D" w:rsidSect="00D5105D">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6A14"/>
    <w:multiLevelType w:val="singleLevel"/>
    <w:tmpl w:val="00846A14"/>
    <w:lvl w:ilvl="0">
      <w:start w:val="1"/>
      <w:numFmt w:val="decimal"/>
      <w:suff w:val="nothing"/>
      <w:lvlText w:val="（%1）"/>
      <w:lvlJc w:val="left"/>
    </w:lvl>
  </w:abstractNum>
  <w:abstractNum w:abstractNumId="1" w15:restartNumberingAfterBreak="0">
    <w:nsid w:val="59AE219E"/>
    <w:multiLevelType w:val="singleLevel"/>
    <w:tmpl w:val="59AE219E"/>
    <w:lvl w:ilvl="0">
      <w:start w:val="1"/>
      <w:numFmt w:val="decimal"/>
      <w:suff w:val="nothing"/>
      <w:lvlText w:val="（%1）"/>
      <w:lvlJc w:val="left"/>
    </w:lvl>
  </w:abstractNum>
  <w:abstractNum w:abstractNumId="2" w15:restartNumberingAfterBreak="0">
    <w:nsid w:val="59AE41FF"/>
    <w:multiLevelType w:val="singleLevel"/>
    <w:tmpl w:val="59AE41FF"/>
    <w:lvl w:ilvl="0">
      <w:start w:val="1"/>
      <w:numFmt w:val="decimal"/>
      <w:suff w:val="nothing"/>
      <w:lvlText w:val="（%1）"/>
      <w:lvlJc w:val="left"/>
    </w:lvl>
  </w:abstractNum>
  <w:abstractNum w:abstractNumId="3" w15:restartNumberingAfterBreak="0">
    <w:nsid w:val="59AE4420"/>
    <w:multiLevelType w:val="singleLevel"/>
    <w:tmpl w:val="59AE4420"/>
    <w:lvl w:ilvl="0">
      <w:start w:val="1"/>
      <w:numFmt w:val="decimal"/>
      <w:suff w:val="nothing"/>
      <w:lvlText w:val="（%1）"/>
      <w:lvlJc w:val="left"/>
    </w:lvl>
  </w:abstractNum>
  <w:abstractNum w:abstractNumId="4" w15:restartNumberingAfterBreak="0">
    <w:nsid w:val="59AE44DE"/>
    <w:multiLevelType w:val="singleLevel"/>
    <w:tmpl w:val="59AE44DE"/>
    <w:lvl w:ilvl="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05D"/>
    <w:rsid w:val="00105557"/>
    <w:rsid w:val="00544A59"/>
    <w:rsid w:val="00D5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660913-BE2F-4E14-B17B-8B384030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05D"/>
    <w:pPr>
      <w:widowControl w:val="0"/>
      <w:jc w:val="both"/>
    </w:pPr>
    <w:rPr>
      <w:rFonts w:ascii="Calibri" w:eastAsia="宋体" w:hAnsi="Calibri" w:cs="Times New Roman"/>
    </w:rPr>
  </w:style>
  <w:style w:type="paragraph" w:styleId="4">
    <w:name w:val="heading 4"/>
    <w:basedOn w:val="a"/>
    <w:next w:val="a"/>
    <w:link w:val="4Char"/>
    <w:qFormat/>
    <w:rsid w:val="00D5105D"/>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5105D"/>
    <w:rPr>
      <w:rFonts w:ascii="Cambria" w:eastAsia="宋体" w:hAnsi="Cambria" w:cs="Times New Roman"/>
      <w:b/>
      <w:bCs/>
      <w:sz w:val="28"/>
      <w:szCs w:val="28"/>
    </w:rPr>
  </w:style>
  <w:style w:type="paragraph" w:styleId="a3">
    <w:name w:val="caption"/>
    <w:basedOn w:val="a"/>
    <w:next w:val="a"/>
    <w:qFormat/>
    <w:rsid w:val="00D5105D"/>
    <w:pPr>
      <w:jc w:val="center"/>
    </w:pPr>
    <w:rPr>
      <w:rFonts w:ascii="Cambria" w:eastAsia="黑体" w:hAnsi="Cambria"/>
    </w:rPr>
  </w:style>
  <w:style w:type="paragraph" w:customStyle="1" w:styleId="1">
    <w:name w:val="列出段落1"/>
    <w:basedOn w:val="a"/>
    <w:uiPriority w:val="34"/>
    <w:qFormat/>
    <w:rsid w:val="00D5105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yu</cp:lastModifiedBy>
  <cp:revision>1</cp:revision>
  <dcterms:created xsi:type="dcterms:W3CDTF">2018-06-19T11:17:00Z</dcterms:created>
  <dcterms:modified xsi:type="dcterms:W3CDTF">2018-06-19T11:17:00Z</dcterms:modified>
</cp:coreProperties>
</file>