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92F" w:rsidRDefault="009E792F" w:rsidP="009E792F">
      <w:pPr>
        <w:pStyle w:val="4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 </w:t>
      </w:r>
      <w:r>
        <w:rPr>
          <w:rFonts w:ascii="Times New Roman" w:hAnsi="Times New Roman"/>
          <w:szCs w:val="21"/>
        </w:rPr>
        <w:t>塑胶制造企业安全风险清单</w:t>
      </w:r>
      <w:bookmarkStart w:id="0" w:name="_GoBack"/>
      <w:bookmarkEnd w:id="0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841"/>
        <w:gridCol w:w="1560"/>
        <w:gridCol w:w="1274"/>
        <w:gridCol w:w="5069"/>
        <w:gridCol w:w="2021"/>
        <w:gridCol w:w="1312"/>
      </w:tblGrid>
      <w:tr w:rsidR="009E792F" w:rsidTr="005233BA">
        <w:trPr>
          <w:tblHeader/>
        </w:trPr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序号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场所</w:t>
            </w:r>
            <w:r>
              <w:rPr>
                <w:rFonts w:ascii="Times New Roman" w:hAnsi="Times New Roman"/>
                <w:b/>
                <w:szCs w:val="21"/>
              </w:rPr>
              <w:t>/</w:t>
            </w:r>
            <w:r>
              <w:rPr>
                <w:rFonts w:ascii="Times New Roman" w:hAnsi="Times New Roman"/>
                <w:b/>
                <w:szCs w:val="21"/>
              </w:rPr>
              <w:t>环节</w:t>
            </w:r>
            <w:r>
              <w:rPr>
                <w:rFonts w:ascii="Times New Roman" w:hAnsi="Times New Roman"/>
                <w:b/>
                <w:szCs w:val="21"/>
              </w:rPr>
              <w:t>/</w:t>
            </w:r>
            <w:r>
              <w:rPr>
                <w:rFonts w:ascii="Times New Roman" w:hAnsi="Times New Roman"/>
                <w:b/>
                <w:szCs w:val="21"/>
              </w:rPr>
              <w:t>部位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较大危险因素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易发生的事故类型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主要防范措施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依据</w:t>
            </w: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责任人</w:t>
            </w:r>
          </w:p>
        </w:tc>
      </w:tr>
      <w:tr w:rsidR="009E792F" w:rsidTr="005233BA">
        <w:tc>
          <w:tcPr>
            <w:tcW w:w="13783" w:type="dxa"/>
            <w:gridSpan w:val="7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（一）混合</w:t>
            </w:r>
          </w:p>
        </w:tc>
      </w:tr>
      <w:tr w:rsidR="009E792F" w:rsidTr="005233BA"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混合、搅拌机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摩擦、碰撞火花和静电等因素，容易引起粉尘爆炸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其他爆炸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）爆炸性粉尘环境的应设置防爆电气装置。</w:t>
            </w:r>
          </w:p>
          <w:p w:rsidR="009E792F" w:rsidRDefault="009E792F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）应在混合、搅拌前设置金属磁选设备，并规范使用。</w:t>
            </w:r>
          </w:p>
          <w:p w:rsidR="009E792F" w:rsidRDefault="009E792F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）使用皮带、绞龙、刮板等输送设备时，应防止机械转动部位摩擦与碰撞，定期润滑，并采取防静电措施。</w:t>
            </w:r>
          </w:p>
          <w:p w:rsidR="009E792F" w:rsidRDefault="009E792F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）在产生静电危险的设备和管道环节，应有防静电接地措施。</w:t>
            </w:r>
          </w:p>
          <w:p w:rsidR="009E792F" w:rsidRDefault="009E792F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）混合、搅拌设备设施运行中应密闭，防止粉尘扩散。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）动火作业应执行审批程序。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参照《塑料制品加工企业职业安全卫生设计规定》（</w:t>
            </w:r>
            <w:r>
              <w:rPr>
                <w:rFonts w:ascii="Times New Roman" w:hAnsi="Times New Roman"/>
                <w:szCs w:val="21"/>
              </w:rPr>
              <w:t>QB1532</w:t>
            </w:r>
            <w:r>
              <w:rPr>
                <w:rFonts w:ascii="Times New Roman" w:hAnsi="Times New Roman"/>
                <w:szCs w:val="21"/>
              </w:rPr>
              <w:t>）</w:t>
            </w: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E792F" w:rsidTr="005233BA"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车间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车间粉尘扬起后引发爆炸，存在伤亡扩大的危险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其他爆炸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）应按爆炸性粉尘环境的要求对车间进行设计，应设泄爆口，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并达到相应</w:t>
            </w:r>
            <w:proofErr w:type="gramStart"/>
            <w:r>
              <w:rPr>
                <w:rFonts w:ascii="Times New Roman" w:hAnsi="Times New Roman"/>
                <w:szCs w:val="21"/>
              </w:rPr>
              <w:t>的泄爆面积</w:t>
            </w:r>
            <w:proofErr w:type="gramEnd"/>
            <w:r>
              <w:rPr>
                <w:rFonts w:ascii="Times New Roman" w:hAnsi="Times New Roman"/>
                <w:szCs w:val="21"/>
              </w:rPr>
              <w:t>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）禁止使用易燃材料作为易爆粉尘建筑结构。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）建立粉尘清扫制度，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应及时清扫附着在地面、墙体、设备等表面上的粉尘，防止粉尘堆积。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）禁止采用正压吹扫。易</w:t>
            </w:r>
            <w:proofErr w:type="gramStart"/>
            <w:r>
              <w:rPr>
                <w:rFonts w:ascii="Times New Roman" w:hAnsi="Times New Roman"/>
                <w:szCs w:val="21"/>
              </w:rPr>
              <w:t>产尘点</w:t>
            </w:r>
            <w:proofErr w:type="gramEnd"/>
            <w:r>
              <w:rPr>
                <w:rFonts w:ascii="Times New Roman" w:hAnsi="Times New Roman"/>
                <w:szCs w:val="21"/>
              </w:rPr>
              <w:t>应设置负压除尘措施，设置岗位粉尘扩散措施和爆炸应急处置方案。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）粉尘爆炸危险场所，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应采取防雷措施。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</w:t>
            </w:r>
            <w:r>
              <w:rPr>
                <w:rFonts w:ascii="Times New Roman" w:hAnsi="Times New Roman"/>
                <w:kern w:val="0"/>
                <w:szCs w:val="21"/>
              </w:rPr>
              <w:t>具有塑料粉尘爆炸危险场所的建筑物（按丙类火灾危险）与单多层民用建筑防火间距不小于</w:t>
            </w:r>
            <w:r>
              <w:rPr>
                <w:rFonts w:ascii="Times New Roman" w:hAnsi="Times New Roman"/>
                <w:kern w:val="0"/>
                <w:szCs w:val="21"/>
              </w:rPr>
              <w:t>10</w:t>
            </w:r>
            <w:r>
              <w:rPr>
                <w:rFonts w:ascii="Times New Roman" w:hAnsi="Times New Roman"/>
                <w:kern w:val="0"/>
                <w:szCs w:val="21"/>
              </w:rPr>
              <w:t>米；与二类高层民用建筑不小于</w:t>
            </w:r>
            <w:r>
              <w:rPr>
                <w:rFonts w:ascii="Times New Roman" w:hAnsi="Times New Roman"/>
                <w:kern w:val="0"/>
                <w:szCs w:val="21"/>
              </w:rPr>
              <w:t>15</w:t>
            </w:r>
            <w:r>
              <w:rPr>
                <w:rFonts w:ascii="Times New Roman" w:hAnsi="Times New Roman"/>
                <w:kern w:val="0"/>
                <w:szCs w:val="21"/>
              </w:rPr>
              <w:t>米，与一类高层民用建筑不小于</w:t>
            </w:r>
            <w:r>
              <w:rPr>
                <w:rFonts w:ascii="Times New Roman" w:hAnsi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/>
                <w:kern w:val="0"/>
                <w:szCs w:val="21"/>
              </w:rPr>
              <w:t>米。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参照《塑料制品加工企业职业安全卫生设计规定》（</w:t>
            </w:r>
            <w:r>
              <w:rPr>
                <w:rFonts w:ascii="Times New Roman" w:hAnsi="Times New Roman"/>
                <w:szCs w:val="21"/>
              </w:rPr>
              <w:t>QB1532</w:t>
            </w:r>
            <w:r>
              <w:rPr>
                <w:rFonts w:ascii="Times New Roman" w:hAnsi="Times New Roman"/>
                <w:szCs w:val="21"/>
              </w:rPr>
              <w:t>）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《建筑设计防火规范》（</w:t>
            </w:r>
            <w:r>
              <w:rPr>
                <w:rFonts w:ascii="Times New Roman" w:hAnsi="Times New Roman"/>
                <w:kern w:val="0"/>
                <w:szCs w:val="21"/>
              </w:rPr>
              <w:t>GB50016-2014</w:t>
            </w:r>
            <w:r>
              <w:rPr>
                <w:rFonts w:ascii="Times New Roman" w:hAnsi="Times New Roman"/>
                <w:kern w:val="0"/>
                <w:szCs w:val="21"/>
              </w:rPr>
              <w:t>）第</w:t>
            </w:r>
            <w:r>
              <w:rPr>
                <w:rFonts w:ascii="Times New Roman" w:hAnsi="Times New Roman"/>
                <w:kern w:val="0"/>
                <w:szCs w:val="21"/>
              </w:rPr>
              <w:t>3.4.1</w:t>
            </w:r>
            <w:r>
              <w:rPr>
                <w:rFonts w:ascii="Times New Roman" w:hAnsi="Times New Roman"/>
                <w:kern w:val="0"/>
                <w:szCs w:val="21"/>
              </w:rPr>
              <w:t>条</w:t>
            </w: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E792F" w:rsidTr="005233BA"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除尘系统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除尘系统未采取预防和控制粉尘爆炸措施，导致粉尘爆炸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其他爆炸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）除尘系统应按照粉尘爆炸特性采取预防和控制粉尘爆炸的措施，设置监控装置，选用降低爆炸危险的一种或多种防爆装置。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）除尘器应在负压状态下工作。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）除尘系统不得与带有可燃气体、高温气体、烟尘或其他工业气体的风管及设备连通。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）除尘系统的风管及除尘器不得有火花进入，风管内不出现厚度大于１</w:t>
            </w:r>
            <w:r>
              <w:rPr>
                <w:rFonts w:ascii="Times New Roman" w:hAnsi="Times New Roman"/>
                <w:szCs w:val="21"/>
              </w:rPr>
              <w:t>mm</w:t>
            </w:r>
            <w:r>
              <w:rPr>
                <w:rFonts w:ascii="Times New Roman" w:hAnsi="Times New Roman"/>
                <w:szCs w:val="21"/>
              </w:rPr>
              <w:t>积尘，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风管的设计风速按照风管内的粉尘浓度不大于爆炸下限的</w:t>
            </w:r>
            <w:r>
              <w:rPr>
                <w:rFonts w:ascii="Times New Roman" w:hAnsi="Times New Roman"/>
                <w:szCs w:val="21"/>
              </w:rPr>
              <w:t>25%</w:t>
            </w:r>
            <w:r>
              <w:rPr>
                <w:rFonts w:ascii="Times New Roman" w:hAnsi="Times New Roman"/>
                <w:szCs w:val="21"/>
              </w:rPr>
              <w:t>计算。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）干式除尘器</w:t>
            </w:r>
            <w:proofErr w:type="gramStart"/>
            <w:r>
              <w:rPr>
                <w:rFonts w:ascii="Times New Roman" w:hAnsi="Times New Roman"/>
                <w:szCs w:val="21"/>
              </w:rPr>
              <w:t>滤袋应采用</w:t>
            </w:r>
            <w:proofErr w:type="gramEnd"/>
            <w:r>
              <w:rPr>
                <w:rFonts w:ascii="Times New Roman" w:hAnsi="Times New Roman"/>
                <w:szCs w:val="21"/>
              </w:rPr>
              <w:t>阻燃及防静电滤料制作，运行工况应是连续卸灰、连续输灰。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《粉尘防爆安全规程》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GB15577</w:t>
            </w:r>
            <w:r>
              <w:rPr>
                <w:rFonts w:ascii="Times New Roman" w:hAnsi="Times New Roman"/>
                <w:szCs w:val="21"/>
              </w:rPr>
              <w:t>）</w:t>
            </w: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E792F" w:rsidTr="005233BA">
        <w:tc>
          <w:tcPr>
            <w:tcW w:w="13783" w:type="dxa"/>
            <w:gridSpan w:val="7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（二）涂装</w:t>
            </w:r>
          </w:p>
        </w:tc>
      </w:tr>
      <w:tr w:rsidR="009E792F" w:rsidTr="005233BA"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涂装机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）通风降温系统运转不良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）产生粉尘、毒物危害的生产工艺与设备未密闭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中毒和窒息</w:t>
            </w:r>
          </w:p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其他爆炸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）喷漆或涂胶作业，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应在完全封闭或半封闭的，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具有良好机械通风的喷漆间或专门区域内进行。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）产生粉尘、毒物危害的生产工艺与设备宜采取密闭（整体密闭、局部密闭或小室密闭）方式，不能密闭时，应设置局部排风罩。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）当尘、毒危害在技术上较难控制时，宜采取以下措施：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/>
                <w:szCs w:val="21"/>
              </w:rPr>
              <w:t>）设置密闭操作室，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应保证作业场所新风量不少于</w:t>
            </w:r>
            <w:r>
              <w:rPr>
                <w:rFonts w:ascii="Times New Roman" w:hAnsi="Times New Roman"/>
                <w:szCs w:val="21"/>
              </w:rPr>
              <w:lastRenderedPageBreak/>
              <w:t>每人</w:t>
            </w:r>
            <w:r>
              <w:rPr>
                <w:rFonts w:ascii="Times New Roman" w:hAnsi="Times New Roman"/>
                <w:szCs w:val="21"/>
              </w:rPr>
              <w:t>30m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/h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/>
                <w:szCs w:val="21"/>
              </w:rPr>
              <w:t>）使用个人防护用品；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Fonts w:ascii="Times New Roman" w:hAnsi="Times New Roman"/>
                <w:szCs w:val="21"/>
              </w:rPr>
              <w:t>）工作岗位送新风，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其新风入口应设置在空气清洁区，新风直接送至工作地点。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参照《木器涂装职业安全健康要求》（</w:t>
            </w:r>
            <w:r>
              <w:rPr>
                <w:rFonts w:ascii="Times New Roman" w:hAnsi="Times New Roman"/>
                <w:szCs w:val="21"/>
              </w:rPr>
              <w:t>AQ5217</w:t>
            </w:r>
            <w:r>
              <w:rPr>
                <w:rFonts w:ascii="Times New Roman" w:hAnsi="Times New Roman"/>
                <w:szCs w:val="21"/>
              </w:rPr>
              <w:t>）</w:t>
            </w: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E792F" w:rsidTr="005233BA"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涂漆作业区域（</w:t>
            </w:r>
            <w:proofErr w:type="gramStart"/>
            <w:r>
              <w:rPr>
                <w:rFonts w:ascii="Times New Roman" w:hAnsi="Times New Roman"/>
                <w:szCs w:val="21"/>
              </w:rPr>
              <w:t>含临时</w:t>
            </w:r>
            <w:proofErr w:type="gramEnd"/>
            <w:r>
              <w:rPr>
                <w:rFonts w:ascii="Times New Roman" w:hAnsi="Times New Roman"/>
                <w:szCs w:val="21"/>
              </w:rPr>
              <w:t>作业场所）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电气设备不符合防爆要求，火花引燃易爆气体而产生爆炸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其他爆炸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）应准确划分危险区域，并严格控制作业区域内有机溶剂的浓度。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）爆炸危险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区、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区严格按照电气整体防爆要求设置，并安装报警装置，该装置应与自动灭火系统</w:t>
            </w:r>
            <w:proofErr w:type="gramStart"/>
            <w:r>
              <w:rPr>
                <w:rFonts w:ascii="Times New Roman" w:hAnsi="Times New Roman"/>
                <w:szCs w:val="21"/>
              </w:rPr>
              <w:t>联锁</w:t>
            </w:r>
            <w:proofErr w:type="gramEnd"/>
            <w:r>
              <w:rPr>
                <w:rFonts w:ascii="Times New Roman" w:hAnsi="Times New Roman"/>
                <w:szCs w:val="21"/>
              </w:rPr>
              <w:t>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）临时喷漆场所周围电气设备应符合防爆要求，与明火和其他电气设备的安全间距不得小于</w:t>
            </w:r>
            <w:r>
              <w:rPr>
                <w:rFonts w:ascii="Times New Roman" w:hAnsi="Times New Roman"/>
                <w:szCs w:val="21"/>
              </w:rPr>
              <w:t>6m</w:t>
            </w:r>
            <w:r>
              <w:rPr>
                <w:rFonts w:ascii="Times New Roman" w:hAnsi="Times New Roman"/>
                <w:szCs w:val="21"/>
              </w:rPr>
              <w:t>，并设置警戒线和安全标志牌，周边不得存放易燃和可燃物质。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《涂装作业安全规程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涂漆工艺安全及其通风净化》（</w:t>
            </w:r>
            <w:r>
              <w:rPr>
                <w:rFonts w:ascii="Times New Roman" w:hAnsi="Times New Roman"/>
                <w:szCs w:val="21"/>
              </w:rPr>
              <w:t>GB6514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5.1.3.2-5.1.3.6</w:t>
            </w:r>
            <w:r>
              <w:rPr>
                <w:rFonts w:ascii="Times New Roman" w:hAnsi="Times New Roman"/>
                <w:szCs w:val="21"/>
              </w:rPr>
              <w:t>条</w:t>
            </w: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E792F" w:rsidTr="005233BA">
        <w:tc>
          <w:tcPr>
            <w:tcW w:w="13783" w:type="dxa"/>
            <w:gridSpan w:val="7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（三）空压机</w:t>
            </w:r>
          </w:p>
        </w:tc>
      </w:tr>
      <w:tr w:rsidR="009E792F" w:rsidTr="005233BA"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空压机周边环</w:t>
            </w:r>
          </w:p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境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空压机产生的高温气体引燃易燃易爆物质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而导致火灾和爆炸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其他爆炸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）空压机周边不得存放易燃、易爆物品。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）周边不得进行喷漆和铝镁磨削等作业。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E792F" w:rsidTr="005233BA"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空压机及管道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保护装置、安全阀、压力表失灵而导致压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力剧增引起爆炸，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或管道内积碳在高温高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压条件</w:t>
            </w:r>
            <w:proofErr w:type="gramEnd"/>
            <w:r>
              <w:rPr>
                <w:rFonts w:ascii="Times New Roman" w:hAnsi="Times New Roman"/>
                <w:szCs w:val="21"/>
              </w:rPr>
              <w:t>下引起</w:t>
            </w:r>
            <w:r>
              <w:rPr>
                <w:rFonts w:ascii="Times New Roman" w:hAnsi="Times New Roman"/>
                <w:szCs w:val="21"/>
              </w:rPr>
              <w:lastRenderedPageBreak/>
              <w:t>爆炸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其他爆炸</w:t>
            </w:r>
          </w:p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）安全阀、压力表定期校验，空压机压力联锁装置完好可靠。</w:t>
            </w:r>
          </w:p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）活塞式空压机与储罐间的止回阀、冷却器、油水分离器、</w:t>
            </w:r>
            <w:proofErr w:type="gramStart"/>
            <w:r>
              <w:rPr>
                <w:rFonts w:ascii="Times New Roman" w:hAnsi="Times New Roman"/>
                <w:szCs w:val="21"/>
              </w:rPr>
              <w:t>排空管</w:t>
            </w:r>
            <w:proofErr w:type="gramEnd"/>
            <w:r>
              <w:rPr>
                <w:rFonts w:ascii="Times New Roman" w:hAnsi="Times New Roman"/>
                <w:szCs w:val="21"/>
              </w:rPr>
              <w:t>应完好、有效。连接空压机及其储气罐间的管道应定期清扫，清除管道中残留的积碳。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E792F" w:rsidTr="005233BA">
        <w:tc>
          <w:tcPr>
            <w:tcW w:w="13783" w:type="dxa"/>
            <w:gridSpan w:val="7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（四）消防</w:t>
            </w:r>
          </w:p>
        </w:tc>
      </w:tr>
      <w:tr w:rsidR="009E792F" w:rsidTr="005233BA"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灭火器配置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发生火灾时，因灭火器配置不符合要求，使火灾爆炸危害扩大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其他爆炸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）应根据场所内的物质及其燃烧特性，以及可燃物数量、火灾蔓延速度、扑救难易程度等因素选择不同类型的灭火器。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）应根据灭火器的最大保护距离设置数量，并符合《建筑灭火器配置设计规范》（</w:t>
            </w:r>
            <w:r>
              <w:rPr>
                <w:rFonts w:ascii="Times New Roman" w:hAnsi="Times New Roman"/>
                <w:szCs w:val="21"/>
              </w:rPr>
              <w:t>GB50140)</w:t>
            </w:r>
            <w:r>
              <w:rPr>
                <w:rFonts w:ascii="Times New Roman" w:hAnsi="Times New Roman"/>
                <w:szCs w:val="21"/>
              </w:rPr>
              <w:t>的规定。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）应设置在明显、且便于取用的地点，并不得影响安全疏散。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《建筑灭火器配置设计规范》（</w:t>
            </w:r>
            <w:r>
              <w:rPr>
                <w:rFonts w:ascii="Times New Roman" w:hAnsi="Times New Roman"/>
                <w:szCs w:val="21"/>
              </w:rPr>
              <w:t>GB50140)</w:t>
            </w: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E792F" w:rsidTr="005233BA">
        <w:tc>
          <w:tcPr>
            <w:tcW w:w="706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安全出口设置</w:t>
            </w:r>
          </w:p>
        </w:tc>
        <w:tc>
          <w:tcPr>
            <w:tcW w:w="1560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安全出口设置不足或通道堵塞，紧急情况时人员无法及时疏散</w:t>
            </w:r>
          </w:p>
        </w:tc>
        <w:tc>
          <w:tcPr>
            <w:tcW w:w="1274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  <w:p w:rsidR="009E792F" w:rsidRDefault="009E792F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其他伤害</w:t>
            </w:r>
          </w:p>
        </w:tc>
        <w:tc>
          <w:tcPr>
            <w:tcW w:w="5069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）厂房任一点至最近安全出口的直线距离不应大于</w:t>
            </w:r>
            <w:r>
              <w:rPr>
                <w:rFonts w:ascii="Times New Roman" w:hAnsi="Times New Roman"/>
                <w:szCs w:val="21"/>
              </w:rPr>
              <w:t>GB50016-2014</w:t>
            </w:r>
            <w:r>
              <w:rPr>
                <w:rFonts w:ascii="Times New Roman" w:hAnsi="Times New Roman"/>
                <w:szCs w:val="21"/>
              </w:rPr>
              <w:t>表</w:t>
            </w:r>
            <w:r>
              <w:rPr>
                <w:rFonts w:ascii="Times New Roman" w:hAnsi="Times New Roman"/>
                <w:szCs w:val="21"/>
              </w:rPr>
              <w:t>3.7.4</w:t>
            </w:r>
            <w:r>
              <w:rPr>
                <w:rFonts w:ascii="Times New Roman" w:hAnsi="Times New Roman"/>
                <w:szCs w:val="21"/>
              </w:rPr>
              <w:t>的规定。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）每座仓库的安全出口应不少于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个，仓库内每个防火分区通向疏散走道、楼梯或室外的出口不宜少于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个。</w:t>
            </w:r>
          </w:p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）安全出口和消防通道保持畅通。</w:t>
            </w:r>
          </w:p>
        </w:tc>
        <w:tc>
          <w:tcPr>
            <w:tcW w:w="2021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《建筑设计防火规范》（</w:t>
            </w:r>
            <w:r>
              <w:rPr>
                <w:rFonts w:ascii="Times New Roman" w:hAnsi="Times New Roman"/>
                <w:szCs w:val="21"/>
              </w:rPr>
              <w:t>GB50016)</w:t>
            </w:r>
            <w:r>
              <w:rPr>
                <w:rFonts w:ascii="Times New Roman" w:hAnsi="Times New Roman"/>
                <w:szCs w:val="21"/>
              </w:rPr>
              <w:t>第</w:t>
            </w:r>
            <w:r>
              <w:rPr>
                <w:rFonts w:ascii="Times New Roman" w:hAnsi="Times New Roman"/>
                <w:szCs w:val="21"/>
              </w:rPr>
              <w:t>3.7.4</w:t>
            </w:r>
            <w:r>
              <w:rPr>
                <w:rFonts w:ascii="Times New Roman" w:hAnsi="Times New Roman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3.8.2</w:t>
            </w:r>
            <w:r>
              <w:rPr>
                <w:rFonts w:ascii="Times New Roman" w:hAnsi="Times New Roman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3.8.3</w:t>
            </w:r>
            <w:r>
              <w:rPr>
                <w:rFonts w:ascii="Times New Roman" w:hAnsi="Times New Roman"/>
                <w:szCs w:val="21"/>
              </w:rPr>
              <w:t>条</w:t>
            </w:r>
          </w:p>
        </w:tc>
        <w:tc>
          <w:tcPr>
            <w:tcW w:w="1312" w:type="dxa"/>
            <w:vAlign w:val="center"/>
          </w:tcPr>
          <w:p w:rsidR="009E792F" w:rsidRDefault="009E792F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</w:tbl>
    <w:p w:rsidR="009E792F" w:rsidRDefault="009E792F" w:rsidP="009E792F">
      <w:pPr>
        <w:pStyle w:val="4"/>
        <w:jc w:val="center"/>
        <w:rPr>
          <w:rFonts w:ascii="Times New Roman" w:hAnsi="Times New Roman"/>
          <w:szCs w:val="21"/>
        </w:rPr>
      </w:pPr>
    </w:p>
    <w:p w:rsidR="00105557" w:rsidRPr="009E792F" w:rsidRDefault="00105557" w:rsidP="009E792F"/>
    <w:sectPr w:rsidR="00105557" w:rsidRPr="009E792F" w:rsidSect="009E792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2F"/>
    <w:rsid w:val="00105557"/>
    <w:rsid w:val="00544A59"/>
    <w:rsid w:val="009E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DE9C63-86E0-4C02-B4AC-4D3AF145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92F"/>
    <w:pPr>
      <w:widowControl w:val="0"/>
      <w:jc w:val="both"/>
    </w:pPr>
    <w:rPr>
      <w:rFonts w:ascii="Calibri" w:eastAsia="宋体" w:hAnsi="Calibri" w:cs="Times New Roman"/>
    </w:rPr>
  </w:style>
  <w:style w:type="paragraph" w:styleId="4">
    <w:name w:val="heading 4"/>
    <w:basedOn w:val="a"/>
    <w:next w:val="a"/>
    <w:link w:val="4Char"/>
    <w:qFormat/>
    <w:rsid w:val="009E792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9E792F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9E79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1</cp:revision>
  <dcterms:created xsi:type="dcterms:W3CDTF">2018-06-19T11:15:00Z</dcterms:created>
  <dcterms:modified xsi:type="dcterms:W3CDTF">2018-06-19T11:16:00Z</dcterms:modified>
</cp:coreProperties>
</file>