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128" w:rsidRDefault="00B17128" w:rsidP="00B17128">
      <w:pPr>
        <w:pStyle w:val="a3"/>
        <w:spacing w:beforeLines="50" w:before="156"/>
        <w:outlineLvl w:val="3"/>
        <w:rPr>
          <w:rFonts w:ascii="Times New Roman" w:hAnsi="Times New Roman"/>
          <w:b/>
          <w:bCs/>
          <w:sz w:val="28"/>
          <w:szCs w:val="28"/>
        </w:rPr>
      </w:pPr>
      <w:bookmarkStart w:id="0" w:name="_GoBack"/>
      <w:r>
        <w:rPr>
          <w:rFonts w:ascii="Times New Roman" w:hAnsi="Times New Roman"/>
          <w:b/>
          <w:bCs/>
          <w:sz w:val="28"/>
          <w:szCs w:val="28"/>
        </w:rPr>
        <w:t xml:space="preserve">2 </w:t>
      </w:r>
      <w:r>
        <w:rPr>
          <w:rFonts w:ascii="Times New Roman" w:hAnsi="Times New Roman"/>
          <w:b/>
          <w:bCs/>
          <w:sz w:val="28"/>
          <w:szCs w:val="28"/>
        </w:rPr>
        <w:t>加油站安全风险清单</w:t>
      </w:r>
      <w:bookmarkEnd w:id="0"/>
    </w:p>
    <w:tbl>
      <w:tblPr>
        <w:tblW w:w="0" w:type="auto"/>
        <w:tblInd w:w="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1"/>
        <w:gridCol w:w="1645"/>
        <w:gridCol w:w="1757"/>
        <w:gridCol w:w="1344"/>
        <w:gridCol w:w="5034"/>
        <w:gridCol w:w="1985"/>
        <w:gridCol w:w="1276"/>
      </w:tblGrid>
      <w:tr w:rsidR="00B17128" w:rsidTr="005233BA">
        <w:trPr>
          <w:tblHeader/>
        </w:trPr>
        <w:tc>
          <w:tcPr>
            <w:tcW w:w="681" w:type="dxa"/>
            <w:vAlign w:val="center"/>
          </w:tcPr>
          <w:p w:rsidR="00B17128" w:rsidRDefault="00B17128" w:rsidP="005233BA">
            <w:pPr>
              <w:pStyle w:val="a4"/>
              <w:ind w:firstLineChars="0" w:firstLine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序号</w:t>
            </w:r>
          </w:p>
        </w:tc>
        <w:tc>
          <w:tcPr>
            <w:tcW w:w="1645" w:type="dxa"/>
            <w:vAlign w:val="center"/>
          </w:tcPr>
          <w:p w:rsidR="00B17128" w:rsidRDefault="00B17128" w:rsidP="005233BA">
            <w:pPr>
              <w:pStyle w:val="a4"/>
              <w:ind w:firstLineChars="0" w:firstLine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场所</w:t>
            </w:r>
            <w:r>
              <w:rPr>
                <w:rFonts w:ascii="Times New Roman" w:hAnsi="Times New Roman"/>
                <w:b/>
              </w:rPr>
              <w:t>/</w:t>
            </w:r>
            <w:r>
              <w:rPr>
                <w:rFonts w:ascii="Times New Roman" w:hAnsi="Times New Roman"/>
                <w:b/>
              </w:rPr>
              <w:t>环节</w:t>
            </w:r>
            <w:r>
              <w:rPr>
                <w:rFonts w:ascii="Times New Roman" w:hAnsi="Times New Roman"/>
                <w:b/>
              </w:rPr>
              <w:t>/</w:t>
            </w:r>
            <w:r>
              <w:rPr>
                <w:rFonts w:ascii="Times New Roman" w:hAnsi="Times New Roman"/>
                <w:b/>
              </w:rPr>
              <w:t>部位</w:t>
            </w:r>
          </w:p>
        </w:tc>
        <w:tc>
          <w:tcPr>
            <w:tcW w:w="1757" w:type="dxa"/>
            <w:vAlign w:val="center"/>
          </w:tcPr>
          <w:p w:rsidR="00B17128" w:rsidRDefault="00B17128" w:rsidP="005233BA">
            <w:pPr>
              <w:pStyle w:val="a4"/>
              <w:ind w:firstLineChars="0" w:firstLine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较大危险因素</w:t>
            </w:r>
          </w:p>
        </w:tc>
        <w:tc>
          <w:tcPr>
            <w:tcW w:w="1344" w:type="dxa"/>
            <w:vAlign w:val="center"/>
          </w:tcPr>
          <w:p w:rsidR="00B17128" w:rsidRDefault="00B17128" w:rsidP="005233BA">
            <w:pPr>
              <w:pStyle w:val="a4"/>
              <w:ind w:firstLineChars="0" w:firstLine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易发生的事故类型</w:t>
            </w:r>
          </w:p>
        </w:tc>
        <w:tc>
          <w:tcPr>
            <w:tcW w:w="5034" w:type="dxa"/>
            <w:vAlign w:val="center"/>
          </w:tcPr>
          <w:p w:rsidR="00B17128" w:rsidRDefault="00B17128" w:rsidP="005233BA">
            <w:pPr>
              <w:pStyle w:val="a4"/>
              <w:ind w:firstLineChars="0" w:firstLine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主要防范措施</w:t>
            </w:r>
          </w:p>
        </w:tc>
        <w:tc>
          <w:tcPr>
            <w:tcW w:w="1985" w:type="dxa"/>
            <w:vAlign w:val="center"/>
          </w:tcPr>
          <w:p w:rsidR="00B17128" w:rsidRDefault="00B17128" w:rsidP="005233BA">
            <w:pPr>
              <w:pStyle w:val="a4"/>
              <w:ind w:firstLineChars="0" w:firstLine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依据</w:t>
            </w:r>
          </w:p>
        </w:tc>
        <w:tc>
          <w:tcPr>
            <w:tcW w:w="1276" w:type="dxa"/>
            <w:vAlign w:val="center"/>
          </w:tcPr>
          <w:p w:rsidR="00B17128" w:rsidRDefault="00B17128" w:rsidP="005233BA">
            <w:pPr>
              <w:pStyle w:val="a4"/>
              <w:ind w:firstLineChars="0" w:firstLine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责任人</w:t>
            </w:r>
          </w:p>
        </w:tc>
      </w:tr>
      <w:tr w:rsidR="00B17128" w:rsidTr="005233BA">
        <w:tc>
          <w:tcPr>
            <w:tcW w:w="13722" w:type="dxa"/>
            <w:gridSpan w:val="7"/>
            <w:vAlign w:val="center"/>
          </w:tcPr>
          <w:p w:rsidR="00B17128" w:rsidRDefault="00B17128" w:rsidP="005233BA">
            <w:pPr>
              <w:pStyle w:val="a4"/>
              <w:ind w:firstLineChars="0" w:firstLine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（一）储罐区</w:t>
            </w:r>
          </w:p>
        </w:tc>
      </w:tr>
      <w:tr w:rsidR="00B17128" w:rsidTr="005233BA">
        <w:tc>
          <w:tcPr>
            <w:tcW w:w="681" w:type="dxa"/>
            <w:vAlign w:val="center"/>
          </w:tcPr>
          <w:p w:rsidR="00B17128" w:rsidRDefault="00B17128" w:rsidP="005233BA">
            <w:pPr>
              <w:pStyle w:val="a4"/>
              <w:ind w:firstLineChars="0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645" w:type="dxa"/>
            <w:vAlign w:val="center"/>
          </w:tcPr>
          <w:p w:rsidR="00B17128" w:rsidRDefault="00B17128" w:rsidP="005233BA">
            <w:pPr>
              <w:pStyle w:val="a4"/>
              <w:ind w:firstLineChars="0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埋地油罐</w:t>
            </w:r>
          </w:p>
        </w:tc>
        <w:tc>
          <w:tcPr>
            <w:tcW w:w="1757" w:type="dxa"/>
            <w:vAlign w:val="center"/>
          </w:tcPr>
          <w:p w:rsidR="00B17128" w:rsidRDefault="00B17128" w:rsidP="005233BA">
            <w:pPr>
              <w:pStyle w:val="a4"/>
              <w:ind w:firstLineChars="0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检维修过程中，油罐内可燃有毒气体导致爆炸和人员窒息。</w:t>
            </w:r>
          </w:p>
        </w:tc>
        <w:tc>
          <w:tcPr>
            <w:tcW w:w="1344" w:type="dxa"/>
            <w:vAlign w:val="center"/>
          </w:tcPr>
          <w:p w:rsidR="00B17128" w:rsidRDefault="00B17128" w:rsidP="005233BA">
            <w:pPr>
              <w:pStyle w:val="a4"/>
              <w:ind w:firstLineChars="0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火灾爆炸</w:t>
            </w:r>
          </w:p>
          <w:p w:rsidR="00B17128" w:rsidRDefault="00B17128" w:rsidP="005233BA">
            <w:pPr>
              <w:pStyle w:val="a4"/>
              <w:ind w:firstLineChars="0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中毒和窒息</w:t>
            </w:r>
          </w:p>
        </w:tc>
        <w:tc>
          <w:tcPr>
            <w:tcW w:w="5034" w:type="dxa"/>
            <w:vAlign w:val="center"/>
          </w:tcPr>
          <w:p w:rsidR="00B17128" w:rsidRDefault="00B17128" w:rsidP="005233BA">
            <w:pPr>
              <w:pStyle w:val="a4"/>
              <w:ind w:firstLineChars="0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（</w:t>
            </w:r>
            <w:r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）油罐区杂草未及时清理。</w:t>
            </w:r>
          </w:p>
          <w:p w:rsidR="00B17128" w:rsidRDefault="00B17128" w:rsidP="005233BA">
            <w:pPr>
              <w:pStyle w:val="a4"/>
              <w:ind w:firstLineChars="0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（</w:t>
            </w:r>
            <w:r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）严格履行作业审批手续。</w:t>
            </w:r>
          </w:p>
          <w:p w:rsidR="00B17128" w:rsidRDefault="00B17128" w:rsidP="005233BA">
            <w:pPr>
              <w:pStyle w:val="a4"/>
              <w:ind w:firstLineChars="0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（</w:t>
            </w:r>
            <w:r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）检维修过程中应严格遵守</w:t>
            </w:r>
            <w:r>
              <w:rPr>
                <w:rFonts w:ascii="Times New Roman" w:hAnsi="Times New Roman"/>
              </w:rPr>
              <w:t>“</w:t>
            </w:r>
            <w:r>
              <w:rPr>
                <w:rFonts w:ascii="Times New Roman" w:hAnsi="Times New Roman"/>
              </w:rPr>
              <w:t>先通风、再检测、后作业</w:t>
            </w:r>
            <w:r>
              <w:rPr>
                <w:rFonts w:ascii="Times New Roman" w:hAnsi="Times New Roman"/>
              </w:rPr>
              <w:t>”</w:t>
            </w:r>
            <w:r>
              <w:rPr>
                <w:rFonts w:ascii="Times New Roman" w:hAnsi="Times New Roman"/>
              </w:rPr>
              <w:t>的程序，必须对氧浓度、有毒有害气体（如一氧化碳、硫化氢等）浓度进行检测，确保安全后方可作业。</w:t>
            </w:r>
          </w:p>
          <w:p w:rsidR="00B17128" w:rsidRDefault="00B17128" w:rsidP="005233BA">
            <w:pPr>
              <w:pStyle w:val="a4"/>
              <w:ind w:firstLineChars="0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（</w:t>
            </w:r>
            <w:r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>）入罐作业人员必须戴隔离式呼吸面具等防护</w:t>
            </w:r>
            <w:proofErr w:type="gramStart"/>
            <w:r>
              <w:rPr>
                <w:rFonts w:ascii="Times New Roman" w:hAnsi="Times New Roman"/>
              </w:rPr>
              <w:t>服才能</w:t>
            </w:r>
            <w:proofErr w:type="gramEnd"/>
            <w:r>
              <w:rPr>
                <w:rFonts w:ascii="Times New Roman" w:hAnsi="Times New Roman"/>
              </w:rPr>
              <w:t>工作。配备现场监护人员。</w:t>
            </w:r>
          </w:p>
          <w:p w:rsidR="00B17128" w:rsidRDefault="00B17128" w:rsidP="005233BA">
            <w:pPr>
              <w:pStyle w:val="a4"/>
              <w:ind w:firstLineChars="0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（</w:t>
            </w:r>
            <w:r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>）在油罐内清除油污时，应使用防爆工具，也可用竹扫帚、木制刮板等。</w:t>
            </w:r>
          </w:p>
          <w:p w:rsidR="00B17128" w:rsidRDefault="00B17128" w:rsidP="005233BA">
            <w:pPr>
              <w:pStyle w:val="a4"/>
              <w:ind w:firstLineChars="0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（</w:t>
            </w:r>
            <w:r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>）作业现场设置安全警示标志，保持出入口畅通。</w:t>
            </w:r>
          </w:p>
          <w:p w:rsidR="00B17128" w:rsidRDefault="00B17128" w:rsidP="005233BA">
            <w:pPr>
              <w:pStyle w:val="a4"/>
              <w:ind w:firstLineChars="0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（</w:t>
            </w:r>
            <w:r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</w:rPr>
              <w:t>）定期进行防雷检测。</w:t>
            </w:r>
          </w:p>
          <w:p w:rsidR="00B17128" w:rsidRDefault="00B17128" w:rsidP="005233BA">
            <w:pPr>
              <w:pStyle w:val="a4"/>
              <w:ind w:firstLineChars="0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（</w:t>
            </w:r>
            <w:r>
              <w:rPr>
                <w:rFonts w:ascii="Times New Roman" w:hAnsi="Times New Roman"/>
              </w:rPr>
              <w:t>8</w:t>
            </w:r>
            <w:r>
              <w:rPr>
                <w:rFonts w:ascii="Times New Roman" w:hAnsi="Times New Roman"/>
              </w:rPr>
              <w:t>）</w:t>
            </w:r>
            <w:proofErr w:type="gramStart"/>
            <w:r>
              <w:rPr>
                <w:rFonts w:ascii="Times New Roman" w:hAnsi="Times New Roman"/>
              </w:rPr>
              <w:t>油罐区液位</w:t>
            </w:r>
            <w:proofErr w:type="gramEnd"/>
            <w:r>
              <w:rPr>
                <w:rFonts w:ascii="Times New Roman" w:hAnsi="Times New Roman"/>
              </w:rPr>
              <w:t>报警装置齐全有效。</w:t>
            </w:r>
          </w:p>
        </w:tc>
        <w:tc>
          <w:tcPr>
            <w:tcW w:w="1985" w:type="dxa"/>
            <w:vAlign w:val="center"/>
          </w:tcPr>
          <w:p w:rsidR="00B17128" w:rsidRDefault="00B17128" w:rsidP="005233BA">
            <w:pPr>
              <w:pStyle w:val="a4"/>
              <w:ind w:firstLineChars="0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《汽车加油加气站设计与施工规范》（</w:t>
            </w:r>
            <w:r>
              <w:rPr>
                <w:rFonts w:ascii="Times New Roman" w:hAnsi="Times New Roman"/>
              </w:rPr>
              <w:t>GB50156-2014</w:t>
            </w:r>
            <w:r>
              <w:rPr>
                <w:rFonts w:ascii="Times New Roman" w:hAnsi="Times New Roman"/>
              </w:rPr>
              <w:t>）</w:t>
            </w:r>
          </w:p>
          <w:p w:rsidR="00B17128" w:rsidRDefault="00B17128" w:rsidP="005233BA">
            <w:pPr>
              <w:pStyle w:val="a4"/>
              <w:ind w:firstLineChars="0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《加油站作业安全规范》</w:t>
            </w:r>
            <w:r>
              <w:rPr>
                <w:rFonts w:ascii="Times New Roman" w:hAnsi="Times New Roman"/>
              </w:rPr>
              <w:t>(AQ3010-2007)</w:t>
            </w:r>
          </w:p>
        </w:tc>
        <w:tc>
          <w:tcPr>
            <w:tcW w:w="1276" w:type="dxa"/>
            <w:vAlign w:val="center"/>
          </w:tcPr>
          <w:p w:rsidR="00B17128" w:rsidRDefault="00B17128" w:rsidP="005233BA">
            <w:pPr>
              <w:pStyle w:val="a4"/>
              <w:ind w:firstLineChars="0" w:firstLine="0"/>
              <w:rPr>
                <w:rFonts w:ascii="Times New Roman" w:hAnsi="Times New Roman"/>
              </w:rPr>
            </w:pPr>
          </w:p>
        </w:tc>
      </w:tr>
      <w:tr w:rsidR="00B17128" w:rsidTr="005233BA">
        <w:tc>
          <w:tcPr>
            <w:tcW w:w="681" w:type="dxa"/>
            <w:vAlign w:val="center"/>
          </w:tcPr>
          <w:p w:rsidR="00B17128" w:rsidRDefault="00B17128" w:rsidP="005233BA">
            <w:pPr>
              <w:pStyle w:val="a4"/>
              <w:ind w:firstLineChars="0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645" w:type="dxa"/>
            <w:vAlign w:val="center"/>
          </w:tcPr>
          <w:p w:rsidR="00B17128" w:rsidRDefault="00B17128" w:rsidP="005233BA">
            <w:pPr>
              <w:pStyle w:val="a4"/>
              <w:ind w:firstLineChars="0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卸油操作</w:t>
            </w:r>
          </w:p>
        </w:tc>
        <w:tc>
          <w:tcPr>
            <w:tcW w:w="1757" w:type="dxa"/>
            <w:vAlign w:val="center"/>
          </w:tcPr>
          <w:p w:rsidR="00B17128" w:rsidRDefault="00B17128" w:rsidP="005233BA">
            <w:pPr>
              <w:pStyle w:val="a4"/>
              <w:ind w:firstLineChars="0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（</w:t>
            </w:r>
            <w:r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）卸油操作过程中，由于静电积聚导致火灾爆炸事故发生</w:t>
            </w:r>
            <w:r>
              <w:rPr>
                <w:rFonts w:ascii="Times New Roman" w:hAnsi="Times New Roman"/>
              </w:rPr>
              <w:t>.</w:t>
            </w:r>
          </w:p>
          <w:p w:rsidR="00B17128" w:rsidRDefault="00B17128" w:rsidP="005233BA">
            <w:pPr>
              <w:pStyle w:val="a4"/>
              <w:ind w:firstLineChars="0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（</w:t>
            </w:r>
            <w:r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）卸油过程中员工未佩带防护用品，长时间接</w:t>
            </w:r>
            <w:r>
              <w:rPr>
                <w:rFonts w:ascii="Times New Roman" w:hAnsi="Times New Roman"/>
              </w:rPr>
              <w:lastRenderedPageBreak/>
              <w:t>触引起中毒窒息。</w:t>
            </w:r>
          </w:p>
        </w:tc>
        <w:tc>
          <w:tcPr>
            <w:tcW w:w="1344" w:type="dxa"/>
            <w:vAlign w:val="center"/>
          </w:tcPr>
          <w:p w:rsidR="00B17128" w:rsidRDefault="00B17128" w:rsidP="005233BA">
            <w:pPr>
              <w:pStyle w:val="a4"/>
              <w:ind w:firstLineChars="0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火灾爆炸</w:t>
            </w:r>
          </w:p>
          <w:p w:rsidR="00B17128" w:rsidRDefault="00B17128" w:rsidP="005233BA">
            <w:pPr>
              <w:pStyle w:val="a4"/>
              <w:ind w:firstLineChars="0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中毒和窒息</w:t>
            </w:r>
          </w:p>
        </w:tc>
        <w:tc>
          <w:tcPr>
            <w:tcW w:w="5034" w:type="dxa"/>
            <w:vAlign w:val="center"/>
          </w:tcPr>
          <w:p w:rsidR="00B17128" w:rsidRDefault="00B17128" w:rsidP="005233BA">
            <w:pPr>
              <w:pStyle w:val="a4"/>
              <w:ind w:firstLineChars="0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（</w:t>
            </w:r>
            <w:r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）制订加油站卸油作业安全操作规程并严格执行。</w:t>
            </w:r>
          </w:p>
          <w:p w:rsidR="00B17128" w:rsidRDefault="00B17128" w:rsidP="005233BA">
            <w:pPr>
              <w:pStyle w:val="a4"/>
              <w:ind w:firstLineChars="0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（</w:t>
            </w:r>
            <w:r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）油罐车进站后，作业人员应检查油罐车的安全设施是否齐全有效，检查合格后，引导油罐车进入卸油场地，接好静电接地，备好消防器材。</w:t>
            </w:r>
          </w:p>
          <w:p w:rsidR="00B17128" w:rsidRDefault="00B17128" w:rsidP="005233BA">
            <w:pPr>
              <w:pStyle w:val="a4"/>
              <w:ind w:firstLineChars="0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（</w:t>
            </w:r>
            <w:r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）油罐车熄火并静止</w:t>
            </w:r>
            <w:r>
              <w:rPr>
                <w:rFonts w:ascii="Times New Roman" w:hAnsi="Times New Roman"/>
              </w:rPr>
              <w:t>15</w:t>
            </w:r>
            <w:r>
              <w:rPr>
                <w:rFonts w:ascii="Times New Roman" w:hAnsi="Times New Roman"/>
              </w:rPr>
              <w:t>分钟后，作业人员方可计量验收作业。</w:t>
            </w:r>
          </w:p>
          <w:p w:rsidR="00B17128" w:rsidRDefault="00B17128" w:rsidP="005233BA">
            <w:pPr>
              <w:pStyle w:val="a4"/>
              <w:ind w:firstLineChars="0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（</w:t>
            </w:r>
            <w:r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>）核对接卸油品的品种、牌号与油罐储存的油品品</w:t>
            </w:r>
            <w:r>
              <w:rPr>
                <w:rFonts w:ascii="Times New Roman" w:hAnsi="Times New Roman"/>
              </w:rPr>
              <w:lastRenderedPageBreak/>
              <w:t>种、牌号一致后，连接卸油胶管，卸油快速接头应连接紧固，胶管保持自然弯曲。</w:t>
            </w:r>
          </w:p>
          <w:p w:rsidR="00B17128" w:rsidRDefault="00B17128" w:rsidP="005233BA">
            <w:pPr>
              <w:pStyle w:val="a4"/>
              <w:ind w:firstLineChars="0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（</w:t>
            </w:r>
            <w:r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>）卸油过程中，加油站接卸人员与司机必须同时在现场进行监护。</w:t>
            </w:r>
          </w:p>
          <w:p w:rsidR="00B17128" w:rsidRDefault="00B17128" w:rsidP="005233BA">
            <w:pPr>
              <w:pStyle w:val="a4"/>
              <w:ind w:firstLineChars="0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（</w:t>
            </w:r>
            <w:r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>）核对接卸油品的品种、牌号与油罐储存的油品品种、牌号一致后，连接卸油胶管，卸油快速接头应连接紧固，胶管保持自然弯曲。</w:t>
            </w:r>
          </w:p>
          <w:p w:rsidR="00B17128" w:rsidRDefault="00B17128" w:rsidP="005233BA">
            <w:pPr>
              <w:pStyle w:val="a4"/>
              <w:ind w:firstLineChars="0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（</w:t>
            </w:r>
            <w:r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</w:rPr>
              <w:t>）雷雨</w:t>
            </w:r>
            <w:proofErr w:type="gramStart"/>
            <w:r>
              <w:rPr>
                <w:rFonts w:ascii="Times New Roman" w:hAnsi="Times New Roman"/>
              </w:rPr>
              <w:t>天不得</w:t>
            </w:r>
            <w:proofErr w:type="gramEnd"/>
            <w:r>
              <w:rPr>
                <w:rFonts w:ascii="Times New Roman" w:hAnsi="Times New Roman"/>
              </w:rPr>
              <w:t>进行卸油作业。</w:t>
            </w:r>
          </w:p>
        </w:tc>
        <w:tc>
          <w:tcPr>
            <w:tcW w:w="1985" w:type="dxa"/>
            <w:vAlign w:val="center"/>
          </w:tcPr>
          <w:p w:rsidR="00B17128" w:rsidRDefault="00B17128" w:rsidP="005233BA">
            <w:pPr>
              <w:pStyle w:val="a4"/>
              <w:ind w:firstLineChars="0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《汽车加油加气站设计与施工规范》（</w:t>
            </w:r>
            <w:r>
              <w:rPr>
                <w:rFonts w:ascii="Times New Roman" w:hAnsi="Times New Roman"/>
              </w:rPr>
              <w:t>GB50156-2014</w:t>
            </w:r>
            <w:r>
              <w:rPr>
                <w:rFonts w:ascii="Times New Roman" w:hAnsi="Times New Roman"/>
              </w:rPr>
              <w:t>）</w:t>
            </w:r>
          </w:p>
          <w:p w:rsidR="00B17128" w:rsidRDefault="00B17128" w:rsidP="005233BA">
            <w:pPr>
              <w:pStyle w:val="a4"/>
              <w:ind w:firstLineChars="0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《加油站作业安全规范》</w:t>
            </w:r>
            <w:r>
              <w:rPr>
                <w:rFonts w:ascii="Times New Roman" w:hAnsi="Times New Roman"/>
              </w:rPr>
              <w:t>(AQ3010-2007)</w:t>
            </w:r>
          </w:p>
        </w:tc>
        <w:tc>
          <w:tcPr>
            <w:tcW w:w="1276" w:type="dxa"/>
            <w:vAlign w:val="center"/>
          </w:tcPr>
          <w:p w:rsidR="00B17128" w:rsidRDefault="00B17128" w:rsidP="005233BA">
            <w:pPr>
              <w:pStyle w:val="a4"/>
              <w:ind w:firstLineChars="0" w:firstLine="0"/>
              <w:rPr>
                <w:rFonts w:ascii="Times New Roman" w:hAnsi="Times New Roman"/>
              </w:rPr>
            </w:pPr>
          </w:p>
        </w:tc>
      </w:tr>
      <w:tr w:rsidR="00B17128" w:rsidTr="005233BA">
        <w:tc>
          <w:tcPr>
            <w:tcW w:w="13722" w:type="dxa"/>
            <w:gridSpan w:val="7"/>
            <w:vAlign w:val="center"/>
          </w:tcPr>
          <w:p w:rsidR="00B17128" w:rsidRDefault="00B17128" w:rsidP="005233BA">
            <w:pPr>
              <w:pStyle w:val="a4"/>
              <w:ind w:firstLineChars="0" w:firstLine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（二）加油区及站房</w:t>
            </w:r>
          </w:p>
        </w:tc>
      </w:tr>
      <w:tr w:rsidR="00B17128" w:rsidTr="005233BA">
        <w:tc>
          <w:tcPr>
            <w:tcW w:w="681" w:type="dxa"/>
            <w:vAlign w:val="center"/>
          </w:tcPr>
          <w:p w:rsidR="00B17128" w:rsidRDefault="00B17128" w:rsidP="005233BA">
            <w:pPr>
              <w:pStyle w:val="a4"/>
              <w:ind w:firstLineChars="0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645" w:type="dxa"/>
            <w:vAlign w:val="center"/>
          </w:tcPr>
          <w:p w:rsidR="00B17128" w:rsidRDefault="00B17128" w:rsidP="005233BA">
            <w:pPr>
              <w:pStyle w:val="a4"/>
              <w:ind w:firstLineChars="0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加油机</w:t>
            </w:r>
          </w:p>
        </w:tc>
        <w:tc>
          <w:tcPr>
            <w:tcW w:w="1757" w:type="dxa"/>
            <w:vAlign w:val="center"/>
          </w:tcPr>
          <w:p w:rsidR="00B17128" w:rsidRDefault="00B17128" w:rsidP="005233BA">
            <w:pPr>
              <w:pStyle w:val="a4"/>
              <w:ind w:firstLineChars="0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加油机故障导致易燃易爆气体发生火灾爆炸。</w:t>
            </w:r>
          </w:p>
        </w:tc>
        <w:tc>
          <w:tcPr>
            <w:tcW w:w="1344" w:type="dxa"/>
            <w:vAlign w:val="center"/>
          </w:tcPr>
          <w:p w:rsidR="00B17128" w:rsidRDefault="00B17128" w:rsidP="005233BA">
            <w:pPr>
              <w:pStyle w:val="a4"/>
              <w:ind w:firstLineChars="0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火灾爆炸</w:t>
            </w:r>
          </w:p>
        </w:tc>
        <w:tc>
          <w:tcPr>
            <w:tcW w:w="5034" w:type="dxa"/>
            <w:vAlign w:val="center"/>
          </w:tcPr>
          <w:p w:rsidR="00B17128" w:rsidRDefault="00B17128" w:rsidP="005233BA">
            <w:pPr>
              <w:pStyle w:val="a4"/>
              <w:ind w:firstLineChars="0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（</w:t>
            </w:r>
            <w:r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）开展隐患排查治理；加强安全检查；确保设备设施完整性。</w:t>
            </w:r>
            <w:r>
              <w:rPr>
                <w:rFonts w:ascii="Times New Roman" w:hAnsi="Times New Roman"/>
              </w:rPr>
              <w:t xml:space="preserve"> </w:t>
            </w:r>
          </w:p>
          <w:p w:rsidR="00B17128" w:rsidRDefault="00B17128" w:rsidP="005233BA">
            <w:pPr>
              <w:pStyle w:val="a4"/>
              <w:ind w:firstLineChars="0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（</w:t>
            </w:r>
            <w:r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）加强泄漏应急准备，加强相关人员应急培训、演练，增强处理泄漏早期处置能力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和疏散能力。</w:t>
            </w:r>
            <w:r>
              <w:rPr>
                <w:rFonts w:ascii="Times New Roman" w:hAnsi="Times New Roman"/>
              </w:rPr>
              <w:t xml:space="preserve"> </w:t>
            </w:r>
          </w:p>
          <w:p w:rsidR="00B17128" w:rsidRDefault="00B17128" w:rsidP="005233BA">
            <w:pPr>
              <w:pStyle w:val="a4"/>
              <w:ind w:firstLineChars="0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（</w:t>
            </w:r>
            <w:r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）制定相应岗位的安全操作规程，加强对岗位人员的安全培训。</w:t>
            </w:r>
          </w:p>
        </w:tc>
        <w:tc>
          <w:tcPr>
            <w:tcW w:w="1985" w:type="dxa"/>
            <w:vAlign w:val="center"/>
          </w:tcPr>
          <w:p w:rsidR="00B17128" w:rsidRDefault="00B17128" w:rsidP="005233BA">
            <w:pPr>
              <w:pStyle w:val="a4"/>
              <w:ind w:firstLineChars="0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《加油站作业安全规范》</w:t>
            </w:r>
            <w:r>
              <w:rPr>
                <w:rFonts w:ascii="Times New Roman" w:hAnsi="Times New Roman"/>
              </w:rPr>
              <w:t>(AQ3010-2007)</w:t>
            </w:r>
          </w:p>
        </w:tc>
        <w:tc>
          <w:tcPr>
            <w:tcW w:w="1276" w:type="dxa"/>
            <w:vAlign w:val="center"/>
          </w:tcPr>
          <w:p w:rsidR="00B17128" w:rsidRDefault="00B17128" w:rsidP="005233BA">
            <w:pPr>
              <w:pStyle w:val="a4"/>
              <w:ind w:firstLineChars="0" w:firstLine="0"/>
              <w:rPr>
                <w:rFonts w:ascii="Times New Roman" w:hAnsi="Times New Roman"/>
              </w:rPr>
            </w:pPr>
          </w:p>
        </w:tc>
      </w:tr>
      <w:tr w:rsidR="00B17128" w:rsidTr="005233BA">
        <w:tc>
          <w:tcPr>
            <w:tcW w:w="681" w:type="dxa"/>
            <w:vAlign w:val="center"/>
          </w:tcPr>
          <w:p w:rsidR="00B17128" w:rsidRDefault="00B17128" w:rsidP="005233BA">
            <w:pPr>
              <w:pStyle w:val="a4"/>
              <w:ind w:firstLineChars="0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645" w:type="dxa"/>
            <w:vAlign w:val="center"/>
          </w:tcPr>
          <w:p w:rsidR="00B17128" w:rsidRDefault="00B17128" w:rsidP="005233BA">
            <w:pPr>
              <w:pStyle w:val="a4"/>
              <w:ind w:firstLineChars="0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加油车辆</w:t>
            </w:r>
          </w:p>
        </w:tc>
        <w:tc>
          <w:tcPr>
            <w:tcW w:w="1757" w:type="dxa"/>
            <w:vAlign w:val="center"/>
          </w:tcPr>
          <w:p w:rsidR="00B17128" w:rsidRDefault="00B17128" w:rsidP="005233BA">
            <w:pPr>
              <w:pStyle w:val="a4"/>
              <w:ind w:firstLineChars="0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加油车辆未熄火或加油人员静电引起易燃易爆气体发生火灾爆炸</w:t>
            </w:r>
          </w:p>
        </w:tc>
        <w:tc>
          <w:tcPr>
            <w:tcW w:w="1344" w:type="dxa"/>
            <w:vAlign w:val="center"/>
          </w:tcPr>
          <w:p w:rsidR="00B17128" w:rsidRDefault="00B17128" w:rsidP="005233BA">
            <w:pPr>
              <w:pStyle w:val="a4"/>
              <w:ind w:firstLineChars="0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火灾爆炸</w:t>
            </w:r>
          </w:p>
        </w:tc>
        <w:tc>
          <w:tcPr>
            <w:tcW w:w="5034" w:type="dxa"/>
            <w:vAlign w:val="center"/>
          </w:tcPr>
          <w:p w:rsidR="00B17128" w:rsidRDefault="00B17128" w:rsidP="005233BA">
            <w:pPr>
              <w:pStyle w:val="a4"/>
              <w:ind w:firstLineChars="0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（</w:t>
            </w:r>
            <w:r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）加油作业人员应穿戴防静电工作服。</w:t>
            </w:r>
          </w:p>
          <w:p w:rsidR="00B17128" w:rsidRDefault="00B17128" w:rsidP="005233BA">
            <w:pPr>
              <w:pStyle w:val="a4"/>
              <w:ind w:firstLineChars="0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（</w:t>
            </w:r>
            <w:r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）加油员在使用加油机前，应检查加油机运转是否正常及有无渗漏油品现象。并要保持加油机整洁。</w:t>
            </w:r>
          </w:p>
          <w:p w:rsidR="00B17128" w:rsidRDefault="00B17128" w:rsidP="005233BA">
            <w:pPr>
              <w:pStyle w:val="a4"/>
              <w:ind w:firstLineChars="0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（</w:t>
            </w:r>
            <w:r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）加油员在启动加油机之前，汽车必须熄火并打开油箱盖后方可启动加油机。</w:t>
            </w:r>
          </w:p>
          <w:p w:rsidR="00B17128" w:rsidRDefault="00B17128" w:rsidP="005233BA">
            <w:pPr>
              <w:pStyle w:val="a4"/>
              <w:ind w:firstLineChars="0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（</w:t>
            </w:r>
            <w:r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>）加油员加油时要精神集中严防油品洒冒。</w:t>
            </w:r>
          </w:p>
          <w:p w:rsidR="00B17128" w:rsidRDefault="00B17128" w:rsidP="005233BA">
            <w:pPr>
              <w:pStyle w:val="a4"/>
              <w:ind w:firstLineChars="0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（</w:t>
            </w:r>
            <w:r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>）操作加油机时要注意</w:t>
            </w:r>
            <w:proofErr w:type="gramStart"/>
            <w:r>
              <w:rPr>
                <w:rFonts w:ascii="Times New Roman" w:hAnsi="Times New Roman"/>
              </w:rPr>
              <w:t>油枪轻拿</w:t>
            </w:r>
            <w:proofErr w:type="gramEnd"/>
            <w:r>
              <w:rPr>
                <w:rFonts w:ascii="Times New Roman" w:hAnsi="Times New Roman"/>
              </w:rPr>
              <w:t>轻放，加油胶管不得拆扭，或强行拉长，</w:t>
            </w:r>
            <w:proofErr w:type="gramStart"/>
            <w:r>
              <w:rPr>
                <w:rFonts w:ascii="Times New Roman" w:hAnsi="Times New Roman"/>
              </w:rPr>
              <w:t>不得用油</w:t>
            </w:r>
            <w:proofErr w:type="gramEnd"/>
            <w:r>
              <w:rPr>
                <w:rFonts w:ascii="Times New Roman" w:hAnsi="Times New Roman"/>
              </w:rPr>
              <w:t>枪支撑身体，防止损坏设备。</w:t>
            </w:r>
          </w:p>
          <w:p w:rsidR="00B17128" w:rsidRDefault="00B17128" w:rsidP="005233BA">
            <w:pPr>
              <w:pStyle w:val="a4"/>
              <w:ind w:firstLineChars="0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（</w:t>
            </w:r>
            <w:r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>）摩托车加油需推离加油站再点火启动。</w:t>
            </w:r>
          </w:p>
        </w:tc>
        <w:tc>
          <w:tcPr>
            <w:tcW w:w="1985" w:type="dxa"/>
            <w:vAlign w:val="center"/>
          </w:tcPr>
          <w:p w:rsidR="00B17128" w:rsidRDefault="00B17128" w:rsidP="005233BA">
            <w:pPr>
              <w:pStyle w:val="a4"/>
              <w:ind w:firstLineChars="0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《加油站作业安全规范》</w:t>
            </w:r>
            <w:r>
              <w:rPr>
                <w:rFonts w:ascii="Times New Roman" w:hAnsi="Times New Roman"/>
              </w:rPr>
              <w:t>(AQ3010-2007)</w:t>
            </w:r>
          </w:p>
        </w:tc>
        <w:tc>
          <w:tcPr>
            <w:tcW w:w="1276" w:type="dxa"/>
            <w:vAlign w:val="center"/>
          </w:tcPr>
          <w:p w:rsidR="00B17128" w:rsidRDefault="00B17128" w:rsidP="005233BA">
            <w:pPr>
              <w:pStyle w:val="a4"/>
              <w:ind w:firstLineChars="0" w:firstLine="0"/>
              <w:rPr>
                <w:rFonts w:ascii="Times New Roman" w:hAnsi="Times New Roman"/>
              </w:rPr>
            </w:pPr>
          </w:p>
        </w:tc>
      </w:tr>
      <w:tr w:rsidR="00B17128" w:rsidTr="005233BA">
        <w:tc>
          <w:tcPr>
            <w:tcW w:w="681" w:type="dxa"/>
            <w:vAlign w:val="center"/>
          </w:tcPr>
          <w:p w:rsidR="00B17128" w:rsidRDefault="00B17128" w:rsidP="005233BA">
            <w:pPr>
              <w:pStyle w:val="a4"/>
              <w:ind w:firstLineChars="0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645" w:type="dxa"/>
            <w:vAlign w:val="center"/>
          </w:tcPr>
          <w:p w:rsidR="00B17128" w:rsidRDefault="00B17128" w:rsidP="005233BA">
            <w:pPr>
              <w:pStyle w:val="a4"/>
              <w:ind w:firstLineChars="0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站房</w:t>
            </w:r>
          </w:p>
        </w:tc>
        <w:tc>
          <w:tcPr>
            <w:tcW w:w="1757" w:type="dxa"/>
            <w:vAlign w:val="center"/>
          </w:tcPr>
          <w:p w:rsidR="00B17128" w:rsidRDefault="00B17128" w:rsidP="005233BA">
            <w:pPr>
              <w:pStyle w:val="a4"/>
              <w:ind w:firstLineChars="0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站房内电气线路发生短路或短路保护开关失灵；</w:t>
            </w:r>
          </w:p>
          <w:p w:rsidR="00B17128" w:rsidRDefault="00B17128" w:rsidP="005233BA">
            <w:pPr>
              <w:pStyle w:val="a4"/>
              <w:ind w:firstLineChars="0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可燃物质的燃烧，引发电气设备火灾等。</w:t>
            </w:r>
          </w:p>
        </w:tc>
        <w:tc>
          <w:tcPr>
            <w:tcW w:w="1344" w:type="dxa"/>
            <w:vAlign w:val="center"/>
          </w:tcPr>
          <w:p w:rsidR="00B17128" w:rsidRDefault="00B17128" w:rsidP="005233BA">
            <w:pPr>
              <w:pStyle w:val="a4"/>
              <w:ind w:firstLineChars="0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触电</w:t>
            </w:r>
          </w:p>
          <w:p w:rsidR="00B17128" w:rsidRDefault="00B17128" w:rsidP="005233BA">
            <w:pPr>
              <w:pStyle w:val="a4"/>
              <w:ind w:firstLineChars="0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火灾</w:t>
            </w:r>
          </w:p>
        </w:tc>
        <w:tc>
          <w:tcPr>
            <w:tcW w:w="5034" w:type="dxa"/>
            <w:vAlign w:val="center"/>
          </w:tcPr>
          <w:p w:rsidR="00B17128" w:rsidRDefault="00B17128" w:rsidP="005233BA">
            <w:pPr>
              <w:pStyle w:val="a4"/>
              <w:ind w:firstLineChars="0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（</w:t>
            </w:r>
            <w:r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）安装剩余电流动作保护装置并定期检测。</w:t>
            </w:r>
          </w:p>
          <w:p w:rsidR="00B17128" w:rsidRDefault="00B17128" w:rsidP="005233BA">
            <w:pPr>
              <w:pStyle w:val="a4"/>
              <w:ind w:firstLineChars="0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（</w:t>
            </w:r>
            <w:r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）站房内灭火器材齐全有效。</w:t>
            </w:r>
          </w:p>
          <w:p w:rsidR="00B17128" w:rsidRDefault="00B17128" w:rsidP="005233BA">
            <w:pPr>
              <w:pStyle w:val="a4"/>
              <w:ind w:firstLineChars="0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（</w:t>
            </w:r>
            <w:r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）开展定期检查，仓库内货物摆放齐整。</w:t>
            </w:r>
          </w:p>
        </w:tc>
        <w:tc>
          <w:tcPr>
            <w:tcW w:w="1985" w:type="dxa"/>
            <w:vAlign w:val="center"/>
          </w:tcPr>
          <w:p w:rsidR="00B17128" w:rsidRDefault="00B17128" w:rsidP="005233BA">
            <w:pPr>
              <w:pStyle w:val="a4"/>
              <w:ind w:firstLineChars="0" w:firstLine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vAlign w:val="center"/>
          </w:tcPr>
          <w:p w:rsidR="00B17128" w:rsidRDefault="00B17128" w:rsidP="005233BA">
            <w:pPr>
              <w:pStyle w:val="a4"/>
              <w:ind w:firstLineChars="0" w:firstLine="0"/>
              <w:rPr>
                <w:rFonts w:ascii="Times New Roman" w:hAnsi="Times New Roman"/>
              </w:rPr>
            </w:pPr>
          </w:p>
        </w:tc>
      </w:tr>
    </w:tbl>
    <w:p w:rsidR="00B17128" w:rsidRDefault="00B17128" w:rsidP="00B17128">
      <w:pPr>
        <w:rPr>
          <w:rFonts w:ascii="Times New Roman" w:hAnsi="Times New Roman"/>
          <w:szCs w:val="21"/>
        </w:rPr>
      </w:pPr>
    </w:p>
    <w:p w:rsidR="00B17128" w:rsidRDefault="00B17128" w:rsidP="00B17128">
      <w:pPr>
        <w:pStyle w:val="a3"/>
        <w:spacing w:beforeLines="50" w:before="156"/>
        <w:rPr>
          <w:rFonts w:ascii="Times New Roman" w:hAnsi="Times New Roman"/>
          <w:szCs w:val="21"/>
        </w:rPr>
      </w:pPr>
    </w:p>
    <w:p w:rsidR="00105557" w:rsidRPr="00B17128" w:rsidRDefault="00105557"/>
    <w:sectPr w:rsidR="00105557" w:rsidRPr="00B17128" w:rsidSect="00B17128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7128"/>
    <w:rsid w:val="00105557"/>
    <w:rsid w:val="00544A59"/>
    <w:rsid w:val="00B17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45291BB-7D4C-4433-8D94-2E263D99E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712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B17128"/>
    <w:pPr>
      <w:jc w:val="center"/>
    </w:pPr>
    <w:rPr>
      <w:rFonts w:ascii="Cambria" w:eastAsia="黑体" w:hAnsi="Cambria"/>
    </w:rPr>
  </w:style>
  <w:style w:type="paragraph" w:styleId="a4">
    <w:name w:val="List Paragraph"/>
    <w:basedOn w:val="a"/>
    <w:uiPriority w:val="34"/>
    <w:qFormat/>
    <w:rsid w:val="00B1712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207</Words>
  <Characters>1182</Characters>
  <Application>Microsoft Office Word</Application>
  <DocSecurity>0</DocSecurity>
  <Lines>9</Lines>
  <Paragraphs>2</Paragraphs>
  <ScaleCrop>false</ScaleCrop>
  <Company/>
  <LinksUpToDate>false</LinksUpToDate>
  <CharactersWithSpaces>1387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</dc:creator>
  <cp:keywords/>
  <dc:description/>
  <cp:lastModifiedBy>yu</cp:lastModifiedBy>
  <cp:revision>1</cp:revision>
  <dcterms:created xsi:type="dcterms:W3CDTF">2018-06-19T11:12:00Z</dcterms:created>
  <dcterms:modified xsi:type="dcterms:W3CDTF">2018-06-19T11:12:00Z</dcterms:modified>
</cp:coreProperties>
</file>