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dp" ContentType="image/vnd.ms-photo"/>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00B0F0"/>
  <w:body>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bookmarkStart w:id="47" w:name="_GoBack"/>
      <w:bookmarkEnd w:id="47"/>
    </w:p>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sectPr>
          <w:footerReference r:id="rId3" w:type="default"/>
          <w:pgSz w:w="11906" w:h="16838"/>
          <w:pgMar w:top="1440" w:right="1800" w:bottom="1440" w:left="1800" w:header="851" w:footer="992" w:gutter="0"/>
          <w:pgNumType w:fmt="numberInDash"/>
          <w:cols w:space="425" w:num="1"/>
          <w:docGrid w:type="lines" w:linePitch="312" w:charSpace="0"/>
        </w:sectPr>
      </w:pPr>
      <w:r>
        <w:rPr>
          <w:color w:val="262626" w:themeColor="text1" w:themeTint="D9"/>
          <w:sz w:val="24"/>
          <w14:textFill>
            <w14:solidFill>
              <w14:schemeClr w14:val="tx1">
                <w14:lumMod w14:val="85000"/>
                <w14:lumOff w14:val="15000"/>
              </w14:schemeClr>
            </w14:solidFill>
          </w14:textFill>
        </w:rPr>
        <mc:AlternateContent>
          <mc:Choice Requires="wps">
            <w:drawing>
              <wp:anchor distT="0" distB="0" distL="114300" distR="114300" simplePos="0" relativeHeight="251666432" behindDoc="0" locked="0" layoutInCell="1" allowOverlap="1">
                <wp:simplePos x="0" y="0"/>
                <wp:positionH relativeFrom="column">
                  <wp:posOffset>2214880</wp:posOffset>
                </wp:positionH>
                <wp:positionV relativeFrom="paragraph">
                  <wp:posOffset>389255</wp:posOffset>
                </wp:positionV>
                <wp:extent cx="914400" cy="6620510"/>
                <wp:effectExtent l="0" t="0" r="0" b="0"/>
                <wp:wrapNone/>
                <wp:docPr id="26" name="文本框 26"/>
                <wp:cNvGraphicFramePr/>
                <a:graphic xmlns:a="http://schemas.openxmlformats.org/drawingml/2006/main">
                  <a:graphicData uri="http://schemas.microsoft.com/office/word/2010/wordprocessingShape">
                    <wps:wsp>
                      <wps:cNvSpPr txBox="1"/>
                      <wps:spPr>
                        <a:xfrm>
                          <a:off x="1678305" y="1683385"/>
                          <a:ext cx="914400" cy="66205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pacing w:line="480" w:lineRule="auto"/>
                              <w:jc w:val="distribute"/>
                              <w:rPr>
                                <w:b/>
                                <w:bCs/>
                                <w:sz w:val="72"/>
                                <w:szCs w:val="72"/>
                              </w:rPr>
                            </w:pPr>
                            <w:r>
                              <w:rPr>
                                <w:rFonts w:hint="eastAsia"/>
                                <w:b/>
                                <w:bCs/>
                                <w:sz w:val="72"/>
                                <w:szCs w:val="72"/>
                              </w:rPr>
                              <w:t>有限空间作业管理档案汇编</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4.4pt;margin-top:30.65pt;height:521.3pt;width:72pt;z-index:251666432;mso-width-relative:page;mso-height-relative:page;" filled="f" stroked="f" coordsize="21600,21600" o:gfxdata="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sTycW2QAAAAsBAAAPAAAAAAAA&#10;AAEAIAAAACIAAABkcnMvZG93bnJldi54bWxQSwECFAAUAAAACACHTuJAwUj/fEoCAAB2BAAADgAA&#10;AAAAAAABACAAAAAoAQAAZHJzL2Uyb0RvYy54bWxQSwUGAAAAAAYABgBZAQAA5AUAAAAA&#10;">
                <v:fill on="f" focussize="0,0"/>
                <v:stroke on="f" weight="0.5pt"/>
                <v:imagedata o:title=""/>
                <o:lock v:ext="edit" aspectratio="f"/>
                <v:textbox style="layout-flow:vertical-ideographic;">
                  <w:txbxContent>
                    <w:p>
                      <w:pPr>
                        <w:spacing w:line="480" w:lineRule="auto"/>
                        <w:jc w:val="distribute"/>
                        <w:rPr>
                          <w:b/>
                          <w:bCs/>
                          <w:sz w:val="72"/>
                          <w:szCs w:val="72"/>
                        </w:rPr>
                      </w:pPr>
                      <w:r>
                        <w:rPr>
                          <w:rFonts w:hint="eastAsia"/>
                          <w:b/>
                          <w:bCs/>
                          <w:sz w:val="72"/>
                          <w:szCs w:val="72"/>
                        </w:rPr>
                        <w:t>有限空间作业管理档案汇编</w:t>
                      </w:r>
                    </w:p>
                  </w:txbxContent>
                </v:textbox>
              </v:shape>
            </w:pict>
          </mc:Fallback>
        </mc:AlternateContent>
      </w:r>
    </w:p>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p>
      <w:pPr>
        <w:spacing w:line="360" w:lineRule="auto"/>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sdt>
      <w:sdtPr>
        <w:rPr>
          <w:rFonts w:ascii="宋体" w:hAnsi="宋体" w:eastAsia="宋体"/>
          <w:b/>
          <w:bCs/>
          <w:color w:val="262626" w:themeColor="text1" w:themeTint="D9"/>
          <w:kern w:val="0"/>
          <w:sz w:val="32"/>
          <w:szCs w:val="32"/>
          <w14:textFill>
            <w14:solidFill>
              <w14:schemeClr w14:val="tx1">
                <w14:lumMod w14:val="85000"/>
                <w14:lumOff w14:val="15000"/>
              </w14:schemeClr>
            </w14:solidFill>
          </w14:textFill>
        </w:rPr>
        <w:id w:val="1459533670"/>
        <w15:color w:val="DBDBDB"/>
        <w:docPartObj>
          <w:docPartGallery w:val="Table of Contents"/>
          <w:docPartUnique/>
        </w:docPartObj>
      </w:sdtPr>
      <w:sdtEndPr>
        <w:rPr>
          <w:rFonts w:ascii="宋体" w:hAnsi="宋体" w:eastAsia="宋体"/>
          <w:b/>
          <w:bCs/>
          <w:color w:val="262626" w:themeColor="text1" w:themeTint="D9"/>
          <w:kern w:val="0"/>
          <w:sz w:val="24"/>
          <w:szCs w:val="24"/>
          <w14:textFill>
            <w14:solidFill>
              <w14:schemeClr w14:val="tx1">
                <w14:lumMod w14:val="85000"/>
                <w14:lumOff w14:val="15000"/>
              </w14:schemeClr>
            </w14:solidFill>
          </w14:textFill>
        </w:rPr>
      </w:sdtEndPr>
      <w:sdtContent>
        <w:p>
          <w:pPr>
            <w:jc w:val="center"/>
            <w:rPr>
              <w:rFonts w:ascii="宋体" w:hAnsi="宋体" w:eastAsia="宋体"/>
              <w:b/>
              <w:bCs/>
              <w:color w:val="262626" w:themeColor="text1" w:themeTint="D9"/>
              <w:sz w:val="32"/>
              <w:szCs w:val="32"/>
              <w14:textFill>
                <w14:solidFill>
                  <w14:schemeClr w14:val="tx1">
                    <w14:lumMod w14:val="85000"/>
                    <w14:lumOff w14:val="15000"/>
                  </w14:schemeClr>
                </w14:solidFill>
              </w14:textFill>
            </w:rPr>
          </w:pPr>
          <w:bookmarkStart w:id="0" w:name="_Toc16708_WPSOffice_Type1"/>
          <w:r>
            <w:rPr>
              <w:rFonts w:ascii="宋体" w:hAnsi="宋体" w:eastAsia="宋体"/>
              <w:b/>
              <w:bCs/>
              <w:color w:val="262626" w:themeColor="text1" w:themeTint="D9"/>
              <w:sz w:val="32"/>
              <w:szCs w:val="32"/>
              <w14:textFill>
                <w14:solidFill>
                  <w14:schemeClr w14:val="tx1">
                    <w14:lumMod w14:val="85000"/>
                    <w14:lumOff w14:val="15000"/>
                  </w14:schemeClr>
                </w14:solidFill>
              </w14:textFill>
            </w:rPr>
            <w:t>目录</w:t>
          </w:r>
        </w:p>
        <w:p>
          <w:pPr>
            <w:jc w:val="center"/>
            <w:rPr>
              <w:rFonts w:ascii="宋体" w:hAnsi="宋体" w:eastAsia="宋体"/>
              <w:color w:val="262626" w:themeColor="text1" w:themeTint="D9"/>
              <w14:textFill>
                <w14:solidFill>
                  <w14:schemeClr w14:val="tx1">
                    <w14:lumMod w14:val="85000"/>
                    <w14:lumOff w14:val="15000"/>
                  </w14:schemeClr>
                </w14:solidFill>
              </w14:textFill>
            </w:rPr>
          </w:pPr>
        </w:p>
        <w:p>
          <w:pPr>
            <w:pStyle w:val="56"/>
            <w:tabs>
              <w:tab w:val="right" w:leader="dot" w:pos="8306"/>
            </w:tabs>
            <w:spacing w:line="480" w:lineRule="auto"/>
            <w:rPr>
              <w:color w:val="262626" w:themeColor="text1" w:themeTint="D9"/>
              <w:sz w:val="24"/>
              <w:szCs w:val="24"/>
              <w14:textFill>
                <w14:solidFill>
                  <w14:schemeClr w14:val="tx1">
                    <w14:lumMod w14:val="85000"/>
                    <w14:lumOff w14:val="15000"/>
                  </w14:schemeClr>
                </w14:solidFill>
              </w14:textFill>
            </w:rPr>
          </w:pPr>
          <w:r>
            <w:fldChar w:fldCharType="begin"/>
          </w:r>
          <w:r>
            <w:instrText xml:space="preserve"> HYPERLINK \l "_Toc20605_WPSOffice_Level1" </w:instrText>
          </w:r>
          <w:r>
            <w:fldChar w:fldCharType="separate"/>
          </w:r>
          <w:sdt>
            <w:sdtPr>
              <w:rPr>
                <w:color w:val="262626" w:themeColor="text1" w:themeTint="D9"/>
                <w:kern w:val="2"/>
                <w:sz w:val="24"/>
                <w:szCs w:val="24"/>
                <w14:textFill>
                  <w14:solidFill>
                    <w14:schemeClr w14:val="tx1">
                      <w14:lumMod w14:val="85000"/>
                      <w14:lumOff w14:val="15000"/>
                    </w14:schemeClr>
                  </w14:solidFill>
                </w14:textFill>
              </w:rPr>
              <w:id w:val="147475401"/>
              <w:placeholder>
                <w:docPart w:val="{ebb8351d-3db0-45cf-88f7-c5d292b6fc17}"/>
              </w:placeholder>
              <w15:color w:val="509DF3"/>
            </w:sdtPr>
            <w:sdtEndPr>
              <w:rPr>
                <w:color w:val="262626" w:themeColor="text1" w:themeTint="D9"/>
                <w:kern w:val="2"/>
                <w:sz w:val="24"/>
                <w:szCs w:val="24"/>
                <w14:textFill>
                  <w14:solidFill>
                    <w14:schemeClr w14:val="tx1">
                      <w14:lumMod w14:val="85000"/>
                      <w14:lumOff w14:val="15000"/>
                    </w14:schemeClr>
                  </w14:solidFill>
                </w14:textFill>
              </w:rPr>
            </w:sdtEndPr>
            <w:sdtContent>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1、有限空间情况简介</w:t>
              </w:r>
            </w:sdtContent>
          </w:sdt>
          <w:r>
            <w:rPr>
              <w:color w:val="262626" w:themeColor="text1" w:themeTint="D9"/>
              <w:sz w:val="24"/>
              <w:szCs w:val="24"/>
              <w14:textFill>
                <w14:solidFill>
                  <w14:schemeClr w14:val="tx1">
                    <w14:lumMod w14:val="85000"/>
                    <w14:lumOff w14:val="15000"/>
                  </w14:schemeClr>
                </w14:solidFill>
              </w14:textFill>
            </w:rPr>
            <w:tab/>
          </w:r>
          <w:bookmarkStart w:id="1" w:name="_Toc20605_WPSOffice_Level1Page"/>
          <w:r>
            <w:rPr>
              <w:color w:val="262626" w:themeColor="text1" w:themeTint="D9"/>
              <w:sz w:val="24"/>
              <w:szCs w:val="24"/>
              <w14:textFill>
                <w14:solidFill>
                  <w14:schemeClr w14:val="tx1">
                    <w14:lumMod w14:val="85000"/>
                    <w14:lumOff w14:val="15000"/>
                  </w14:schemeClr>
                </w14:solidFill>
              </w14:textFill>
            </w:rPr>
            <w:t>2</w:t>
          </w:r>
          <w:bookmarkEnd w:id="1"/>
          <w:r>
            <w:rPr>
              <w:color w:val="262626" w:themeColor="text1" w:themeTint="D9"/>
              <w:sz w:val="24"/>
              <w:szCs w:val="24"/>
              <w14:textFill>
                <w14:solidFill>
                  <w14:schemeClr w14:val="tx1">
                    <w14:lumMod w14:val="85000"/>
                    <w14:lumOff w14:val="15000"/>
                  </w14:schemeClr>
                </w14:solidFill>
              </w14:textFill>
            </w:rPr>
            <w:fldChar w:fldCharType="end"/>
          </w:r>
        </w:p>
        <w:p>
          <w:pPr>
            <w:pStyle w:val="56"/>
            <w:tabs>
              <w:tab w:val="right" w:leader="dot" w:pos="8306"/>
            </w:tabs>
            <w:spacing w:line="480" w:lineRule="auto"/>
            <w:rPr>
              <w:color w:val="262626" w:themeColor="text1" w:themeTint="D9"/>
              <w:sz w:val="24"/>
              <w:szCs w:val="24"/>
              <w14:textFill>
                <w14:solidFill>
                  <w14:schemeClr w14:val="tx1">
                    <w14:lumMod w14:val="85000"/>
                    <w14:lumOff w14:val="15000"/>
                  </w14:schemeClr>
                </w14:solidFill>
              </w14:textFill>
            </w:rPr>
          </w:pPr>
          <w:r>
            <w:fldChar w:fldCharType="begin"/>
          </w:r>
          <w:r>
            <w:instrText xml:space="preserve"> HYPERLINK \l "_Toc16708_WPSOffice_Level1" </w:instrText>
          </w:r>
          <w:r>
            <w:fldChar w:fldCharType="separate"/>
          </w:r>
          <w:sdt>
            <w:sdtPr>
              <w:rPr>
                <w:color w:val="262626" w:themeColor="text1" w:themeTint="D9"/>
                <w:kern w:val="2"/>
                <w:sz w:val="24"/>
                <w:szCs w:val="24"/>
                <w14:textFill>
                  <w14:solidFill>
                    <w14:schemeClr w14:val="tx1">
                      <w14:lumMod w14:val="85000"/>
                      <w14:lumOff w14:val="15000"/>
                    </w14:schemeClr>
                  </w14:solidFill>
                </w14:textFill>
              </w:rPr>
              <w:id w:val="726264849"/>
              <w:placeholder>
                <w:docPart w:val="{2a253a6b-f97d-4904-aa41-90fff3696769}"/>
              </w:placeholder>
              <w15:color w:val="509DF3"/>
            </w:sdtPr>
            <w:sdtEndPr>
              <w:rPr>
                <w:color w:val="262626" w:themeColor="text1" w:themeTint="D9"/>
                <w:kern w:val="2"/>
                <w:sz w:val="24"/>
                <w:szCs w:val="24"/>
                <w14:textFill>
                  <w14:solidFill>
                    <w14:schemeClr w14:val="tx1">
                      <w14:lumMod w14:val="85000"/>
                      <w14:lumOff w14:val="15000"/>
                    </w14:schemeClr>
                  </w14:solidFill>
                </w14:textFill>
              </w:rPr>
            </w:sdtEndPr>
            <w:sdtContent>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2、本单位有限空间台账</w:t>
              </w:r>
            </w:sdtContent>
          </w:sdt>
          <w:r>
            <w:rPr>
              <w:color w:val="262626" w:themeColor="text1" w:themeTint="D9"/>
              <w:sz w:val="24"/>
              <w:szCs w:val="24"/>
              <w14:textFill>
                <w14:solidFill>
                  <w14:schemeClr w14:val="tx1">
                    <w14:lumMod w14:val="85000"/>
                    <w14:lumOff w14:val="15000"/>
                  </w14:schemeClr>
                </w14:solidFill>
              </w14:textFill>
            </w:rPr>
            <w:tab/>
          </w:r>
          <w:bookmarkStart w:id="2" w:name="_Toc16708_WPSOffice_Level1Page"/>
          <w:r>
            <w:rPr>
              <w:color w:val="262626" w:themeColor="text1" w:themeTint="D9"/>
              <w:sz w:val="24"/>
              <w:szCs w:val="24"/>
              <w14:textFill>
                <w14:solidFill>
                  <w14:schemeClr w14:val="tx1">
                    <w14:lumMod w14:val="85000"/>
                    <w14:lumOff w14:val="15000"/>
                  </w14:schemeClr>
                </w14:solidFill>
              </w14:textFill>
            </w:rPr>
            <w:t>3</w:t>
          </w:r>
          <w:bookmarkEnd w:id="2"/>
          <w:r>
            <w:rPr>
              <w:color w:val="262626" w:themeColor="text1" w:themeTint="D9"/>
              <w:sz w:val="24"/>
              <w:szCs w:val="24"/>
              <w14:textFill>
                <w14:solidFill>
                  <w14:schemeClr w14:val="tx1">
                    <w14:lumMod w14:val="85000"/>
                    <w14:lumOff w14:val="15000"/>
                  </w14:schemeClr>
                </w14:solidFill>
              </w14:textFill>
            </w:rPr>
            <w:fldChar w:fldCharType="end"/>
          </w:r>
        </w:p>
        <w:p>
          <w:pPr>
            <w:pStyle w:val="56"/>
            <w:tabs>
              <w:tab w:val="right" w:leader="dot" w:pos="8306"/>
            </w:tabs>
            <w:spacing w:line="480" w:lineRule="auto"/>
            <w:rPr>
              <w:color w:val="262626" w:themeColor="text1" w:themeTint="D9"/>
              <w:sz w:val="24"/>
              <w:szCs w:val="24"/>
              <w14:textFill>
                <w14:solidFill>
                  <w14:schemeClr w14:val="tx1">
                    <w14:lumMod w14:val="85000"/>
                    <w14:lumOff w14:val="15000"/>
                  </w14:schemeClr>
                </w14:solidFill>
              </w14:textFill>
            </w:rPr>
          </w:pPr>
          <w:r>
            <w:fldChar w:fldCharType="begin"/>
          </w:r>
          <w:r>
            <w:instrText xml:space="preserve"> HYPERLINK \l "_Toc16758_WPSOffice_Level1" </w:instrText>
          </w:r>
          <w:r>
            <w:fldChar w:fldCharType="separate"/>
          </w:r>
          <w:sdt>
            <w:sdtPr>
              <w:rPr>
                <w:color w:val="262626" w:themeColor="text1" w:themeTint="D9"/>
                <w:kern w:val="2"/>
                <w:sz w:val="24"/>
                <w:szCs w:val="24"/>
                <w14:textFill>
                  <w14:solidFill>
                    <w14:schemeClr w14:val="tx1">
                      <w14:lumMod w14:val="85000"/>
                      <w14:lumOff w14:val="15000"/>
                    </w14:schemeClr>
                  </w14:solidFill>
                </w14:textFill>
              </w:rPr>
              <w:id w:val="-1552377137"/>
              <w:placeholder>
                <w:docPart w:val="{d14bea42-4101-412a-b549-f276a9b7853c}"/>
              </w:placeholder>
              <w15:color w:val="509DF3"/>
            </w:sdtPr>
            <w:sdtEndPr>
              <w:rPr>
                <w:color w:val="262626" w:themeColor="text1" w:themeTint="D9"/>
                <w:kern w:val="2"/>
                <w:sz w:val="24"/>
                <w:szCs w:val="24"/>
                <w14:textFill>
                  <w14:solidFill>
                    <w14:schemeClr w14:val="tx1">
                      <w14:lumMod w14:val="85000"/>
                      <w14:lumOff w14:val="15000"/>
                    </w14:schemeClr>
                  </w14:solidFill>
                </w14:textFill>
              </w:rPr>
            </w:sdtEndPr>
            <w:sdtContent>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3、安全管理制度和操作规程</w:t>
              </w:r>
            </w:sdtContent>
          </w:sdt>
          <w:r>
            <w:rPr>
              <w:color w:val="262626" w:themeColor="text1" w:themeTint="D9"/>
              <w:sz w:val="24"/>
              <w:szCs w:val="24"/>
              <w14:textFill>
                <w14:solidFill>
                  <w14:schemeClr w14:val="tx1">
                    <w14:lumMod w14:val="85000"/>
                    <w14:lumOff w14:val="15000"/>
                  </w14:schemeClr>
                </w14:solidFill>
              </w14:textFill>
            </w:rPr>
            <w:tab/>
          </w:r>
          <w:bookmarkStart w:id="3" w:name="_Toc16758_WPSOffice_Level1Page"/>
          <w:r>
            <w:rPr>
              <w:color w:val="262626" w:themeColor="text1" w:themeTint="D9"/>
              <w:sz w:val="24"/>
              <w:szCs w:val="24"/>
              <w14:textFill>
                <w14:solidFill>
                  <w14:schemeClr w14:val="tx1">
                    <w14:lumMod w14:val="85000"/>
                    <w14:lumOff w14:val="15000"/>
                  </w14:schemeClr>
                </w14:solidFill>
              </w14:textFill>
            </w:rPr>
            <w:t>4</w:t>
          </w:r>
          <w:bookmarkEnd w:id="3"/>
          <w:r>
            <w:rPr>
              <w:color w:val="262626" w:themeColor="text1" w:themeTint="D9"/>
              <w:sz w:val="24"/>
              <w:szCs w:val="24"/>
              <w14:textFill>
                <w14:solidFill>
                  <w14:schemeClr w14:val="tx1">
                    <w14:lumMod w14:val="85000"/>
                    <w14:lumOff w14:val="15000"/>
                  </w14:schemeClr>
                </w14:solidFill>
              </w14:textFill>
            </w:rPr>
            <w:fldChar w:fldCharType="end"/>
          </w:r>
        </w:p>
        <w:p>
          <w:pPr>
            <w:pStyle w:val="56"/>
            <w:tabs>
              <w:tab w:val="right" w:leader="dot" w:pos="8306"/>
            </w:tabs>
            <w:spacing w:line="480" w:lineRule="auto"/>
            <w:rPr>
              <w:color w:val="262626" w:themeColor="text1" w:themeTint="D9"/>
              <w:sz w:val="24"/>
              <w:szCs w:val="24"/>
              <w14:textFill>
                <w14:solidFill>
                  <w14:schemeClr w14:val="tx1">
                    <w14:lumMod w14:val="85000"/>
                    <w14:lumOff w14:val="15000"/>
                  </w14:schemeClr>
                </w14:solidFill>
              </w14:textFill>
            </w:rPr>
          </w:pPr>
          <w:r>
            <w:fldChar w:fldCharType="begin"/>
          </w:r>
          <w:r>
            <w:instrText xml:space="preserve"> HYPERLINK \l "_Toc4413_WPSOffice_Level1" </w:instrText>
          </w:r>
          <w:r>
            <w:fldChar w:fldCharType="separate"/>
          </w:r>
          <w:sdt>
            <w:sdtPr>
              <w:rPr>
                <w:color w:val="262626" w:themeColor="text1" w:themeTint="D9"/>
                <w:kern w:val="2"/>
                <w:sz w:val="24"/>
                <w:szCs w:val="24"/>
                <w14:textFill>
                  <w14:solidFill>
                    <w14:schemeClr w14:val="tx1">
                      <w14:lumMod w14:val="85000"/>
                      <w14:lumOff w14:val="15000"/>
                    </w14:schemeClr>
                  </w14:solidFill>
                </w14:textFill>
              </w:rPr>
              <w:id w:val="1416977487"/>
              <w:placeholder>
                <w:docPart w:val="{6cf557dc-cfb0-4e6f-965e-ba001587ed5c}"/>
              </w:placeholder>
              <w15:color w:val="509DF3"/>
            </w:sdtPr>
            <w:sdtEndPr>
              <w:rPr>
                <w:color w:val="262626" w:themeColor="text1" w:themeTint="D9"/>
                <w:kern w:val="2"/>
                <w:sz w:val="24"/>
                <w:szCs w:val="24"/>
                <w14:textFill>
                  <w14:solidFill>
                    <w14:schemeClr w14:val="tx1">
                      <w14:lumMod w14:val="85000"/>
                      <w14:lumOff w14:val="15000"/>
                    </w14:schemeClr>
                  </w14:solidFill>
                </w14:textFill>
              </w:rPr>
            </w:sdtEndPr>
            <w:sdtContent>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4、有限空间事故应急预案</w:t>
              </w:r>
            </w:sdtContent>
          </w:sdt>
          <w:r>
            <w:rPr>
              <w:color w:val="262626" w:themeColor="text1" w:themeTint="D9"/>
              <w:sz w:val="24"/>
              <w:szCs w:val="24"/>
              <w14:textFill>
                <w14:solidFill>
                  <w14:schemeClr w14:val="tx1">
                    <w14:lumMod w14:val="85000"/>
                    <w14:lumOff w14:val="15000"/>
                  </w14:schemeClr>
                </w14:solidFill>
              </w14:textFill>
            </w:rPr>
            <w:tab/>
          </w:r>
          <w:bookmarkStart w:id="4" w:name="_Toc4413_WPSOffice_Level1Page"/>
          <w:r>
            <w:rPr>
              <w:color w:val="262626" w:themeColor="text1" w:themeTint="D9"/>
              <w:sz w:val="24"/>
              <w:szCs w:val="24"/>
              <w14:textFill>
                <w14:solidFill>
                  <w14:schemeClr w14:val="tx1">
                    <w14:lumMod w14:val="85000"/>
                    <w14:lumOff w14:val="15000"/>
                  </w14:schemeClr>
                </w14:solidFill>
              </w14:textFill>
            </w:rPr>
            <w:t>4</w:t>
          </w:r>
          <w:bookmarkEnd w:id="4"/>
          <w:r>
            <w:rPr>
              <w:color w:val="262626" w:themeColor="text1" w:themeTint="D9"/>
              <w:sz w:val="24"/>
              <w:szCs w:val="24"/>
              <w14:textFill>
                <w14:solidFill>
                  <w14:schemeClr w14:val="tx1">
                    <w14:lumMod w14:val="85000"/>
                    <w14:lumOff w14:val="15000"/>
                  </w14:schemeClr>
                </w14:solidFill>
              </w14:textFill>
            </w:rPr>
            <w:fldChar w:fldCharType="end"/>
          </w:r>
        </w:p>
        <w:p>
          <w:pPr>
            <w:pStyle w:val="56"/>
            <w:tabs>
              <w:tab w:val="right" w:leader="dot" w:pos="8306"/>
            </w:tabs>
            <w:spacing w:line="480" w:lineRule="auto"/>
            <w:rPr>
              <w:color w:val="262626" w:themeColor="text1" w:themeTint="D9"/>
              <w:sz w:val="24"/>
              <w:szCs w:val="24"/>
              <w14:textFill>
                <w14:solidFill>
                  <w14:schemeClr w14:val="tx1">
                    <w14:lumMod w14:val="85000"/>
                    <w14:lumOff w14:val="15000"/>
                  </w14:schemeClr>
                </w14:solidFill>
              </w14:textFill>
            </w:rPr>
          </w:pPr>
          <w:r>
            <w:fldChar w:fldCharType="begin"/>
          </w:r>
          <w:r>
            <w:instrText xml:space="preserve"> HYPERLINK \l "_Toc386_WPSOffice_Level1" </w:instrText>
          </w:r>
          <w:r>
            <w:fldChar w:fldCharType="separate"/>
          </w:r>
          <w:sdt>
            <w:sdtPr>
              <w:rPr>
                <w:color w:val="262626" w:themeColor="text1" w:themeTint="D9"/>
                <w:kern w:val="2"/>
                <w:sz w:val="24"/>
                <w:szCs w:val="24"/>
                <w14:textFill>
                  <w14:solidFill>
                    <w14:schemeClr w14:val="tx1">
                      <w14:lumMod w14:val="85000"/>
                      <w14:lumOff w14:val="15000"/>
                    </w14:schemeClr>
                  </w14:solidFill>
                </w14:textFill>
              </w:rPr>
              <w:id w:val="-1661917197"/>
              <w:placeholder>
                <w:docPart w:val="{df5aba1f-a076-4cf1-8e3e-83abf68ed3d8}"/>
              </w:placeholder>
              <w15:color w:val="509DF3"/>
            </w:sdtPr>
            <w:sdtEndPr>
              <w:rPr>
                <w:color w:val="262626" w:themeColor="text1" w:themeTint="D9"/>
                <w:kern w:val="2"/>
                <w:sz w:val="24"/>
                <w:szCs w:val="24"/>
                <w14:textFill>
                  <w14:solidFill>
                    <w14:schemeClr w14:val="tx1">
                      <w14:lumMod w14:val="85000"/>
                      <w14:lumOff w14:val="15000"/>
                    </w14:schemeClr>
                  </w14:solidFill>
                </w14:textFill>
              </w:rPr>
            </w:sdtEndPr>
            <w:sdtContent>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5、有限空间安全警示标志一览表</w:t>
              </w:r>
            </w:sdtContent>
          </w:sdt>
          <w:r>
            <w:rPr>
              <w:color w:val="262626" w:themeColor="text1" w:themeTint="D9"/>
              <w:sz w:val="24"/>
              <w:szCs w:val="24"/>
              <w14:textFill>
                <w14:solidFill>
                  <w14:schemeClr w14:val="tx1">
                    <w14:lumMod w14:val="85000"/>
                    <w14:lumOff w14:val="15000"/>
                  </w14:schemeClr>
                </w14:solidFill>
              </w14:textFill>
            </w:rPr>
            <w:tab/>
          </w:r>
          <w:bookmarkStart w:id="5" w:name="_Toc386_WPSOffice_Level1Page"/>
          <w:r>
            <w:rPr>
              <w:color w:val="262626" w:themeColor="text1" w:themeTint="D9"/>
              <w:sz w:val="24"/>
              <w:szCs w:val="24"/>
              <w14:textFill>
                <w14:solidFill>
                  <w14:schemeClr w14:val="tx1">
                    <w14:lumMod w14:val="85000"/>
                    <w14:lumOff w14:val="15000"/>
                  </w14:schemeClr>
                </w14:solidFill>
              </w14:textFill>
            </w:rPr>
            <w:t>12</w:t>
          </w:r>
          <w:bookmarkEnd w:id="5"/>
          <w:r>
            <w:rPr>
              <w:color w:val="262626" w:themeColor="text1" w:themeTint="D9"/>
              <w:sz w:val="24"/>
              <w:szCs w:val="24"/>
              <w14:textFill>
                <w14:solidFill>
                  <w14:schemeClr w14:val="tx1">
                    <w14:lumMod w14:val="85000"/>
                    <w14:lumOff w14:val="15000"/>
                  </w14:schemeClr>
                </w14:solidFill>
              </w14:textFill>
            </w:rPr>
            <w:fldChar w:fldCharType="end"/>
          </w:r>
        </w:p>
        <w:p>
          <w:pPr>
            <w:pStyle w:val="56"/>
            <w:tabs>
              <w:tab w:val="right" w:leader="dot" w:pos="8306"/>
            </w:tabs>
            <w:spacing w:line="480" w:lineRule="auto"/>
            <w:rPr>
              <w:color w:val="262626" w:themeColor="text1" w:themeTint="D9"/>
              <w:sz w:val="24"/>
              <w:szCs w:val="24"/>
              <w14:textFill>
                <w14:solidFill>
                  <w14:schemeClr w14:val="tx1">
                    <w14:lumMod w14:val="85000"/>
                    <w14:lumOff w14:val="15000"/>
                  </w14:schemeClr>
                </w14:solidFill>
              </w14:textFill>
            </w:rPr>
          </w:pPr>
          <w:r>
            <w:fldChar w:fldCharType="begin"/>
          </w:r>
          <w:r>
            <w:instrText xml:space="preserve"> HYPERLINK \l "_Toc24531_WPSOffice_Level1" </w:instrText>
          </w:r>
          <w:r>
            <w:fldChar w:fldCharType="separate"/>
          </w:r>
          <w:sdt>
            <w:sdtPr>
              <w:rPr>
                <w:color w:val="262626" w:themeColor="text1" w:themeTint="D9"/>
                <w:kern w:val="2"/>
                <w:sz w:val="24"/>
                <w:szCs w:val="24"/>
                <w14:textFill>
                  <w14:solidFill>
                    <w14:schemeClr w14:val="tx1">
                      <w14:lumMod w14:val="85000"/>
                      <w14:lumOff w14:val="15000"/>
                    </w14:schemeClr>
                  </w14:solidFill>
                </w14:textFill>
              </w:rPr>
              <w:id w:val="-719359279"/>
              <w:placeholder>
                <w:docPart w:val="{6bf04348-40f3-4e62-880e-36c4294b4eba}"/>
              </w:placeholder>
              <w15:color w:val="509DF3"/>
            </w:sdtPr>
            <w:sdtEndPr>
              <w:rPr>
                <w:color w:val="262626" w:themeColor="text1" w:themeTint="D9"/>
                <w:kern w:val="2"/>
                <w:sz w:val="24"/>
                <w:szCs w:val="24"/>
                <w14:textFill>
                  <w14:solidFill>
                    <w14:schemeClr w14:val="tx1">
                      <w14:lumMod w14:val="85000"/>
                      <w14:lumOff w14:val="15000"/>
                    </w14:schemeClr>
                  </w14:solidFill>
                </w14:textFill>
              </w:rPr>
            </w:sdtEndPr>
            <w:sdtContent>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6、有限空间应急救援演练记录</w:t>
              </w:r>
            </w:sdtContent>
          </w:sdt>
          <w:r>
            <w:rPr>
              <w:color w:val="262626" w:themeColor="text1" w:themeTint="D9"/>
              <w:sz w:val="24"/>
              <w:szCs w:val="24"/>
              <w14:textFill>
                <w14:solidFill>
                  <w14:schemeClr w14:val="tx1">
                    <w14:lumMod w14:val="85000"/>
                    <w14:lumOff w14:val="15000"/>
                  </w14:schemeClr>
                </w14:solidFill>
              </w14:textFill>
            </w:rPr>
            <w:tab/>
          </w:r>
          <w:bookmarkStart w:id="6" w:name="_Toc24531_WPSOffice_Level1Page"/>
          <w:r>
            <w:rPr>
              <w:color w:val="262626" w:themeColor="text1" w:themeTint="D9"/>
              <w:sz w:val="24"/>
              <w:szCs w:val="24"/>
              <w14:textFill>
                <w14:solidFill>
                  <w14:schemeClr w14:val="tx1">
                    <w14:lumMod w14:val="85000"/>
                    <w14:lumOff w14:val="15000"/>
                  </w14:schemeClr>
                </w14:solidFill>
              </w14:textFill>
            </w:rPr>
            <w:t>23</w:t>
          </w:r>
          <w:bookmarkEnd w:id="6"/>
          <w:r>
            <w:rPr>
              <w:color w:val="262626" w:themeColor="text1" w:themeTint="D9"/>
              <w:sz w:val="24"/>
              <w:szCs w:val="24"/>
              <w14:textFill>
                <w14:solidFill>
                  <w14:schemeClr w14:val="tx1">
                    <w14:lumMod w14:val="85000"/>
                    <w14:lumOff w14:val="15000"/>
                  </w14:schemeClr>
                </w14:solidFill>
              </w14:textFill>
            </w:rPr>
            <w:fldChar w:fldCharType="end"/>
          </w:r>
        </w:p>
        <w:p>
          <w:pPr>
            <w:pStyle w:val="56"/>
            <w:tabs>
              <w:tab w:val="right" w:leader="dot" w:pos="8306"/>
            </w:tabs>
            <w:spacing w:line="480" w:lineRule="auto"/>
            <w:rPr>
              <w:color w:val="262626" w:themeColor="text1" w:themeTint="D9"/>
              <w:sz w:val="24"/>
              <w:szCs w:val="24"/>
              <w14:textFill>
                <w14:solidFill>
                  <w14:schemeClr w14:val="tx1">
                    <w14:lumMod w14:val="85000"/>
                    <w14:lumOff w14:val="15000"/>
                  </w14:schemeClr>
                </w14:solidFill>
              </w14:textFill>
            </w:rPr>
          </w:pPr>
          <w:r>
            <w:fldChar w:fldCharType="begin"/>
          </w:r>
          <w:r>
            <w:instrText xml:space="preserve"> HYPERLINK \l "_Toc3504_WPSOffice_Level1" </w:instrText>
          </w:r>
          <w:r>
            <w:fldChar w:fldCharType="separate"/>
          </w:r>
          <w:sdt>
            <w:sdtPr>
              <w:rPr>
                <w:color w:val="262626" w:themeColor="text1" w:themeTint="D9"/>
                <w:kern w:val="2"/>
                <w:sz w:val="24"/>
                <w:szCs w:val="24"/>
                <w14:textFill>
                  <w14:solidFill>
                    <w14:schemeClr w14:val="tx1">
                      <w14:lumMod w14:val="85000"/>
                      <w14:lumOff w14:val="15000"/>
                    </w14:schemeClr>
                  </w14:solidFill>
                </w14:textFill>
              </w:rPr>
              <w:id w:val="662359479"/>
              <w:placeholder>
                <w:docPart w:val="{8e1fc512-fd2d-462c-a943-162e1e5350f3}"/>
              </w:placeholder>
              <w15:color w:val="509DF3"/>
            </w:sdtPr>
            <w:sdtEndPr>
              <w:rPr>
                <w:color w:val="262626" w:themeColor="text1" w:themeTint="D9"/>
                <w:kern w:val="2"/>
                <w:sz w:val="24"/>
                <w:szCs w:val="24"/>
                <w14:textFill>
                  <w14:solidFill>
                    <w14:schemeClr w14:val="tx1">
                      <w14:lumMod w14:val="85000"/>
                      <w14:lumOff w14:val="15000"/>
                    </w14:schemeClr>
                  </w14:solidFill>
                </w14:textFill>
              </w:rPr>
            </w:sdtEndPr>
            <w:sdtContent>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7、有限空间日常检查要求</w:t>
              </w:r>
            </w:sdtContent>
          </w:sdt>
          <w:r>
            <w:rPr>
              <w:color w:val="262626" w:themeColor="text1" w:themeTint="D9"/>
              <w:sz w:val="24"/>
              <w:szCs w:val="24"/>
              <w14:textFill>
                <w14:solidFill>
                  <w14:schemeClr w14:val="tx1">
                    <w14:lumMod w14:val="85000"/>
                    <w14:lumOff w14:val="15000"/>
                  </w14:schemeClr>
                </w14:solidFill>
              </w14:textFill>
            </w:rPr>
            <w:tab/>
          </w:r>
          <w:bookmarkStart w:id="7" w:name="_Toc3504_WPSOffice_Level1Page"/>
          <w:r>
            <w:rPr>
              <w:color w:val="262626" w:themeColor="text1" w:themeTint="D9"/>
              <w:sz w:val="24"/>
              <w:szCs w:val="24"/>
              <w14:textFill>
                <w14:solidFill>
                  <w14:schemeClr w14:val="tx1">
                    <w14:lumMod w14:val="85000"/>
                    <w14:lumOff w14:val="15000"/>
                  </w14:schemeClr>
                </w14:solidFill>
              </w14:textFill>
            </w:rPr>
            <w:t>28</w:t>
          </w:r>
          <w:bookmarkEnd w:id="7"/>
          <w:r>
            <w:rPr>
              <w:color w:val="262626" w:themeColor="text1" w:themeTint="D9"/>
              <w:sz w:val="24"/>
              <w:szCs w:val="24"/>
              <w14:textFill>
                <w14:solidFill>
                  <w14:schemeClr w14:val="tx1">
                    <w14:lumMod w14:val="85000"/>
                    <w14:lumOff w14:val="15000"/>
                  </w14:schemeClr>
                </w14:solidFill>
              </w14:textFill>
            </w:rPr>
            <w:fldChar w:fldCharType="end"/>
          </w:r>
          <w:bookmarkEnd w:id="0"/>
        </w:p>
        <w:p>
          <w:pPr>
            <w:pStyle w:val="56"/>
            <w:numPr>
              <w:ilvl w:val="0"/>
              <w:numId w:val="7"/>
            </w:numPr>
            <w:tabs>
              <w:tab w:val="right" w:leader="dot" w:pos="8306"/>
            </w:tabs>
            <w:spacing w:line="480" w:lineRule="auto"/>
            <w:rPr>
              <w:color w:val="262626" w:themeColor="text1" w:themeTint="D9"/>
              <w:sz w:val="24"/>
              <w:szCs w:val="24"/>
              <w14:textFill>
                <w14:solidFill>
                  <w14:schemeClr w14:val="tx1">
                    <w14:lumMod w14:val="85000"/>
                    <w14:lumOff w14:val="15000"/>
                  </w14:schemeClr>
                </w14:solidFill>
              </w14:textFill>
            </w:rPr>
          </w:pPr>
          <w:r>
            <w:rPr>
              <w:rFonts w:hint="eastAsia" w:eastAsia="宋体"/>
              <w:color w:val="262626" w:themeColor="text1" w:themeTint="D9"/>
              <w:sz w:val="24"/>
              <w:szCs w:val="24"/>
              <w14:textFill>
                <w14:solidFill>
                  <w14:schemeClr w14:val="tx1">
                    <w14:lumMod w14:val="85000"/>
                    <w14:lumOff w14:val="15000"/>
                  </w14:schemeClr>
                </w14:solidFill>
              </w14:textFill>
            </w:rPr>
            <w:t>有限空间作业许可证</w:t>
          </w:r>
          <w:r>
            <w:rPr>
              <w:color w:val="262626" w:themeColor="text1" w:themeTint="D9"/>
              <w:sz w:val="24"/>
              <w:szCs w:val="24"/>
              <w14:textFill>
                <w14:solidFill>
                  <w14:schemeClr w14:val="tx1">
                    <w14:lumMod w14:val="85000"/>
                    <w14:lumOff w14:val="15000"/>
                  </w14:schemeClr>
                </w14:solidFill>
              </w14:textFill>
            </w:rPr>
            <w:tab/>
          </w:r>
          <w:r>
            <w:rPr>
              <w:rFonts w:hint="eastAsia"/>
              <w:color w:val="262626" w:themeColor="text1" w:themeTint="D9"/>
              <w:sz w:val="24"/>
              <w:szCs w:val="24"/>
              <w14:textFill>
                <w14:solidFill>
                  <w14:schemeClr w14:val="tx1">
                    <w14:lumMod w14:val="85000"/>
                    <w14:lumOff w14:val="15000"/>
                  </w14:schemeClr>
                </w14:solidFill>
              </w14:textFill>
            </w:rPr>
            <w:t>33</w:t>
          </w:r>
        </w:p>
        <w:p>
          <w:pPr>
            <w:pStyle w:val="56"/>
            <w:numPr>
              <w:ilvl w:val="0"/>
              <w:numId w:val="7"/>
            </w:numPr>
            <w:tabs>
              <w:tab w:val="right" w:leader="dot" w:pos="8306"/>
            </w:tabs>
            <w:spacing w:line="480" w:lineRule="auto"/>
            <w:rPr>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olor w:val="262626" w:themeColor="text1" w:themeTint="D9"/>
              <w:kern w:val="2"/>
              <w:sz w:val="24"/>
              <w:szCs w:val="24"/>
              <w14:textFill>
                <w14:solidFill>
                  <w14:schemeClr w14:val="tx1">
                    <w14:lumMod w14:val="85000"/>
                    <w14:lumOff w14:val="15000"/>
                  </w14:schemeClr>
                </w14:solidFill>
              </w14:textFill>
            </w:rPr>
            <w:t>有限空间气体检测记录</w:t>
          </w:r>
          <w:r>
            <w:rPr>
              <w:color w:val="262626" w:themeColor="text1" w:themeTint="D9"/>
              <w:sz w:val="24"/>
              <w:szCs w:val="24"/>
              <w14:textFill>
                <w14:solidFill>
                  <w14:schemeClr w14:val="tx1">
                    <w14:lumMod w14:val="85000"/>
                    <w14:lumOff w14:val="15000"/>
                  </w14:schemeClr>
                </w14:solidFill>
              </w14:textFill>
            </w:rPr>
            <w:tab/>
          </w:r>
          <w:r>
            <w:rPr>
              <w:rFonts w:hint="eastAsia"/>
              <w:color w:val="262626" w:themeColor="text1" w:themeTint="D9"/>
              <w:sz w:val="24"/>
              <w:szCs w:val="24"/>
              <w14:textFill>
                <w14:solidFill>
                  <w14:schemeClr w14:val="tx1">
                    <w14:lumMod w14:val="85000"/>
                    <w14:lumOff w14:val="15000"/>
                  </w14:schemeClr>
                </w14:solidFill>
              </w14:textFill>
            </w:rPr>
            <w:t>35</w:t>
          </w:r>
        </w:p>
      </w:sdtContent>
    </w:sdt>
    <w:p>
      <w:pPr>
        <w:spacing w:line="480" w:lineRule="auto"/>
        <w:rPr>
          <w:rFonts w:ascii="宋体" w:hAnsi="宋体" w:eastAsia="宋体" w:cs="宋体"/>
          <w:color w:val="262626" w:themeColor="text1" w:themeTint="D9"/>
          <w14:textFill>
            <w14:solidFill>
              <w14:schemeClr w14:val="tx1">
                <w14:lumMod w14:val="85000"/>
                <w14:lumOff w14:val="15000"/>
              </w14:schemeClr>
            </w14:solidFill>
          </w14:textFill>
        </w:rPr>
      </w:pPr>
      <w:r>
        <w:rPr>
          <w:rFonts w:hint="eastAsia" w:ascii="宋体" w:hAnsi="宋体" w:eastAsia="宋体" w:cs="宋体"/>
          <w:color w:val="262626" w:themeColor="text1" w:themeTint="D9"/>
          <w14:textFill>
            <w14:solidFill>
              <w14:schemeClr w14:val="tx1">
                <w14:lumMod w14:val="85000"/>
                <w14:lumOff w14:val="15000"/>
              </w14:schemeClr>
            </w14:solidFill>
          </w14:textFill>
        </w:rPr>
        <w:br w:type="page"/>
      </w:r>
    </w:p>
    <w:p>
      <w:pPr>
        <w:spacing w:line="360" w:lineRule="auto"/>
        <w:jc w:val="left"/>
        <w:outlineLvl w:val="0"/>
        <w:rPr>
          <w:rFonts w:ascii="宋体" w:hAnsi="宋体" w:eastAsia="宋体" w:cs="宋体"/>
          <w:color w:val="262626" w:themeColor="text1" w:themeTint="D9"/>
          <w:sz w:val="24"/>
          <w:szCs w:val="24"/>
          <w14:textFill>
            <w14:solidFill>
              <w14:schemeClr w14:val="tx1">
                <w14:lumMod w14:val="85000"/>
                <w14:lumOff w14:val="15000"/>
              </w14:schemeClr>
            </w14:solidFill>
          </w14:textFill>
        </w:rPr>
      </w:pPr>
      <w:bookmarkStart w:id="8" w:name="_Toc20605_WPSOffice_Level1"/>
      <w:r>
        <w:rPr>
          <w:rFonts w:hint="eastAsia" w:ascii="宋体" w:hAnsi="宋体" w:eastAsia="宋体" w:cs="宋体"/>
          <w:b/>
          <w:color w:val="262626" w:themeColor="text1" w:themeTint="D9"/>
          <w:sz w:val="28"/>
          <w:szCs w:val="24"/>
          <w14:textFill>
            <w14:solidFill>
              <w14:schemeClr w14:val="tx1">
                <w14:lumMod w14:val="85000"/>
                <w14:lumOff w14:val="15000"/>
              </w14:schemeClr>
            </w14:solidFill>
          </w14:textFill>
        </w:rPr>
        <w:t>1、有限空间情况简介</w:t>
      </w:r>
      <w:bookmarkEnd w:id="8"/>
    </w:p>
    <w:p>
      <w:pPr>
        <w:widowControl/>
        <w:spacing w:line="360" w:lineRule="auto"/>
        <w:ind w:firstLine="484" w:firstLineChars="202"/>
        <w:jc w:val="lef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本单位主要经营……</w:t>
      </w:r>
    </w:p>
    <w:p>
      <w:pPr>
        <w:widowControl/>
        <w:spacing w:line="360" w:lineRule="auto"/>
        <w:ind w:firstLine="484" w:firstLineChars="202"/>
        <w:jc w:val="lef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本单位有限空间涉及到地下有限空间，XX罐，污水处理池……</w:t>
      </w:r>
    </w:p>
    <w:p>
      <w:pPr>
        <w:widowControl/>
        <w:spacing w:line="360" w:lineRule="auto"/>
        <w:ind w:firstLine="484" w:firstLineChars="202"/>
        <w:jc w:val="lef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本单位有限空间XXX部分是市政管理，XXX部分是属于外包，外包单位为XXX公司，XXX部分属于单位作业……</w:t>
      </w:r>
    </w:p>
    <w:p>
      <w:pPr>
        <w:widowControl/>
        <w:spacing w:line="360" w:lineRule="auto"/>
        <w:ind w:firstLine="484" w:firstLineChars="202"/>
        <w:jc w:val="lef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本单位有作业人员X人，监护人员取得有限空间特种作业证人员X人……</w:t>
      </w:r>
    </w:p>
    <w:p>
      <w:pPr>
        <w:pStyle w:val="9"/>
        <w:spacing w:line="360" w:lineRule="auto"/>
        <w:rPr>
          <w:rFonts w:ascii="宋体" w:hAnsi="宋体" w:cs="宋体"/>
          <w:color w:val="262626" w:themeColor="text1" w:themeTint="D9"/>
          <w:sz w:val="24"/>
          <w:szCs w:val="24"/>
          <w14:textFill>
            <w14:solidFill>
              <w14:schemeClr w14:val="tx1">
                <w14:lumMod w14:val="85000"/>
                <w14:lumOff w14:val="15000"/>
              </w14:schemeClr>
            </w14:solidFill>
          </w14:textFill>
        </w:rPr>
      </w:pPr>
    </w:p>
    <w:p>
      <w:pPr>
        <w:widowControl/>
        <w:spacing w:line="360" w:lineRule="auto"/>
        <w:jc w:val="left"/>
        <w:rPr>
          <w:rFonts w:ascii="宋体" w:hAnsi="宋体" w:eastAsia="宋体" w:cs="宋体"/>
          <w:color w:val="262626" w:themeColor="text1" w:themeTint="D9"/>
          <w:sz w:val="24"/>
          <w:szCs w:val="24"/>
          <w14:textFill>
            <w14:solidFill>
              <w14:schemeClr w14:val="tx1">
                <w14:lumMod w14:val="85000"/>
                <w14:lumOff w14:val="15000"/>
              </w14:schemeClr>
            </w14:solidFill>
          </w14:textFill>
        </w:rPr>
        <w:sectPr>
          <w:pgSz w:w="11906" w:h="16838"/>
          <w:pgMar w:top="1440" w:right="1800" w:bottom="1440" w:left="1800" w:header="851" w:footer="992" w:gutter="0"/>
          <w:pgNumType w:fmt="numberInDash"/>
          <w:cols w:space="425" w:num="1"/>
          <w:docGrid w:type="lines" w:linePitch="312" w:charSpace="0"/>
        </w:sect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br w:type="page"/>
      </w:r>
    </w:p>
    <w:p>
      <w:pPr>
        <w:spacing w:line="360" w:lineRule="auto"/>
        <w:jc w:val="left"/>
        <w:outlineLvl w:val="0"/>
        <w:rPr>
          <w:rFonts w:ascii="宋体" w:hAnsi="宋体" w:eastAsia="宋体" w:cs="宋体"/>
          <w:b/>
          <w:color w:val="262626" w:themeColor="text1" w:themeTint="D9"/>
          <w:sz w:val="28"/>
          <w:szCs w:val="24"/>
          <w14:textFill>
            <w14:solidFill>
              <w14:schemeClr w14:val="tx1">
                <w14:lumMod w14:val="85000"/>
                <w14:lumOff w14:val="15000"/>
              </w14:schemeClr>
            </w14:solidFill>
          </w14:textFill>
        </w:rPr>
      </w:pPr>
      <w:bookmarkStart w:id="9" w:name="_Toc16708_WPSOffice_Level1"/>
      <w:r>
        <w:rPr>
          <w:rFonts w:hint="eastAsia" w:ascii="宋体" w:hAnsi="宋体" w:eastAsia="宋体" w:cs="宋体"/>
          <w:b/>
          <w:color w:val="262626" w:themeColor="text1" w:themeTint="D9"/>
          <w:sz w:val="28"/>
          <w:szCs w:val="24"/>
          <w14:textFill>
            <w14:solidFill>
              <w14:schemeClr w14:val="tx1">
                <w14:lumMod w14:val="85000"/>
                <w14:lumOff w14:val="15000"/>
              </w14:schemeClr>
            </w14:solidFill>
          </w14:textFill>
        </w:rPr>
        <w:t>2、本单位有限空间台账</w:t>
      </w:r>
      <w:bookmarkEnd w:id="9"/>
    </w:p>
    <w:p>
      <w:pPr>
        <w:spacing w:line="360" w:lineRule="auto"/>
        <w:ind w:firstLine="88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XX单位有限空间作业台账</w:t>
      </w:r>
    </w:p>
    <w:tbl>
      <w:tblPr>
        <w:tblStyle w:val="18"/>
        <w:tblW w:w="142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1502"/>
        <w:gridCol w:w="1149"/>
        <w:gridCol w:w="488"/>
        <w:gridCol w:w="1917"/>
        <w:gridCol w:w="1555"/>
        <w:gridCol w:w="1273"/>
        <w:gridCol w:w="1273"/>
        <w:gridCol w:w="849"/>
        <w:gridCol w:w="850"/>
        <w:gridCol w:w="1132"/>
        <w:gridCol w:w="1132"/>
        <w:gridCol w:w="7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序号</w:t>
            </w:r>
          </w:p>
        </w:tc>
        <w:tc>
          <w:tcPr>
            <w:tcW w:w="150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有限空间名称</w:t>
            </w:r>
          </w:p>
        </w:tc>
        <w:tc>
          <w:tcPr>
            <w:tcW w:w="1149"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分布场所</w:t>
            </w:r>
          </w:p>
        </w:tc>
        <w:tc>
          <w:tcPr>
            <w:tcW w:w="488"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数量</w:t>
            </w:r>
          </w:p>
        </w:tc>
        <w:tc>
          <w:tcPr>
            <w:tcW w:w="1917"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主要危险有害因素</w:t>
            </w:r>
          </w:p>
        </w:tc>
        <w:tc>
          <w:tcPr>
            <w:tcW w:w="1555"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可能事故后果</w:t>
            </w:r>
          </w:p>
        </w:tc>
        <w:tc>
          <w:tcPr>
            <w:tcW w:w="1273"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防护要求</w:t>
            </w:r>
          </w:p>
        </w:tc>
        <w:tc>
          <w:tcPr>
            <w:tcW w:w="1273"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自行作业/外包作业</w:t>
            </w:r>
          </w:p>
        </w:tc>
        <w:tc>
          <w:tcPr>
            <w:tcW w:w="849"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审批负责人</w:t>
            </w:r>
          </w:p>
        </w:tc>
        <w:tc>
          <w:tcPr>
            <w:tcW w:w="850"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现场负责人</w:t>
            </w:r>
          </w:p>
        </w:tc>
        <w:tc>
          <w:tcPr>
            <w:tcW w:w="113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作业项目</w:t>
            </w:r>
          </w:p>
        </w:tc>
        <w:tc>
          <w:tcPr>
            <w:tcW w:w="113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作业频率</w:t>
            </w:r>
          </w:p>
        </w:tc>
        <w:tc>
          <w:tcPr>
            <w:tcW w:w="707"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50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49"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488"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917"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555"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273"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273"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849"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850"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3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3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707"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50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49"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488"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917"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555"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273"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273"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849"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850"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3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3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707"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50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49"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488"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917"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555"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273"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273"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849"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850"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3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3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707"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50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49"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488"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917"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555"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273"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273"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849"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850"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3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3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707"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50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49"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488"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917"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555"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273"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273"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849"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850"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3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3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707"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50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49"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488"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917"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555"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273"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273"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849"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850"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3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3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707"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50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49"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488"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917"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555"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273"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273"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849"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850"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3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3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707"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50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49"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488"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917"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555"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273"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273"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849"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850"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3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3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707"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50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49"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488"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917"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555"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273"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273"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849"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850"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3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3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707"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50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49"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488"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917"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555"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273"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273"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849"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850"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3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3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707"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50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49"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488"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917"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555"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273"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273"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849"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850"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3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3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707"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50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49"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488"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917"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555"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273"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273"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849"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850"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3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132"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707" w:type="dxa"/>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bl>
    <w:p>
      <w:pPr>
        <w:spacing w:line="360" w:lineRule="auto"/>
        <w:rPr>
          <w:rFonts w:ascii="宋体" w:hAnsi="宋体" w:eastAsia="宋体" w:cs="宋体"/>
          <w:b/>
          <w:color w:val="262626" w:themeColor="text1" w:themeTint="D9"/>
          <w:sz w:val="24"/>
          <w:szCs w:val="24"/>
          <w14:textFill>
            <w14:solidFill>
              <w14:schemeClr w14:val="tx1">
                <w14:lumMod w14:val="85000"/>
                <w14:lumOff w14:val="15000"/>
              </w14:schemeClr>
            </w14:solidFill>
          </w14:textFill>
        </w:rPr>
        <w:sectPr>
          <w:pgSz w:w="16838" w:h="11906" w:orient="landscape"/>
          <w:pgMar w:top="1800" w:right="1440" w:bottom="1800" w:left="1440" w:header="851" w:footer="992" w:gutter="0"/>
          <w:pgNumType w:fmt="numberInDash"/>
          <w:cols w:space="425" w:num="1"/>
          <w:docGrid w:type="lines" w:linePitch="312" w:charSpace="0"/>
        </w:sectPr>
      </w:pPr>
    </w:p>
    <w:p>
      <w:pPr>
        <w:spacing w:line="360" w:lineRule="auto"/>
        <w:jc w:val="left"/>
        <w:outlineLvl w:val="0"/>
        <w:rPr>
          <w:rFonts w:ascii="宋体" w:hAnsi="宋体" w:eastAsia="宋体" w:cs="宋体"/>
          <w:b/>
          <w:color w:val="262626" w:themeColor="text1" w:themeTint="D9"/>
          <w:sz w:val="28"/>
          <w:szCs w:val="24"/>
          <w14:textFill>
            <w14:solidFill>
              <w14:schemeClr w14:val="tx1">
                <w14:lumMod w14:val="85000"/>
                <w14:lumOff w14:val="15000"/>
              </w14:schemeClr>
            </w14:solidFill>
          </w14:textFill>
        </w:rPr>
      </w:pPr>
      <w:bookmarkStart w:id="10" w:name="_Toc16758_WPSOffice_Level1"/>
      <w:r>
        <w:rPr>
          <w:rFonts w:hint="eastAsia" w:ascii="宋体" w:hAnsi="宋体" w:eastAsia="宋体" w:cs="宋体"/>
          <w:b/>
          <w:color w:val="262626" w:themeColor="text1" w:themeTint="D9"/>
          <w:sz w:val="28"/>
          <w:szCs w:val="24"/>
          <w14:textFill>
            <w14:solidFill>
              <w14:schemeClr w14:val="tx1">
                <w14:lumMod w14:val="85000"/>
                <w14:lumOff w14:val="15000"/>
              </w14:schemeClr>
            </w14:solidFill>
          </w14:textFill>
        </w:rPr>
        <w:t>3、安全管理制度和操作规程</w:t>
      </w:r>
      <w:bookmarkEnd w:id="10"/>
    </w:p>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1.总   则</w:t>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ab/>
      </w:r>
    </w:p>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2.有限空间作业安全责任制度</w:t>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ab/>
      </w:r>
    </w:p>
    <w:p>
      <w:pPr>
        <w:ind w:firstLine="484" w:firstLineChars="202"/>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2.1主要负责人职责</w:t>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ab/>
      </w:r>
    </w:p>
    <w:p>
      <w:pPr>
        <w:ind w:firstLine="484" w:firstLineChars="202"/>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2.2 安全管理部门职责</w:t>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ab/>
      </w:r>
    </w:p>
    <w:p>
      <w:pPr>
        <w:ind w:firstLine="484" w:firstLineChars="202"/>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2.3安全管理人员职责</w:t>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ab/>
      </w:r>
    </w:p>
    <w:p>
      <w:pPr>
        <w:ind w:firstLine="484" w:firstLineChars="202"/>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2.4 承担有限空间作业部门</w:t>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ab/>
      </w:r>
    </w:p>
    <w:p>
      <w:pPr>
        <w:ind w:firstLine="484" w:firstLineChars="202"/>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2.5 承担有限空间作业实施人员职责</w:t>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ab/>
      </w:r>
    </w:p>
    <w:p>
      <w:pPr>
        <w:ind w:firstLine="484" w:firstLineChars="202"/>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2.6 承包商管理职责</w:t>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ab/>
      </w:r>
    </w:p>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3.有限空间作业审批制度</w:t>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ab/>
      </w:r>
    </w:p>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4.有限空间作业现场安全管理制度</w:t>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ab/>
      </w:r>
    </w:p>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5.有限空间安全培训教育制度</w:t>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ab/>
      </w:r>
    </w:p>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6.有限空间作业应急管理制度</w:t>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ab/>
      </w:r>
    </w:p>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7持证上岗制度</w:t>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ab/>
      </w:r>
    </w:p>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8.承发包管理制度</w:t>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ab/>
      </w:r>
    </w:p>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9.设备检维修校验制度</w:t>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ab/>
      </w:r>
    </w:p>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10.有限空间作业安全管理制度</w:t>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ab/>
      </w:r>
    </w:p>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11.安全投入保障制度</w:t>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ab/>
      </w:r>
    </w:p>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12.有限空间作业安全操作规程</w:t>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ab/>
      </w:r>
    </w:p>
    <w:p>
      <w:pPr>
        <w:widowControl/>
        <w:jc w:val="left"/>
        <w:rPr>
          <w:rFonts w:ascii="宋体" w:hAnsi="宋体" w:eastAsia="宋体" w:cs="宋体"/>
          <w:b/>
          <w:color w:val="262626" w:themeColor="text1" w:themeTint="D9"/>
          <w:sz w:val="24"/>
          <w:szCs w:val="24"/>
          <w14:textFill>
            <w14:solidFill>
              <w14:schemeClr w14:val="tx1">
                <w14:lumMod w14:val="85000"/>
                <w14:lumOff w14:val="15000"/>
              </w14:schemeClr>
            </w14:solidFill>
          </w14:textFill>
        </w:rPr>
      </w:pPr>
    </w:p>
    <w:p>
      <w:pPr>
        <w:spacing w:line="360" w:lineRule="auto"/>
        <w:ind w:firstLine="880"/>
        <w:jc w:val="center"/>
        <w:rPr>
          <w:rFonts w:ascii="宋体" w:hAnsi="宋体" w:eastAsia="宋体" w:cs="宋体"/>
          <w:b/>
          <w:color w:val="262626" w:themeColor="text1" w:themeTint="D9"/>
          <w:sz w:val="24"/>
          <w:szCs w:val="24"/>
          <w14:textFill>
            <w14:solidFill>
              <w14:schemeClr w14:val="tx1">
                <w14:lumMod w14:val="85000"/>
                <w14:lumOff w14:val="15000"/>
              </w14:schemeClr>
            </w14:solidFill>
          </w14:textFill>
        </w:rPr>
      </w:pPr>
    </w:p>
    <w:p>
      <w:pPr>
        <w:rPr>
          <w:rFonts w:ascii="宋体" w:hAnsi="宋体" w:eastAsia="宋体" w:cs="宋体"/>
          <w:color w:val="262626" w:themeColor="text1" w:themeTint="D9"/>
          <w14:textFill>
            <w14:solidFill>
              <w14:schemeClr w14:val="tx1">
                <w14:lumMod w14:val="85000"/>
                <w14:lumOff w14:val="15000"/>
              </w14:schemeClr>
            </w14:solidFill>
          </w14:textFill>
        </w:rPr>
      </w:pPr>
    </w:p>
    <w:p>
      <w:pPr>
        <w:spacing w:line="360" w:lineRule="auto"/>
        <w:jc w:val="left"/>
        <w:outlineLvl w:val="0"/>
        <w:rPr>
          <w:rFonts w:ascii="宋体" w:hAnsi="宋体" w:eastAsia="宋体" w:cs="宋体"/>
          <w:b/>
          <w:color w:val="262626" w:themeColor="text1" w:themeTint="D9"/>
          <w:sz w:val="28"/>
          <w:szCs w:val="24"/>
          <w14:textFill>
            <w14:solidFill>
              <w14:schemeClr w14:val="tx1">
                <w14:lumMod w14:val="85000"/>
                <w14:lumOff w14:val="15000"/>
              </w14:schemeClr>
            </w14:solidFill>
          </w14:textFill>
        </w:rPr>
      </w:pPr>
      <w:bookmarkStart w:id="11" w:name="_Toc4413_WPSOffice_Level1"/>
      <w:r>
        <w:rPr>
          <w:rFonts w:hint="eastAsia" w:ascii="宋体" w:hAnsi="宋体" w:eastAsia="宋体" w:cs="宋体"/>
          <w:b/>
          <w:color w:val="262626" w:themeColor="text1" w:themeTint="D9"/>
          <w:sz w:val="28"/>
          <w:szCs w:val="24"/>
          <w14:textFill>
            <w14:solidFill>
              <w14:schemeClr w14:val="tx1">
                <w14:lumMod w14:val="85000"/>
                <w14:lumOff w14:val="15000"/>
              </w14:schemeClr>
            </w14:solidFill>
          </w14:textFill>
        </w:rPr>
        <w:t>4、有限空间事故应急预案</w:t>
      </w:r>
      <w:bookmarkEnd w:id="11"/>
    </w:p>
    <w:p>
      <w:pPr>
        <w:spacing w:line="360" w:lineRule="auto"/>
        <w:ind w:firstLine="879"/>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XX单位有限空间专项预案</w:t>
      </w:r>
    </w:p>
    <w:p>
      <w:pPr>
        <w:pStyle w:val="16"/>
        <w:shd w:val="clear" w:color="auto" w:fill="FFFFFF"/>
        <w:spacing w:before="0" w:beforeAutospacing="0" w:after="0" w:afterAutospacing="0" w:line="360" w:lineRule="auto"/>
        <w:ind w:firstLine="566" w:firstLineChars="236"/>
        <w:rPr>
          <w:color w:val="262626" w:themeColor="text1" w:themeTint="D9"/>
          <w14:textFill>
            <w14:solidFill>
              <w14:schemeClr w14:val="tx1">
                <w14:lumMod w14:val="85000"/>
                <w14:lumOff w14:val="15000"/>
              </w14:schemeClr>
            </w14:solidFill>
          </w14:textFill>
        </w:rPr>
      </w:pPr>
      <w:r>
        <w:rPr>
          <w:rFonts w:hint="eastAsia"/>
          <w:color w:val="262626" w:themeColor="text1" w:themeTint="D9"/>
          <w14:textFill>
            <w14:solidFill>
              <w14:schemeClr w14:val="tx1">
                <w14:lumMod w14:val="85000"/>
                <w14:lumOff w14:val="15000"/>
              </w14:schemeClr>
            </w14:solidFill>
          </w14:textFill>
        </w:rPr>
        <w:t>为贯彻“安全第一，预防为主，综合治理”的方针，规范应急管理工作，提高本单位对突发事件的处置和救援水平，最大限度地减少人员伤亡、财产损失，根据本单位有限空间作业的特点制定本预案。</w:t>
      </w:r>
    </w:p>
    <w:p>
      <w:pPr>
        <w:pStyle w:val="16"/>
        <w:shd w:val="clear" w:color="auto" w:fill="FFFFFF"/>
        <w:spacing w:before="0" w:beforeAutospacing="0" w:after="0" w:afterAutospacing="0" w:line="360" w:lineRule="auto"/>
        <w:rPr>
          <w:color w:val="262626" w:themeColor="text1" w:themeTint="D9"/>
          <w14:textFill>
            <w14:solidFill>
              <w14:schemeClr w14:val="tx1">
                <w14:lumMod w14:val="85000"/>
                <w14:lumOff w14:val="15000"/>
              </w14:schemeClr>
            </w14:solidFill>
          </w14:textFill>
        </w:rPr>
      </w:pPr>
      <w:r>
        <w:rPr>
          <w:rFonts w:hint="eastAsia"/>
          <w:color w:val="262626" w:themeColor="text1" w:themeTint="D9"/>
          <w14:textFill>
            <w14:solidFill>
              <w14:schemeClr w14:val="tx1">
                <w14:lumMod w14:val="85000"/>
                <w14:lumOff w14:val="15000"/>
              </w14:schemeClr>
            </w14:solidFill>
          </w14:textFill>
        </w:rPr>
        <w:t>（一）企业基本情况</w:t>
      </w:r>
    </w:p>
    <w:p>
      <w:pPr>
        <w:pStyle w:val="16"/>
        <w:shd w:val="clear" w:color="auto" w:fill="FFFFFF"/>
        <w:spacing w:before="0" w:beforeAutospacing="0" w:after="0" w:afterAutospacing="0" w:line="360" w:lineRule="auto"/>
        <w:ind w:firstLine="566" w:firstLineChars="236"/>
        <w:rPr>
          <w:color w:val="262626" w:themeColor="text1" w:themeTint="D9"/>
          <w14:textFill>
            <w14:solidFill>
              <w14:schemeClr w14:val="tx1">
                <w14:lumMod w14:val="85000"/>
                <w14:lumOff w14:val="15000"/>
              </w14:schemeClr>
            </w14:solidFill>
          </w14:textFill>
        </w:rPr>
      </w:pPr>
      <w:r>
        <w:rPr>
          <w:rFonts w:hint="eastAsia"/>
          <w:color w:val="262626" w:themeColor="text1" w:themeTint="D9"/>
          <w14:textFill>
            <w14:solidFill>
              <w14:schemeClr w14:val="tx1">
                <w14:lumMod w14:val="85000"/>
                <w14:lumOff w14:val="15000"/>
              </w14:schemeClr>
            </w14:solidFill>
          </w14:textFill>
        </w:rPr>
        <w:t>本单位从事</w:t>
      </w:r>
      <w:r>
        <w:rPr>
          <w:rFonts w:hint="eastAsia"/>
          <w:color w:val="262626" w:themeColor="text1" w:themeTint="D9"/>
          <w:u w:val="single"/>
          <w14:textFill>
            <w14:solidFill>
              <w14:schemeClr w14:val="tx1">
                <w14:lumMod w14:val="85000"/>
                <w14:lumOff w14:val="15000"/>
              </w14:schemeClr>
            </w14:solidFill>
          </w14:textFill>
        </w:rPr>
        <w:t xml:space="preserve">      </w:t>
      </w:r>
      <w:r>
        <w:rPr>
          <w:rFonts w:hint="eastAsia"/>
          <w:color w:val="262626" w:themeColor="text1" w:themeTint="D9"/>
          <w14:textFill>
            <w14:solidFill>
              <w14:schemeClr w14:val="tx1">
                <w14:lumMod w14:val="85000"/>
                <w14:lumOff w14:val="15000"/>
              </w14:schemeClr>
            </w14:solidFill>
          </w14:textFill>
        </w:rPr>
        <w:t>生产，地址位于</w:t>
      </w:r>
      <w:r>
        <w:rPr>
          <w:rFonts w:hint="eastAsia"/>
          <w:color w:val="262626" w:themeColor="text1" w:themeTint="D9"/>
          <w:u w:val="single"/>
          <w14:textFill>
            <w14:solidFill>
              <w14:schemeClr w14:val="tx1">
                <w14:lumMod w14:val="85000"/>
                <w14:lumOff w14:val="15000"/>
              </w14:schemeClr>
            </w14:solidFill>
          </w14:textFill>
        </w:rPr>
        <w:t xml:space="preserve">     </w:t>
      </w:r>
      <w:r>
        <w:rPr>
          <w:rFonts w:hint="eastAsia"/>
          <w:color w:val="262626" w:themeColor="text1" w:themeTint="D9"/>
          <w14:textFill>
            <w14:solidFill>
              <w14:schemeClr w14:val="tx1">
                <w14:lumMod w14:val="85000"/>
                <w14:lumOff w14:val="15000"/>
              </w14:schemeClr>
            </w14:solidFill>
          </w14:textFill>
        </w:rPr>
        <w:t>占地</w:t>
      </w:r>
      <w:r>
        <w:rPr>
          <w:rFonts w:hint="eastAsia"/>
          <w:color w:val="262626" w:themeColor="text1" w:themeTint="D9"/>
          <w:u w:val="single"/>
          <w14:textFill>
            <w14:solidFill>
              <w14:schemeClr w14:val="tx1">
                <w14:lumMod w14:val="85000"/>
                <w14:lumOff w14:val="15000"/>
              </w14:schemeClr>
            </w14:solidFill>
          </w14:textFill>
        </w:rPr>
        <w:t xml:space="preserve">     </w:t>
      </w:r>
      <w:r>
        <w:rPr>
          <w:rFonts w:hint="eastAsia"/>
          <w:color w:val="262626" w:themeColor="text1" w:themeTint="D9"/>
          <w14:textFill>
            <w14:solidFill>
              <w14:schemeClr w14:val="tx1">
                <w14:lumMod w14:val="85000"/>
                <w14:lumOff w14:val="15000"/>
              </w14:schemeClr>
            </w14:solidFill>
          </w14:textFill>
        </w:rPr>
        <w:t xml:space="preserve">建筑面积 </w:t>
      </w:r>
      <w:r>
        <w:rPr>
          <w:rFonts w:hint="eastAsia"/>
          <w:color w:val="262626" w:themeColor="text1" w:themeTint="D9"/>
          <w:u w:val="single"/>
          <w14:textFill>
            <w14:solidFill>
              <w14:schemeClr w14:val="tx1">
                <w14:lumMod w14:val="85000"/>
                <w14:lumOff w14:val="15000"/>
              </w14:schemeClr>
            </w14:solidFill>
          </w14:textFill>
        </w:rPr>
        <w:t xml:space="preserve">     </w:t>
      </w:r>
      <w:r>
        <w:rPr>
          <w:rFonts w:hint="eastAsia"/>
          <w:color w:val="262626" w:themeColor="text1" w:themeTint="D9"/>
          <w14:textFill>
            <w14:solidFill>
              <w14:schemeClr w14:val="tx1">
                <w14:lumMod w14:val="85000"/>
                <w14:lumOff w14:val="15000"/>
              </w14:schemeClr>
            </w14:solidFill>
          </w14:textFill>
        </w:rPr>
        <w:t>职工人员</w:t>
      </w:r>
      <w:r>
        <w:rPr>
          <w:rFonts w:hint="eastAsia"/>
          <w:color w:val="262626" w:themeColor="text1" w:themeTint="D9"/>
          <w:u w:val="single"/>
          <w14:textFill>
            <w14:solidFill>
              <w14:schemeClr w14:val="tx1">
                <w14:lumMod w14:val="85000"/>
                <w14:lumOff w14:val="15000"/>
              </w14:schemeClr>
            </w14:solidFill>
          </w14:textFill>
        </w:rPr>
        <w:t xml:space="preserve">     </w:t>
      </w:r>
      <w:r>
        <w:rPr>
          <w:rFonts w:hint="eastAsia"/>
          <w:color w:val="262626" w:themeColor="text1" w:themeTint="D9"/>
          <w14:textFill>
            <w14:solidFill>
              <w14:schemeClr w14:val="tx1">
                <w14:lumMod w14:val="85000"/>
                <w14:lumOff w14:val="15000"/>
              </w14:schemeClr>
            </w14:solidFill>
          </w14:textFill>
        </w:rPr>
        <w:t>主要产品为</w:t>
      </w:r>
      <w:r>
        <w:rPr>
          <w:rFonts w:hint="eastAsia"/>
          <w:color w:val="262626" w:themeColor="text1" w:themeTint="D9"/>
          <w:u w:val="single"/>
          <w14:textFill>
            <w14:solidFill>
              <w14:schemeClr w14:val="tx1">
                <w14:lumMod w14:val="85000"/>
                <w14:lumOff w14:val="15000"/>
              </w14:schemeClr>
            </w14:solidFill>
          </w14:textFill>
        </w:rPr>
        <w:t xml:space="preserve">     </w:t>
      </w:r>
      <w:r>
        <w:rPr>
          <w:rFonts w:hint="eastAsia"/>
          <w:color w:val="262626" w:themeColor="text1" w:themeTint="D9"/>
          <w14:textFill>
            <w14:solidFill>
              <w14:schemeClr w14:val="tx1">
                <w14:lumMod w14:val="85000"/>
                <w14:lumOff w14:val="15000"/>
              </w14:schemeClr>
            </w14:solidFill>
          </w14:textFill>
        </w:rPr>
        <w:t>；本单位有限空间类别有</w:t>
      </w:r>
      <w:r>
        <w:rPr>
          <w:rFonts w:hint="eastAsia"/>
          <w:color w:val="262626" w:themeColor="text1" w:themeTint="D9"/>
          <w:u w:val="single"/>
          <w14:textFill>
            <w14:solidFill>
              <w14:schemeClr w14:val="tx1">
                <w14:lumMod w14:val="85000"/>
                <w14:lumOff w14:val="15000"/>
              </w14:schemeClr>
            </w14:solidFill>
          </w14:textFill>
        </w:rPr>
        <w:t xml:space="preserve">          </w:t>
      </w:r>
      <w:r>
        <w:rPr>
          <w:rFonts w:hint="eastAsia"/>
          <w:color w:val="262626" w:themeColor="text1" w:themeTint="D9"/>
          <w14:textFill>
            <w14:solidFill>
              <w14:schemeClr w14:val="tx1">
                <w14:lumMod w14:val="85000"/>
                <w14:lumOff w14:val="15000"/>
              </w14:schemeClr>
            </w14:solidFill>
          </w14:textFill>
        </w:rPr>
        <w:t>共</w:t>
      </w:r>
      <w:r>
        <w:rPr>
          <w:rFonts w:hint="eastAsia"/>
          <w:color w:val="262626" w:themeColor="text1" w:themeTint="D9"/>
          <w:u w:val="single"/>
          <w14:textFill>
            <w14:solidFill>
              <w14:schemeClr w14:val="tx1">
                <w14:lumMod w14:val="85000"/>
                <w14:lumOff w14:val="15000"/>
              </w14:schemeClr>
            </w14:solidFill>
          </w14:textFill>
        </w:rPr>
        <w:t xml:space="preserve">      </w:t>
      </w:r>
      <w:r>
        <w:rPr>
          <w:rFonts w:hint="eastAsia"/>
          <w:color w:val="262626" w:themeColor="text1" w:themeTint="D9"/>
          <w14:textFill>
            <w14:solidFill>
              <w14:schemeClr w14:val="tx1">
                <w14:lumMod w14:val="85000"/>
                <w14:lumOff w14:val="15000"/>
              </w14:schemeClr>
            </w14:solidFill>
          </w14:textFill>
        </w:rPr>
        <w:t>处。</w:t>
      </w:r>
    </w:p>
    <w:p>
      <w:pPr>
        <w:spacing w:line="480" w:lineRule="atLeast"/>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表1 有限空间基本情况</w:t>
      </w:r>
    </w:p>
    <w:tbl>
      <w:tblPr>
        <w:tblStyle w:val="17"/>
        <w:tblW w:w="9393"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52"/>
        <w:gridCol w:w="1715"/>
        <w:gridCol w:w="2249"/>
        <w:gridCol w:w="1648"/>
        <w:gridCol w:w="30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tblCellSpacing w:w="0" w:type="dxa"/>
          <w:jc w:val="center"/>
        </w:trPr>
        <w:tc>
          <w:tcPr>
            <w:tcW w:w="752" w:type="dxa"/>
            <w:tcBorders>
              <w:right w:val="single" w:color="auto" w:sz="4" w:space="0"/>
            </w:tcBorders>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序号</w:t>
            </w:r>
          </w:p>
        </w:tc>
        <w:tc>
          <w:tcPr>
            <w:tcW w:w="1715" w:type="dxa"/>
            <w:tcBorders>
              <w:left w:val="single" w:color="auto" w:sz="4" w:space="0"/>
            </w:tcBorders>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名称</w:t>
            </w:r>
          </w:p>
        </w:tc>
        <w:tc>
          <w:tcPr>
            <w:tcW w:w="2249" w:type="dxa"/>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位置</w:t>
            </w:r>
          </w:p>
        </w:tc>
        <w:tc>
          <w:tcPr>
            <w:tcW w:w="1648" w:type="dxa"/>
            <w:tcBorders>
              <w:right w:val="single" w:color="auto" w:sz="4" w:space="0"/>
            </w:tcBorders>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危险有害因素</w:t>
            </w:r>
          </w:p>
        </w:tc>
        <w:tc>
          <w:tcPr>
            <w:tcW w:w="3029" w:type="dxa"/>
            <w:tcBorders>
              <w:left w:val="single" w:color="auto" w:sz="4" w:space="0"/>
            </w:tcBorders>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备注</w:t>
            </w:r>
          </w:p>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（密闭/地上/地下有限空间）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tblCellSpacing w:w="0" w:type="dxa"/>
          <w:jc w:val="center"/>
        </w:trPr>
        <w:tc>
          <w:tcPr>
            <w:tcW w:w="752" w:type="dxa"/>
            <w:tcBorders>
              <w:right w:val="single" w:color="auto" w:sz="4" w:space="0"/>
            </w:tcBorders>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1</w:t>
            </w:r>
          </w:p>
        </w:tc>
        <w:tc>
          <w:tcPr>
            <w:tcW w:w="1715" w:type="dxa"/>
            <w:tcBorders>
              <w:left w:val="single" w:color="auto" w:sz="4" w:space="0"/>
            </w:tcBorders>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电力井</w:t>
            </w:r>
          </w:p>
        </w:tc>
        <w:tc>
          <w:tcPr>
            <w:tcW w:w="2249" w:type="dxa"/>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648" w:type="dxa"/>
            <w:tcBorders>
              <w:right w:val="single" w:color="auto" w:sz="4" w:space="0"/>
            </w:tcBorders>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3029" w:type="dxa"/>
            <w:tcBorders>
              <w:left w:val="single" w:color="auto" w:sz="4" w:space="0"/>
            </w:tcBorders>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tblCellSpacing w:w="0" w:type="dxa"/>
          <w:jc w:val="center"/>
        </w:trPr>
        <w:tc>
          <w:tcPr>
            <w:tcW w:w="752" w:type="dxa"/>
            <w:tcBorders>
              <w:right w:val="single" w:color="auto" w:sz="4" w:space="0"/>
            </w:tcBorders>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2 </w:t>
            </w:r>
          </w:p>
        </w:tc>
        <w:tc>
          <w:tcPr>
            <w:tcW w:w="1715" w:type="dxa"/>
            <w:tcBorders>
              <w:left w:val="single" w:color="auto" w:sz="4" w:space="0"/>
            </w:tcBorders>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污水处理池</w:t>
            </w:r>
          </w:p>
        </w:tc>
        <w:tc>
          <w:tcPr>
            <w:tcW w:w="2249" w:type="dxa"/>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648" w:type="dxa"/>
            <w:tcBorders>
              <w:right w:val="single" w:color="auto" w:sz="4" w:space="0"/>
            </w:tcBorders>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3029" w:type="dxa"/>
            <w:tcBorders>
              <w:left w:val="single" w:color="auto" w:sz="4" w:space="0"/>
            </w:tcBorders>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bl>
    <w:p>
      <w:pPr>
        <w:pStyle w:val="16"/>
        <w:shd w:val="clear" w:color="auto" w:fill="FFFFFF"/>
        <w:spacing w:before="0" w:beforeAutospacing="0" w:after="0" w:afterAutospacing="0" w:line="360" w:lineRule="auto"/>
        <w:rPr>
          <w:color w:val="262626" w:themeColor="text1" w:themeTint="D9"/>
          <w14:textFill>
            <w14:solidFill>
              <w14:schemeClr w14:val="tx1">
                <w14:lumMod w14:val="85000"/>
                <w14:lumOff w14:val="15000"/>
              </w14:schemeClr>
            </w14:solidFill>
          </w14:textFill>
        </w:rPr>
      </w:pPr>
      <w:bookmarkStart w:id="12" w:name="_Toc444074488"/>
      <w:bookmarkStart w:id="13" w:name="_Toc383758590"/>
      <w:bookmarkStart w:id="14" w:name="_Toc384113201"/>
      <w:bookmarkStart w:id="15" w:name="_Toc384113965"/>
      <w:bookmarkStart w:id="16" w:name="_Toc384113830"/>
      <w:bookmarkStart w:id="17" w:name="_Toc384114049"/>
      <w:bookmarkStart w:id="18" w:name="_Toc384114187"/>
      <w:bookmarkStart w:id="19" w:name="_Toc384113416"/>
      <w:r>
        <w:rPr>
          <w:rFonts w:hint="eastAsia"/>
          <w:color w:val="262626" w:themeColor="text1" w:themeTint="D9"/>
          <w14:textFill>
            <w14:solidFill>
              <w14:schemeClr w14:val="tx1">
                <w14:lumMod w14:val="85000"/>
                <w14:lumOff w14:val="15000"/>
              </w14:schemeClr>
            </w14:solidFill>
          </w14:textFill>
        </w:rPr>
        <w:t>（二）事故风险分析</w:t>
      </w:r>
      <w:bookmarkEnd w:id="12"/>
      <w:bookmarkEnd w:id="13"/>
      <w:bookmarkEnd w:id="14"/>
      <w:bookmarkEnd w:id="15"/>
      <w:bookmarkEnd w:id="16"/>
      <w:bookmarkEnd w:id="17"/>
      <w:bookmarkEnd w:id="18"/>
      <w:bookmarkEnd w:id="19"/>
    </w:p>
    <w:p>
      <w:pPr>
        <w:pStyle w:val="16"/>
        <w:shd w:val="clear" w:color="auto" w:fill="FFFFFF"/>
        <w:spacing w:before="0" w:beforeAutospacing="0" w:after="0" w:afterAutospacing="0" w:line="360" w:lineRule="auto"/>
        <w:ind w:firstLine="566" w:firstLineChars="236"/>
        <w:rPr>
          <w:color w:val="262626" w:themeColor="text1" w:themeTint="D9"/>
          <w14:textFill>
            <w14:solidFill>
              <w14:schemeClr w14:val="tx1">
                <w14:lumMod w14:val="85000"/>
                <w14:lumOff w14:val="15000"/>
              </w14:schemeClr>
            </w14:solidFill>
          </w14:textFill>
        </w:rPr>
      </w:pPr>
      <w:r>
        <w:rPr>
          <w:rFonts w:hint="eastAsia"/>
          <w:color w:val="262626" w:themeColor="text1" w:themeTint="D9"/>
          <w14:textFill>
            <w14:solidFill>
              <w14:schemeClr w14:val="tx1">
                <w14:lumMod w14:val="85000"/>
                <w14:lumOff w14:val="15000"/>
              </w14:schemeClr>
            </w14:solidFill>
          </w14:textFill>
        </w:rPr>
        <w:t>有限空间本身具有与外界相对隔离，出入口较为狭窄，自然通风不良，有毒有害、易燃易爆物质积聚或者氧含量不足的特点，在生产、维修、管理作业过程中容易造成缺氧、中毒、触电、引发火灾爆炸等事故。</w:t>
      </w:r>
    </w:p>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表2有限空间作业危险有害因素(单位视实际情况修改)</w:t>
      </w:r>
    </w:p>
    <w:tbl>
      <w:tblPr>
        <w:tblStyle w:val="17"/>
        <w:tblW w:w="9923" w:type="dxa"/>
        <w:tblInd w:w="-6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2"/>
        <w:gridCol w:w="1293"/>
        <w:gridCol w:w="4444"/>
        <w:gridCol w:w="34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2" w:type="dxa"/>
          </w:tcPr>
          <w:p>
            <w:pPr>
              <w:jc w:val="cente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Cs/>
                <w:color w:val="262626" w:themeColor="text1" w:themeTint="D9"/>
                <w:sz w:val="24"/>
                <w:szCs w:val="24"/>
                <w14:textFill>
                  <w14:solidFill>
                    <w14:schemeClr w14:val="tx1">
                      <w14:lumMod w14:val="85000"/>
                      <w14:lumOff w14:val="15000"/>
                    </w14:schemeClr>
                  </w14:solidFill>
                </w14:textFill>
              </w:rPr>
              <w:t>事故种类</w:t>
            </w:r>
          </w:p>
        </w:tc>
        <w:tc>
          <w:tcPr>
            <w:tcW w:w="1293" w:type="dxa"/>
          </w:tcPr>
          <w:p>
            <w:pPr>
              <w:jc w:val="cente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Cs/>
                <w:color w:val="262626" w:themeColor="text1" w:themeTint="D9"/>
                <w:sz w:val="24"/>
                <w:szCs w:val="24"/>
                <w14:textFill>
                  <w14:solidFill>
                    <w14:schemeClr w14:val="tx1">
                      <w14:lumMod w14:val="85000"/>
                      <w14:lumOff w14:val="15000"/>
                    </w14:schemeClr>
                  </w14:solidFill>
                </w14:textFill>
              </w:rPr>
              <w:t>主要危险危害因素</w:t>
            </w:r>
          </w:p>
        </w:tc>
        <w:tc>
          <w:tcPr>
            <w:tcW w:w="4444" w:type="dxa"/>
          </w:tcPr>
          <w:p>
            <w:pPr>
              <w:jc w:val="cente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Cs/>
                <w:color w:val="262626" w:themeColor="text1" w:themeTint="D9"/>
                <w:sz w:val="24"/>
                <w:szCs w:val="24"/>
                <w14:textFill>
                  <w14:solidFill>
                    <w14:schemeClr w14:val="tx1">
                      <w14:lumMod w14:val="85000"/>
                      <w14:lumOff w14:val="15000"/>
                    </w14:schemeClr>
                  </w14:solidFill>
                </w14:textFill>
              </w:rPr>
              <w:t>产生原因</w:t>
            </w:r>
          </w:p>
        </w:tc>
        <w:tc>
          <w:tcPr>
            <w:tcW w:w="3484" w:type="dxa"/>
          </w:tcPr>
          <w:p>
            <w:pPr>
              <w:jc w:val="cente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Cs/>
                <w:color w:val="262626" w:themeColor="text1" w:themeTint="D9"/>
                <w:sz w:val="24"/>
                <w:szCs w:val="24"/>
                <w14:textFill>
                  <w14:solidFill>
                    <w14:schemeClr w14:val="tx1">
                      <w14:lumMod w14:val="85000"/>
                      <w14:lumOff w14:val="15000"/>
                    </w14:schemeClr>
                  </w14:solidFill>
                </w14:textFill>
              </w:rPr>
              <w:t>可能产生的有限空间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2" w:type="dxa"/>
          </w:tcPr>
          <w:p>
            <w:pP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Cs/>
                <w:color w:val="262626" w:themeColor="text1" w:themeTint="D9"/>
                <w:sz w:val="24"/>
                <w:szCs w:val="24"/>
                <w14:textFill>
                  <w14:solidFill>
                    <w14:schemeClr w14:val="tx1">
                      <w14:lumMod w14:val="85000"/>
                      <w14:lumOff w14:val="15000"/>
                    </w14:schemeClr>
                  </w14:solidFill>
                </w14:textFill>
              </w:rPr>
              <w:t>窒息</w:t>
            </w:r>
          </w:p>
        </w:tc>
        <w:tc>
          <w:tcPr>
            <w:tcW w:w="1293" w:type="dxa"/>
          </w:tcPr>
          <w:p>
            <w:pP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Cs/>
                <w:color w:val="262626" w:themeColor="text1" w:themeTint="D9"/>
                <w:sz w:val="24"/>
                <w:szCs w:val="24"/>
                <w14:textFill>
                  <w14:solidFill>
                    <w14:schemeClr w14:val="tx1">
                      <w14:lumMod w14:val="85000"/>
                      <w14:lumOff w14:val="15000"/>
                    </w14:schemeClr>
                  </w14:solidFill>
                </w14:textFill>
              </w:rPr>
              <w:t>缺氧</w:t>
            </w:r>
          </w:p>
        </w:tc>
        <w:tc>
          <w:tcPr>
            <w:tcW w:w="4444" w:type="dxa"/>
          </w:tcPr>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有限空间通风不良，氧含量偏低；</w:t>
            </w:r>
          </w:p>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有限空间内存在的物质发生耗氧性化学反应；如燃烧，生物的有氧呼吸等；</w:t>
            </w:r>
          </w:p>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作业过程中引入单纯性窒息气体挤占氧气空间，如使用氮气、氩气、水蒸气进行清洗；</w:t>
            </w:r>
          </w:p>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某些相连或相近的设备或管道的渗漏或扩散，如天然气泄漏；</w:t>
            </w:r>
          </w:p>
          <w:p>
            <w:pP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较高的氧气消耗速度，如过多人员同时在有限空间内作业。</w:t>
            </w:r>
          </w:p>
        </w:tc>
        <w:tc>
          <w:tcPr>
            <w:tcW w:w="3484" w:type="dxa"/>
          </w:tcPr>
          <w:p>
            <w:pPr>
              <w:rPr>
                <w:rFonts w:ascii="宋体" w:hAnsi="宋体" w:eastAsia="宋体" w:cs="宋体"/>
                <w:color w:val="262626" w:themeColor="text1" w:themeTint="D9"/>
                <w:kern w:val="0"/>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贮罐、车载槽罐、反应塔（釜）、压力容器；</w:t>
            </w:r>
          </w:p>
          <w:p>
            <w:pPr>
              <w:rPr>
                <w:rFonts w:ascii="宋体" w:hAnsi="宋体" w:eastAsia="宋体" w:cs="宋体"/>
                <w:color w:val="262626" w:themeColor="text1" w:themeTint="D9"/>
                <w:kern w:val="0"/>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地下工程、地下管道、暗沟、涵洞、地坑、废井、污水池（井）、沼气池、化粪池、下水道；</w:t>
            </w:r>
          </w:p>
          <w:p>
            <w:pPr>
              <w:rPr>
                <w:rFonts w:ascii="宋体" w:hAnsi="宋体" w:eastAsia="宋体" w:cs="宋体"/>
                <w:color w:val="262626" w:themeColor="text1" w:themeTint="D9"/>
                <w:kern w:val="0"/>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储藏室、温室、冷库；</w:t>
            </w:r>
          </w:p>
          <w:p>
            <w:pPr>
              <w:rPr>
                <w:rFonts w:ascii="宋体" w:hAnsi="宋体" w:eastAsia="宋体" w:cs="宋体"/>
                <w:color w:val="262626" w:themeColor="text1" w:themeTint="D9"/>
                <w:kern w:val="0"/>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酒糟池、发酵池；</w:t>
            </w:r>
          </w:p>
          <w:p>
            <w:pPr>
              <w:rPr>
                <w:rFonts w:ascii="宋体" w:hAnsi="宋体" w:eastAsia="宋体" w:cs="宋体"/>
                <w:color w:val="262626" w:themeColor="text1" w:themeTint="D9"/>
                <w:kern w:val="0"/>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垃圾站；</w:t>
            </w:r>
          </w:p>
          <w:p>
            <w:pP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粮仓、料仓。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2" w:type="dxa"/>
          </w:tcPr>
          <w:p>
            <w:pP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Cs/>
                <w:color w:val="262626" w:themeColor="text1" w:themeTint="D9"/>
                <w:sz w:val="24"/>
                <w:szCs w:val="24"/>
                <w14:textFill>
                  <w14:solidFill>
                    <w14:schemeClr w14:val="tx1">
                      <w14:lumMod w14:val="85000"/>
                      <w14:lumOff w14:val="15000"/>
                    </w14:schemeClr>
                  </w14:solidFill>
                </w14:textFill>
              </w:rPr>
              <w:t>中毒</w:t>
            </w:r>
          </w:p>
        </w:tc>
        <w:tc>
          <w:tcPr>
            <w:tcW w:w="1293" w:type="dxa"/>
          </w:tcPr>
          <w:p>
            <w:pPr>
              <w:rPr>
                <w:rFonts w:ascii="宋体" w:hAnsi="宋体" w:eastAsia="宋体" w:cs="宋体"/>
                <w:color w:val="262626" w:themeColor="text1" w:themeTint="D9"/>
                <w:kern w:val="0"/>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一氧化碳（CO）；挥发性有机溶剂；</w:t>
            </w:r>
          </w:p>
          <w:p>
            <w:pP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硫化氢（H</w:t>
            </w:r>
            <w:r>
              <w:rPr>
                <w:rFonts w:hint="eastAsia" w:ascii="宋体" w:hAnsi="宋体" w:eastAsia="宋体" w:cs="宋体"/>
                <w:color w:val="262626" w:themeColor="text1" w:themeTint="D9"/>
                <w:kern w:val="0"/>
                <w:sz w:val="24"/>
                <w:szCs w:val="24"/>
                <w:vertAlign w:val="subscript"/>
                <w14:textFill>
                  <w14:solidFill>
                    <w14:schemeClr w14:val="tx1">
                      <w14:lumMod w14:val="85000"/>
                      <w14:lumOff w14:val="15000"/>
                    </w14:schemeClr>
                  </w14:solidFill>
                </w14:textFill>
              </w:rPr>
              <w:t>2</w:t>
            </w: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S）</w:t>
            </w:r>
          </w:p>
        </w:tc>
        <w:tc>
          <w:tcPr>
            <w:tcW w:w="4444" w:type="dxa"/>
          </w:tcPr>
          <w:p>
            <w:pPr>
              <w:pStyle w:val="40"/>
              <w:spacing w:line="240" w:lineRule="auto"/>
              <w:ind w:firstLine="0"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有限空间内储存的有毒化学品残留、泄漏或挥发；</w:t>
            </w:r>
          </w:p>
          <w:p>
            <w:pPr>
              <w:pStyle w:val="40"/>
              <w:spacing w:line="240" w:lineRule="auto"/>
              <w:ind w:firstLine="0"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有限空间内物质发生化学反应，产生有毒物质，如有机物分解产生硫化氢；</w:t>
            </w:r>
          </w:p>
          <w:p>
            <w:pPr>
              <w:pStyle w:val="40"/>
              <w:spacing w:line="240" w:lineRule="auto"/>
              <w:ind w:firstLine="0"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某些相连或接近的设备或管道的有毒物质渗漏或扩散；</w:t>
            </w:r>
          </w:p>
          <w:p>
            <w:pPr>
              <w:pStyle w:val="40"/>
              <w:spacing w:line="240" w:lineRule="auto"/>
              <w:ind w:firstLine="0" w:firstLineChars="0"/>
              <w:rPr>
                <w:rFonts w:ascii="宋体" w:hAnsi="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作业过程中产生或引入有毒物质，如焊接、喷漆或使用有机溶剂进行清洁。</w:t>
            </w:r>
          </w:p>
        </w:tc>
        <w:tc>
          <w:tcPr>
            <w:tcW w:w="3484" w:type="dxa"/>
          </w:tcPr>
          <w:p>
            <w:pPr>
              <w:rPr>
                <w:rFonts w:ascii="宋体" w:hAnsi="宋体" w:eastAsia="宋体" w:cs="宋体"/>
                <w:color w:val="262626" w:themeColor="text1" w:themeTint="D9"/>
                <w:kern w:val="0"/>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贮罐、车载槽罐、反应塔（釜）、压力容器；</w:t>
            </w:r>
          </w:p>
          <w:p>
            <w:pPr>
              <w:rPr>
                <w:rFonts w:ascii="宋体" w:hAnsi="宋体" w:eastAsia="宋体" w:cs="宋体"/>
                <w:color w:val="262626" w:themeColor="text1" w:themeTint="D9"/>
                <w:kern w:val="0"/>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地下工程、地下管道、暗沟、涵洞、地坑、废井、污水池（井）、沼气池、化粪池、下水道；</w:t>
            </w:r>
          </w:p>
          <w:p>
            <w:pPr>
              <w:rPr>
                <w:rFonts w:ascii="宋体" w:hAnsi="宋体" w:eastAsia="宋体" w:cs="宋体"/>
                <w:color w:val="262626" w:themeColor="text1" w:themeTint="D9"/>
                <w:kern w:val="0"/>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酒糟池、发酵池；</w:t>
            </w:r>
          </w:p>
          <w:p>
            <w:pPr>
              <w:rPr>
                <w:rFonts w:ascii="宋体" w:hAnsi="宋体" w:eastAsia="宋体" w:cs="宋体"/>
                <w:color w:val="262626" w:themeColor="text1" w:themeTint="D9"/>
                <w:kern w:val="0"/>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垃圾站；</w:t>
            </w:r>
          </w:p>
          <w:p>
            <w:pP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粮仓。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2" w:type="dxa"/>
          </w:tcPr>
          <w:p>
            <w:pP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燃爆</w:t>
            </w:r>
          </w:p>
        </w:tc>
        <w:tc>
          <w:tcPr>
            <w:tcW w:w="1293" w:type="dxa"/>
          </w:tcPr>
          <w:p>
            <w:pPr>
              <w:rPr>
                <w:rFonts w:ascii="宋体" w:hAnsi="宋体" w:eastAsia="宋体" w:cs="宋体"/>
                <w:color w:val="262626" w:themeColor="text1" w:themeTint="D9"/>
                <w:kern w:val="0"/>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可燃性气体爆炸；</w:t>
            </w:r>
          </w:p>
          <w:p>
            <w:pPr>
              <w:rPr>
                <w:rFonts w:ascii="宋体" w:hAnsi="宋体" w:eastAsia="宋体" w:cs="宋体"/>
                <w:color w:val="262626" w:themeColor="text1" w:themeTint="D9"/>
                <w:kern w:val="0"/>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易燃易爆物质（可燃性气体、爆炸性粉尘）爆炸；</w:t>
            </w:r>
          </w:p>
          <w:p>
            <w:pP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粉尘爆炸</w:t>
            </w:r>
          </w:p>
        </w:tc>
        <w:tc>
          <w:tcPr>
            <w:tcW w:w="4444" w:type="dxa"/>
          </w:tcPr>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有限空间中易燃气体或液体的泄漏、挥发；</w:t>
            </w:r>
          </w:p>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有机物分级，如生活垃圾、动植物腐败物分解产生的甲烷；</w:t>
            </w:r>
          </w:p>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作业过程中引入的，如乙炔气焊产生的一氧化碳；</w:t>
            </w:r>
          </w:p>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空气中氧气含量超过了23.5%时，形成富氧环境。</w:t>
            </w:r>
          </w:p>
          <w:p>
            <w:pP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p>
        </w:tc>
        <w:tc>
          <w:tcPr>
            <w:tcW w:w="3484" w:type="dxa"/>
          </w:tcPr>
          <w:p>
            <w:pPr>
              <w:rPr>
                <w:rFonts w:ascii="宋体" w:hAnsi="宋体" w:eastAsia="宋体" w:cs="宋体"/>
                <w:color w:val="262626" w:themeColor="text1" w:themeTint="D9"/>
                <w:kern w:val="0"/>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贮罐、车载槽罐、反应塔（釜）、压力容器；</w:t>
            </w:r>
          </w:p>
          <w:p>
            <w:pPr>
              <w:rPr>
                <w:rFonts w:ascii="宋体" w:hAnsi="宋体" w:eastAsia="宋体" w:cs="宋体"/>
                <w:color w:val="262626" w:themeColor="text1" w:themeTint="D9"/>
                <w:kern w:val="0"/>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冷藏箱、管道；</w:t>
            </w:r>
          </w:p>
          <w:p>
            <w:pPr>
              <w:rPr>
                <w:rFonts w:ascii="宋体" w:hAnsi="宋体" w:eastAsia="宋体" w:cs="宋体"/>
                <w:color w:val="262626" w:themeColor="text1" w:themeTint="D9"/>
                <w:kern w:val="0"/>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烟道、锅炉；</w:t>
            </w:r>
          </w:p>
          <w:p>
            <w:pPr>
              <w:rPr>
                <w:rFonts w:ascii="宋体" w:hAnsi="宋体" w:eastAsia="宋体" w:cs="宋体"/>
                <w:color w:val="262626" w:themeColor="text1" w:themeTint="D9"/>
                <w:kern w:val="0"/>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地下室、地下仓库、隧道、地窖；</w:t>
            </w:r>
          </w:p>
          <w:p>
            <w:pPr>
              <w:rPr>
                <w:rFonts w:ascii="宋体" w:hAnsi="宋体" w:eastAsia="宋体" w:cs="宋体"/>
                <w:color w:val="262626" w:themeColor="text1" w:themeTint="D9"/>
                <w:kern w:val="0"/>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地下工程、地下管道、暗沟、涵洞、地坑、废井、污水池（井）、沼气池、化粪池、下水道；</w:t>
            </w:r>
          </w:p>
          <w:p>
            <w:pPr>
              <w:rPr>
                <w:rFonts w:ascii="宋体" w:hAnsi="宋体" w:eastAsia="宋体" w:cs="宋体"/>
                <w:color w:val="262626" w:themeColor="text1" w:themeTint="D9"/>
                <w:kern w:val="0"/>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酒糟池、发酵池；</w:t>
            </w:r>
          </w:p>
          <w:p>
            <w:pPr>
              <w:rPr>
                <w:rFonts w:ascii="宋体" w:hAnsi="宋体" w:eastAsia="宋体" w:cs="宋体"/>
                <w:color w:val="262626" w:themeColor="text1" w:themeTint="D9"/>
                <w:kern w:val="0"/>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垃圾站；</w:t>
            </w:r>
          </w:p>
          <w:p>
            <w:pP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粮仓、料仓。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2" w:type="dxa"/>
            <w:vMerge w:val="restart"/>
          </w:tcPr>
          <w:p>
            <w:pP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Cs/>
                <w:color w:val="262626" w:themeColor="text1" w:themeTint="D9"/>
                <w:sz w:val="24"/>
                <w:szCs w:val="24"/>
                <w14:textFill>
                  <w14:solidFill>
                    <w14:schemeClr w14:val="tx1">
                      <w14:lumMod w14:val="85000"/>
                      <w14:lumOff w14:val="15000"/>
                    </w14:schemeClr>
                  </w14:solidFill>
                </w14:textFill>
              </w:rPr>
              <w:t>其他</w:t>
            </w:r>
          </w:p>
        </w:tc>
        <w:tc>
          <w:tcPr>
            <w:tcW w:w="1293" w:type="dxa"/>
          </w:tcPr>
          <w:p>
            <w:pP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淹溺：导致人窒息缺氧</w:t>
            </w:r>
          </w:p>
        </w:tc>
        <w:tc>
          <w:tcPr>
            <w:tcW w:w="4444" w:type="dxa"/>
          </w:tcPr>
          <w:p>
            <w:pPr>
              <w:pStyle w:val="40"/>
              <w:spacing w:line="240" w:lineRule="auto"/>
              <w:ind w:firstLine="0"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地下有限空间，低于地面2m，有水积蓄，因中毒、受伤或不慎跌落可导致淹溺；</w:t>
            </w:r>
          </w:p>
          <w:p>
            <w:pPr>
              <w:pStyle w:val="40"/>
              <w:spacing w:line="240" w:lineRule="auto"/>
              <w:ind w:firstLine="0"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常见于粪坑粪池、腌菜窖、沉淀池、污水池、阴沟下水道的清理、维修等工作，多伴发高处坠落、电击、跌落等事故；</w:t>
            </w:r>
          </w:p>
          <w:p>
            <w:pP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对人体造成的伤害：面部或全身青紫、烦躁不安、抽筋、呼吸困难、昏迷、意识丧失、心跳停止等。</w:t>
            </w:r>
          </w:p>
        </w:tc>
        <w:tc>
          <w:tcPr>
            <w:tcW w:w="3484" w:type="dxa"/>
          </w:tcPr>
          <w:p>
            <w:pP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地下工程、地下管道、暗沟、涵洞、地坑、废井、污水池（井）、沼气池、化粪池、下水道。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2" w:type="dxa"/>
            <w:vMerge w:val="continue"/>
          </w:tcPr>
          <w:p>
            <w:pP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p>
        </w:tc>
        <w:tc>
          <w:tcPr>
            <w:tcW w:w="1293" w:type="dxa"/>
          </w:tcPr>
          <w:p>
            <w:pP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高处坠落</w:t>
            </w:r>
          </w:p>
        </w:tc>
        <w:tc>
          <w:tcPr>
            <w:tcW w:w="4444" w:type="dxa"/>
          </w:tcPr>
          <w:p>
            <w:pPr>
              <w:pStyle w:val="40"/>
              <w:spacing w:line="240" w:lineRule="auto"/>
              <w:ind w:firstLine="0"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安全防护用具不合格，如脚手板和防护栏安装使用不合理；</w:t>
            </w:r>
          </w:p>
          <w:p>
            <w:pPr>
              <w:pStyle w:val="40"/>
              <w:spacing w:line="240" w:lineRule="auto"/>
              <w:ind w:firstLine="0"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使用的扶梯有缺陷；</w:t>
            </w:r>
          </w:p>
          <w:p>
            <w:pP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作业面狭窄，作业人员活动受限，四周悬空，手脚易于扑空。</w:t>
            </w:r>
          </w:p>
        </w:tc>
        <w:tc>
          <w:tcPr>
            <w:tcW w:w="3484" w:type="dxa"/>
            <w:vMerge w:val="restart"/>
          </w:tcPr>
          <w:p>
            <w:pPr>
              <w:rPr>
                <w:rFonts w:ascii="宋体" w:hAnsi="宋体" w:eastAsia="宋体" w:cs="宋体"/>
                <w:color w:val="262626" w:themeColor="text1" w:themeTint="D9"/>
                <w:kern w:val="0"/>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贮罐、车载槽罐、反应塔（釜）、压力容器；</w:t>
            </w:r>
          </w:p>
          <w:p>
            <w:pPr>
              <w:rPr>
                <w:rFonts w:ascii="宋体" w:hAnsi="宋体" w:eastAsia="宋体" w:cs="宋体"/>
                <w:color w:val="262626" w:themeColor="text1" w:themeTint="D9"/>
                <w:kern w:val="0"/>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地下工程、地下管道、暗沟、涵洞、地坑、废井、污水池（井）、沼气池、化粪池、下水道；</w:t>
            </w:r>
          </w:p>
          <w:p>
            <w:pPr>
              <w:rPr>
                <w:rFonts w:ascii="宋体" w:hAnsi="宋体" w:eastAsia="宋体" w:cs="宋体"/>
                <w:color w:val="262626" w:themeColor="text1" w:themeTint="D9"/>
                <w:kern w:val="0"/>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储藏室、温室、冷库；</w:t>
            </w:r>
          </w:p>
          <w:p>
            <w:pPr>
              <w:rPr>
                <w:rFonts w:ascii="宋体" w:hAnsi="宋体" w:eastAsia="宋体" w:cs="宋体"/>
                <w:color w:val="262626" w:themeColor="text1" w:themeTint="D9"/>
                <w:kern w:val="0"/>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酒糟池、发酵池；</w:t>
            </w:r>
          </w:p>
          <w:p>
            <w:pPr>
              <w:rPr>
                <w:rFonts w:ascii="宋体" w:hAnsi="宋体" w:eastAsia="宋体" w:cs="宋体"/>
                <w:color w:val="262626" w:themeColor="text1" w:themeTint="D9"/>
                <w:kern w:val="0"/>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垃圾站；</w:t>
            </w:r>
          </w:p>
          <w:p>
            <w:pP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kern w:val="0"/>
                <w:sz w:val="24"/>
                <w:szCs w:val="24"/>
                <w14:textFill>
                  <w14:solidFill>
                    <w14:schemeClr w14:val="tx1">
                      <w14:lumMod w14:val="85000"/>
                      <w14:lumOff w14:val="15000"/>
                    </w14:schemeClr>
                  </w14:solidFill>
                </w14:textFill>
              </w:rPr>
              <w:t>粮仓、料仓。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2" w:type="dxa"/>
            <w:vMerge w:val="continue"/>
          </w:tcPr>
          <w:p>
            <w:pP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p>
        </w:tc>
        <w:tc>
          <w:tcPr>
            <w:tcW w:w="1293" w:type="dxa"/>
          </w:tcPr>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触电</w:t>
            </w:r>
          </w:p>
        </w:tc>
        <w:tc>
          <w:tcPr>
            <w:tcW w:w="4444" w:type="dxa"/>
          </w:tcPr>
          <w:p>
            <w:pPr>
              <w:pStyle w:val="40"/>
              <w:spacing w:line="240" w:lineRule="auto"/>
              <w:ind w:firstLine="0"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操作不当触电；</w:t>
            </w:r>
          </w:p>
          <w:p>
            <w:pPr>
              <w:pStyle w:val="40"/>
              <w:spacing w:line="240" w:lineRule="auto"/>
              <w:ind w:firstLine="0"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电动机械、电器、电线年久失修</w:t>
            </w:r>
          </w:p>
        </w:tc>
        <w:tc>
          <w:tcPr>
            <w:tcW w:w="3484" w:type="dxa"/>
            <w:vMerge w:val="continue"/>
          </w:tcPr>
          <w:p>
            <w:pP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2" w:type="dxa"/>
            <w:vMerge w:val="continue"/>
          </w:tcPr>
          <w:p>
            <w:pP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p>
        </w:tc>
        <w:tc>
          <w:tcPr>
            <w:tcW w:w="1293" w:type="dxa"/>
          </w:tcPr>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机械伤害</w:t>
            </w:r>
          </w:p>
        </w:tc>
        <w:tc>
          <w:tcPr>
            <w:tcW w:w="4444" w:type="dxa"/>
          </w:tcPr>
          <w:p>
            <w:pPr>
              <w:pStyle w:val="40"/>
              <w:spacing w:line="240" w:lineRule="auto"/>
              <w:ind w:firstLine="0"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作业期间机械的意外启动；</w:t>
            </w:r>
          </w:p>
          <w:p>
            <w:pPr>
              <w:pStyle w:val="40"/>
              <w:spacing w:line="240" w:lineRule="auto"/>
              <w:ind w:firstLine="0"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未实施有效的关停。</w:t>
            </w:r>
          </w:p>
        </w:tc>
        <w:tc>
          <w:tcPr>
            <w:tcW w:w="3484" w:type="dxa"/>
            <w:vMerge w:val="continue"/>
          </w:tcPr>
          <w:p>
            <w:pPr>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p>
        </w:tc>
      </w:tr>
    </w:tbl>
    <w:p>
      <w:pPr>
        <w:ind w:firstLine="480" w:firstLineChars="200"/>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p>
      <w:pPr>
        <w:pStyle w:val="16"/>
        <w:shd w:val="clear" w:color="auto" w:fill="FFFFFF"/>
        <w:spacing w:before="0" w:beforeAutospacing="0" w:after="0" w:afterAutospacing="0" w:line="360" w:lineRule="auto"/>
        <w:rPr>
          <w:color w:val="262626" w:themeColor="text1" w:themeTint="D9"/>
          <w14:textFill>
            <w14:solidFill>
              <w14:schemeClr w14:val="tx1">
                <w14:lumMod w14:val="85000"/>
                <w14:lumOff w14:val="15000"/>
              </w14:schemeClr>
            </w14:solidFill>
          </w14:textFill>
        </w:rPr>
      </w:pPr>
      <w:bookmarkStart w:id="20" w:name="_Toc383758591"/>
      <w:bookmarkStart w:id="21" w:name="_Toc384113831"/>
      <w:bookmarkStart w:id="22" w:name="_Toc384113966"/>
      <w:bookmarkStart w:id="23" w:name="_Toc384113202"/>
      <w:bookmarkStart w:id="24" w:name="_Toc384114050"/>
      <w:bookmarkStart w:id="25" w:name="_Toc444074489"/>
      <w:bookmarkStart w:id="26" w:name="_Toc384113417"/>
      <w:bookmarkStart w:id="27" w:name="_Toc384114188"/>
      <w:r>
        <w:rPr>
          <w:rFonts w:hint="eastAsia"/>
          <w:color w:val="262626" w:themeColor="text1" w:themeTint="D9"/>
          <w14:textFill>
            <w14:solidFill>
              <w14:schemeClr w14:val="tx1">
                <w14:lumMod w14:val="85000"/>
                <w14:lumOff w14:val="15000"/>
              </w14:schemeClr>
            </w14:solidFill>
          </w14:textFill>
        </w:rPr>
        <w:t>（三）应急处置基本原则</w:t>
      </w:r>
    </w:p>
    <w:p>
      <w:pPr>
        <w:spacing w:line="360" w:lineRule="auto"/>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贯彻执行“安全第一，预防为主、快速反应”的应急方针，坚持以下应急原则：</w:t>
      </w:r>
    </w:p>
    <w:p>
      <w:pPr>
        <w:spacing w:line="360" w:lineRule="auto"/>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（1）设立警戒线，撤离所有无关人员，禁止无关人员进入。</w:t>
      </w:r>
    </w:p>
    <w:p>
      <w:pPr>
        <w:spacing w:line="360" w:lineRule="auto"/>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（2）保护人员的生命安全是第一位的。要迅速组织抢救受伤人员，撤离、疏散可能受到伤害的人员。</w:t>
      </w:r>
    </w:p>
    <w:p>
      <w:pPr>
        <w:spacing w:line="360" w:lineRule="auto"/>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（3）禁止盲目施救。</w:t>
      </w:r>
    </w:p>
    <w:p>
      <w:pPr>
        <w:spacing w:line="360" w:lineRule="auto"/>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（4）尽最大努力保护事故现场，因抢救伤员、防止事故扩大等原因需移动现场物件时，必须做出标识和记录，以便事故侦察和处理。</w:t>
      </w:r>
    </w:p>
    <w:p>
      <w:pPr>
        <w:spacing w:line="360" w:lineRule="auto"/>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（5）事故报告：发生重、特大伤亡事故应以最快的方式报告当地和省主管部门。在事故发生24小时内写出书面报告，按规定报告有关部门。</w:t>
      </w:r>
    </w:p>
    <w:p>
      <w:pPr>
        <w:pStyle w:val="16"/>
        <w:shd w:val="clear" w:color="auto" w:fill="FFFFFF"/>
        <w:spacing w:before="0" w:beforeAutospacing="0" w:after="0" w:afterAutospacing="0" w:line="360" w:lineRule="auto"/>
        <w:rPr>
          <w:color w:val="262626" w:themeColor="text1" w:themeTint="D9"/>
          <w14:textFill>
            <w14:solidFill>
              <w14:schemeClr w14:val="tx1">
                <w14:lumMod w14:val="85000"/>
                <w14:lumOff w14:val="15000"/>
              </w14:schemeClr>
            </w14:solidFill>
          </w14:textFill>
        </w:rPr>
      </w:pPr>
    </w:p>
    <w:p>
      <w:pPr>
        <w:pStyle w:val="16"/>
        <w:shd w:val="clear" w:color="auto" w:fill="FFFFFF"/>
        <w:spacing w:before="0" w:beforeAutospacing="0" w:after="0" w:afterAutospacing="0" w:line="360" w:lineRule="auto"/>
        <w:rPr>
          <w:color w:val="262626" w:themeColor="text1" w:themeTint="D9"/>
          <w14:textFill>
            <w14:solidFill>
              <w14:schemeClr w14:val="tx1">
                <w14:lumMod w14:val="85000"/>
                <w14:lumOff w14:val="15000"/>
              </w14:schemeClr>
            </w14:solidFill>
          </w14:textFill>
        </w:rPr>
      </w:pPr>
      <w:r>
        <w:rPr>
          <w:rFonts w:hint="eastAsia"/>
          <w:color w:val="262626" w:themeColor="text1" w:themeTint="D9"/>
          <w14:textFill>
            <w14:solidFill>
              <w14:schemeClr w14:val="tx1">
                <w14:lumMod w14:val="85000"/>
                <w14:lumOff w14:val="15000"/>
              </w14:schemeClr>
            </w14:solidFill>
          </w14:textFill>
        </w:rPr>
        <w:t>（四）应急组织机构及职责</w:t>
      </w:r>
      <w:bookmarkEnd w:id="20"/>
      <w:bookmarkEnd w:id="21"/>
      <w:bookmarkEnd w:id="22"/>
      <w:bookmarkEnd w:id="23"/>
      <w:bookmarkEnd w:id="24"/>
      <w:bookmarkEnd w:id="25"/>
      <w:bookmarkEnd w:id="26"/>
      <w:bookmarkEnd w:id="27"/>
    </w:p>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(1)组织机构：</w:t>
      </w:r>
    </w:p>
    <w:p>
      <w:pPr>
        <w:spacing w:line="360" w:lineRule="auto"/>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建立事故应急处理机构，成立事故应急处理小组</w:t>
      </w:r>
    </w:p>
    <w:p>
      <w:pPr>
        <w:spacing w:line="360" w:lineRule="auto"/>
        <w:ind w:firstLine="482"/>
        <w:rPr>
          <w:rFonts w:ascii="宋体" w:hAnsi="宋体" w:eastAsia="宋体" w:cs="宋体"/>
          <w:color w:val="262626" w:themeColor="text1" w:themeTint="D9"/>
          <w:sz w:val="24"/>
          <w:szCs w:val="24"/>
          <w14:textFill>
            <w14:solidFill>
              <w14:schemeClr w14:val="tx1">
                <w14:lumMod w14:val="85000"/>
                <w14:lumOff w14:val="15000"/>
              </w14:schemeClr>
            </w14:solidFill>
          </w14:textFill>
        </w:rPr>
      </w:pPr>
      <w:bookmarkStart w:id="28" w:name="_Toc444074490"/>
      <w:bookmarkStart w:id="29" w:name="_Toc384113967"/>
      <w:bookmarkStart w:id="30" w:name="_Toc383758596"/>
      <w:bookmarkStart w:id="31" w:name="_Toc384113418"/>
      <w:bookmarkStart w:id="32" w:name="_Toc384113832"/>
      <w:bookmarkStart w:id="33" w:name="_Toc384114189"/>
      <w:bookmarkStart w:id="34" w:name="_Toc384113203"/>
      <w:bookmarkStart w:id="35" w:name="_Toc384114051"/>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总指挥（小组长-单位第一负责人）：公司总经理为应急总指挥，负责领导公司突发事件的应急管理工作。</w:t>
      </w:r>
    </w:p>
    <w:p>
      <w:pPr>
        <w:spacing w:line="360" w:lineRule="auto"/>
        <w:ind w:firstLine="482"/>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现场指挥（副组长-作业负责人）：负责执行总指挥下达的应急指令，负责应急信息传递、应急值守和综合协调等工作。总指挥不在时，由现场指挥负责公司突发事件的应急管理工作。</w:t>
      </w:r>
    </w:p>
    <w:bookmarkEnd w:id="28"/>
    <w:bookmarkEnd w:id="29"/>
    <w:bookmarkEnd w:id="30"/>
    <w:bookmarkEnd w:id="31"/>
    <w:bookmarkEnd w:id="32"/>
    <w:bookmarkEnd w:id="33"/>
    <w:bookmarkEnd w:id="34"/>
    <w:bookmarkEnd w:id="35"/>
    <w:p>
      <w:pPr>
        <w:spacing w:line="360" w:lineRule="auto"/>
        <w:ind w:firstLine="482"/>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应急小组：由公司有关部门领导和员工组成。按照职责分工，负责突发事件的现场抢险救援等应急工作。</w:t>
      </w:r>
    </w:p>
    <w:p>
      <w:pPr>
        <w:spacing w:line="360" w:lineRule="auto"/>
        <w:ind w:firstLine="482"/>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p>
      <w:pPr>
        <w:spacing w:line="360" w:lineRule="auto"/>
        <w:ind w:firstLine="482"/>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p>
      <w:pPr>
        <w:spacing w:line="360" w:lineRule="auto"/>
        <w:ind w:firstLine="482"/>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p>
      <w:pPr>
        <w:pStyle w:val="8"/>
        <w:spacing w:before="156" w:beforeAutospacing="0" w:after="156" w:afterAutospacing="0" w:line="360" w:lineRule="auto"/>
        <w:rPr>
          <w:rFonts w:cs="宋体"/>
          <w:color w:val="262626" w:themeColor="text1" w:themeTint="D9"/>
          <w14:textFill>
            <w14:solidFill>
              <w14:schemeClr w14:val="tx1">
                <w14:lumMod w14:val="85000"/>
                <w14:lumOff w14:val="15000"/>
              </w14:schemeClr>
            </w14:solidFill>
          </w14:textFill>
        </w:rPr>
      </w:pPr>
      <w:r>
        <w:rPr>
          <w:rFonts w:hint="eastAsia" w:cs="宋体"/>
          <w:color w:val="262626" w:themeColor="text1" w:themeTint="D9"/>
          <w:lang w:val="en-US"/>
          <w14:textFill>
            <w14:solidFill>
              <w14:schemeClr w14:val="tx1">
                <w14:lumMod w14:val="85000"/>
                <w14:lumOff w14:val="15000"/>
              </w14:schemeClr>
            </w14:solidFill>
          </w14:textFill>
        </w:rPr>
        <mc:AlternateContent>
          <mc:Choice Requires="wps">
            <w:drawing>
              <wp:anchor distT="0" distB="0" distL="114300" distR="114300" simplePos="0" relativeHeight="251660288" behindDoc="0" locked="0" layoutInCell="1" allowOverlap="1">
                <wp:simplePos x="0" y="0"/>
                <wp:positionH relativeFrom="column">
                  <wp:posOffset>2057400</wp:posOffset>
                </wp:positionH>
                <wp:positionV relativeFrom="paragraph">
                  <wp:posOffset>5080</wp:posOffset>
                </wp:positionV>
                <wp:extent cx="1148715" cy="299085"/>
                <wp:effectExtent l="9525" t="6350" r="13335" b="889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1148715" cy="299085"/>
                        </a:xfrm>
                        <a:prstGeom prst="rect">
                          <a:avLst/>
                        </a:prstGeom>
                        <a:solidFill>
                          <a:srgbClr val="FFFFFF"/>
                        </a:solidFill>
                        <a:ln w="9525">
                          <a:solidFill>
                            <a:srgbClr val="000000"/>
                          </a:solidFill>
                          <a:miter lim="800000"/>
                        </a:ln>
                      </wps:spPr>
                      <wps:txbx>
                        <w:txbxContent>
                          <w:p>
                            <w:pPr>
                              <w:jc w:val="center"/>
                              <w:rPr>
                                <w:rFonts w:ascii="楷体_GB2312" w:eastAsia="楷体_GB2312"/>
                              </w:rPr>
                            </w:pPr>
                            <w:r>
                              <w:rPr>
                                <w:rFonts w:hint="eastAsia" w:ascii="楷体_GB2312" w:eastAsia="楷体_GB2312"/>
                              </w:rPr>
                              <w:t>总指挥</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162pt;margin-top:0.4pt;height:23.55pt;width:90.45pt;z-index:251660288;mso-width-relative:page;mso-height-relative:margin;mso-height-percent:200;" fillcolor="#FFFFFF" filled="t" stroked="t" coordsize="21600,21600" o:gfxdata="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G79MmbWAAAABwEAAA8AAAAAAAAAAQAgAAAAIgAAAGRy&#10;cy9kb3ducmV2LnhtbFBLAQIUABQAAAAIAIdO4kBVtiG0QAIAAIcEAAAOAAAAAAAAAAEAIAAAACUB&#10;AABkcnMvZTJvRG9jLnhtbFBLBQYAAAAABgAGAFkBAADXBQAAAAA=&#10;">
                <v:fill on="t" focussize="0,0"/>
                <v:stroke color="#000000" miterlimit="8" joinstyle="miter"/>
                <v:imagedata o:title=""/>
                <o:lock v:ext="edit" aspectratio="f"/>
                <v:textbox style="mso-fit-shape-to-text:t;">
                  <w:txbxContent>
                    <w:p>
                      <w:pPr>
                        <w:jc w:val="center"/>
                        <w:rPr>
                          <w:rFonts w:ascii="楷体_GB2312" w:eastAsia="楷体_GB2312"/>
                        </w:rPr>
                      </w:pPr>
                      <w:r>
                        <w:rPr>
                          <w:rFonts w:hint="eastAsia" w:ascii="楷体_GB2312" w:eastAsia="楷体_GB2312"/>
                        </w:rPr>
                        <w:t>总指挥</w:t>
                      </w:r>
                    </w:p>
                  </w:txbxContent>
                </v:textbox>
              </v:shape>
            </w:pict>
          </mc:Fallback>
        </mc:AlternateContent>
      </w:r>
    </w:p>
    <w:p>
      <w:pPr>
        <w:pStyle w:val="8"/>
        <w:spacing w:before="156" w:beforeAutospacing="0" w:after="156" w:afterAutospacing="0" w:line="360" w:lineRule="auto"/>
        <w:rPr>
          <w:rFonts w:cs="宋体"/>
          <w:color w:val="262626" w:themeColor="text1" w:themeTint="D9"/>
          <w14:textFill>
            <w14:solidFill>
              <w14:schemeClr w14:val="tx1">
                <w14:lumMod w14:val="85000"/>
                <w14:lumOff w14:val="15000"/>
              </w14:schemeClr>
            </w14:solidFill>
          </w14:textFill>
        </w:rPr>
      </w:pPr>
      <w:r>
        <w:rPr>
          <w:rFonts w:hint="eastAsia" w:cs="宋体"/>
          <w:color w:val="262626" w:themeColor="text1" w:themeTint="D9"/>
          <w:lang w:val="en-US"/>
          <w14:textFill>
            <w14:solidFill>
              <w14:schemeClr w14:val="tx1">
                <w14:lumMod w14:val="85000"/>
                <w14:lumOff w14:val="15000"/>
              </w14:schemeClr>
            </w14:solidFill>
          </w14:textFill>
        </w:rPr>
        <mc:AlternateContent>
          <mc:Choice Requires="wps">
            <w:drawing>
              <wp:anchor distT="0" distB="0" distL="114300" distR="114300" simplePos="0" relativeHeight="251663360" behindDoc="0" locked="0" layoutInCell="1" allowOverlap="1">
                <wp:simplePos x="0" y="0"/>
                <wp:positionH relativeFrom="column">
                  <wp:posOffset>2066925</wp:posOffset>
                </wp:positionH>
                <wp:positionV relativeFrom="paragraph">
                  <wp:posOffset>219710</wp:posOffset>
                </wp:positionV>
                <wp:extent cx="1148715" cy="299085"/>
                <wp:effectExtent l="9525" t="8890" r="13335" b="635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148715" cy="299085"/>
                        </a:xfrm>
                        <a:prstGeom prst="rect">
                          <a:avLst/>
                        </a:prstGeom>
                        <a:solidFill>
                          <a:srgbClr val="FFFFFF"/>
                        </a:solidFill>
                        <a:ln w="9525">
                          <a:solidFill>
                            <a:srgbClr val="000000"/>
                          </a:solidFill>
                          <a:miter lim="800000"/>
                        </a:ln>
                      </wps:spPr>
                      <wps:txbx>
                        <w:txbxContent>
                          <w:p>
                            <w:pPr>
                              <w:jc w:val="center"/>
                              <w:rPr>
                                <w:rFonts w:ascii="楷体_GB2312" w:eastAsia="楷体_GB2312"/>
                              </w:rPr>
                            </w:pPr>
                            <w:r>
                              <w:rPr>
                                <w:rFonts w:hint="eastAsia" w:ascii="楷体_GB2312" w:eastAsia="楷体_GB2312"/>
                              </w:rPr>
                              <w:t>现场指挥</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162.75pt;margin-top:17.3pt;height:23.55pt;width:90.45pt;z-index:251663360;mso-width-relative:page;mso-height-relative:margin;mso-height-percent:200;" fillcolor="#FFFFFF" filled="t" stroked="t" coordsize="21600,21600" o:gfxdata="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&#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Kgq6gvXAAAACQEAAA8AAAAAAAAAAQAgAAAAIgAAAGRy&#10;cy9kb3ducmV2LnhtbFBLAQIUABQAAAAIAIdO4kCS/YsEPwIAAIcEAAAOAAAAAAAAAAEAIAAAACYB&#10;AABkcnMvZTJvRG9jLnhtbFBLBQYAAAAABgAGAFkBAADXBQAAAAA=&#10;">
                <v:fill on="t" focussize="0,0"/>
                <v:stroke color="#000000" miterlimit="8" joinstyle="miter"/>
                <v:imagedata o:title=""/>
                <o:lock v:ext="edit" aspectratio="f"/>
                <v:textbox style="mso-fit-shape-to-text:t;">
                  <w:txbxContent>
                    <w:p>
                      <w:pPr>
                        <w:jc w:val="center"/>
                        <w:rPr>
                          <w:rFonts w:ascii="楷体_GB2312" w:eastAsia="楷体_GB2312"/>
                        </w:rPr>
                      </w:pPr>
                      <w:r>
                        <w:rPr>
                          <w:rFonts w:hint="eastAsia" w:ascii="楷体_GB2312" w:eastAsia="楷体_GB2312"/>
                        </w:rPr>
                        <w:t>现场指挥</w:t>
                      </w:r>
                    </w:p>
                  </w:txbxContent>
                </v:textbox>
              </v:shape>
            </w:pict>
          </mc:Fallback>
        </mc:AlternateContent>
      </w:r>
      <w:r>
        <w:rPr>
          <w:rFonts w:hint="eastAsia" w:cs="宋体"/>
          <w:color w:val="262626" w:themeColor="text1" w:themeTint="D9"/>
          <w:lang w:val="en-US"/>
          <w14:textFill>
            <w14:solidFill>
              <w14:schemeClr w14:val="tx1">
                <w14:lumMod w14:val="85000"/>
                <w14:lumOff w14:val="15000"/>
              </w14:schemeClr>
            </w14:solidFill>
          </w14:textFill>
        </w:rPr>
        <mc:AlternateContent>
          <mc:Choice Requires="wps">
            <w:drawing>
              <wp:anchor distT="0" distB="0" distL="114300" distR="114300" simplePos="0" relativeHeight="251662336" behindDoc="0" locked="0" layoutInCell="1" allowOverlap="1">
                <wp:simplePos x="0" y="0"/>
                <wp:positionH relativeFrom="column">
                  <wp:posOffset>2661285</wp:posOffset>
                </wp:positionH>
                <wp:positionV relativeFrom="paragraph">
                  <wp:posOffset>12065</wp:posOffset>
                </wp:positionV>
                <wp:extent cx="7620" cy="207645"/>
                <wp:effectExtent l="51435" t="10160" r="55245" b="20320"/>
                <wp:wrapNone/>
                <wp:docPr id="4" name="直接箭头连接符 4"/>
                <wp:cNvGraphicFramePr/>
                <a:graphic xmlns:a="http://schemas.openxmlformats.org/drawingml/2006/main">
                  <a:graphicData uri="http://schemas.microsoft.com/office/word/2010/wordprocessingShape">
                    <wps:wsp>
                      <wps:cNvCnPr>
                        <a:cxnSpLocks noChangeShapeType="1"/>
                      </wps:cNvCnPr>
                      <wps:spPr bwMode="auto">
                        <a:xfrm>
                          <a:off x="0" y="0"/>
                          <a:ext cx="7620" cy="207645"/>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209.55pt;margin-top:0.95pt;height:16.35pt;width:0.6pt;z-index:251662336;mso-width-relative:page;mso-height-relative:page;" filled="f" stroked="t" coordsize="21600,21600" o:gfxdata="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MQMMRrZAAAACAEAAA8A&#10;AAAAAAAAAQAgAAAAIgAAAGRycy9kb3ducmV2LnhtbFBLAQIUABQAAAAIAIdO4kBG3m/YFgIAAPwD&#10;AAAOAAAAAAAAAAEAIAAAACgBAABkcnMvZTJvRG9jLnhtbFBLBQYAAAAABgAGAFkBAACwBQAAAAA=&#10;">
                <v:fill on="f" focussize="0,0"/>
                <v:stroke color="#000000" joinstyle="round" endarrow="block"/>
                <v:imagedata o:title=""/>
                <o:lock v:ext="edit" aspectratio="f"/>
              </v:shape>
            </w:pict>
          </mc:Fallback>
        </mc:AlternateContent>
      </w:r>
    </w:p>
    <w:p>
      <w:pPr>
        <w:pStyle w:val="8"/>
        <w:spacing w:before="156" w:beforeAutospacing="0" w:after="156" w:afterAutospacing="0" w:line="360" w:lineRule="auto"/>
        <w:rPr>
          <w:rFonts w:cs="宋体"/>
          <w:color w:val="262626" w:themeColor="text1" w:themeTint="D9"/>
          <w14:textFill>
            <w14:solidFill>
              <w14:schemeClr w14:val="tx1">
                <w14:lumMod w14:val="85000"/>
                <w14:lumOff w14:val="15000"/>
              </w14:schemeClr>
            </w14:solidFill>
          </w14:textFill>
        </w:rPr>
      </w:pPr>
      <w:r>
        <w:rPr>
          <w:rFonts w:hint="eastAsia" w:cs="宋体"/>
          <w:color w:val="262626" w:themeColor="text1" w:themeTint="D9"/>
          <w:lang w:val="en-US"/>
          <w14:textFill>
            <w14:solidFill>
              <w14:schemeClr w14:val="tx1">
                <w14:lumMod w14:val="85000"/>
                <w14:lumOff w14:val="15000"/>
              </w14:schemeClr>
            </w14:solidFill>
          </w14:textFill>
        </w:rPr>
        <mc:AlternateContent>
          <mc:Choice Requires="wps">
            <w:drawing>
              <wp:anchor distT="0" distB="0" distL="114300" distR="114300" simplePos="0" relativeHeight="251664384" behindDoc="0" locked="0" layoutInCell="1" allowOverlap="1">
                <wp:simplePos x="0" y="0"/>
                <wp:positionH relativeFrom="column">
                  <wp:posOffset>2668905</wp:posOffset>
                </wp:positionH>
                <wp:positionV relativeFrom="paragraph">
                  <wp:posOffset>221615</wp:posOffset>
                </wp:positionV>
                <wp:extent cx="7620" cy="207645"/>
                <wp:effectExtent l="49530" t="12065" r="57150" b="18415"/>
                <wp:wrapNone/>
                <wp:docPr id="3" name="直接箭头连接符 3"/>
                <wp:cNvGraphicFramePr/>
                <a:graphic xmlns:a="http://schemas.openxmlformats.org/drawingml/2006/main">
                  <a:graphicData uri="http://schemas.microsoft.com/office/word/2010/wordprocessingShape">
                    <wps:wsp>
                      <wps:cNvCnPr>
                        <a:cxnSpLocks noChangeShapeType="1"/>
                      </wps:cNvCnPr>
                      <wps:spPr bwMode="auto">
                        <a:xfrm>
                          <a:off x="0" y="0"/>
                          <a:ext cx="7620" cy="207645"/>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210.15pt;margin-top:17.45pt;height:16.35pt;width:0.6pt;z-index:251664384;mso-width-relative:page;mso-height-relative:page;" filled="f" stroked="t" coordsize="21600,21600" o:gfxdata="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Gj6DdNoAAAAJAQAA&#10;DwAAAAAAAAABACAAAAAiAAAAZHJzL2Rvd25yZXYueG1sUEsBAhQAFAAAAAgAh07iQIPLuW4XAgAA&#10;/AMAAA4AAAAAAAAAAQAgAAAAKQEAAGRycy9lMm9Eb2MueG1sUEsFBgAAAAAGAAYAWQEAALIFAAAA&#10;AA==&#10;">
                <v:fill on="f" focussize="0,0"/>
                <v:stroke color="#000000" joinstyle="round" endarrow="block"/>
                <v:imagedata o:title=""/>
                <o:lock v:ext="edit" aspectratio="f"/>
              </v:shape>
            </w:pict>
          </mc:Fallback>
        </mc:AlternateContent>
      </w:r>
    </w:p>
    <w:p>
      <w:pPr>
        <w:pStyle w:val="8"/>
        <w:spacing w:before="156" w:beforeAutospacing="0" w:after="156" w:afterAutospacing="0" w:line="360" w:lineRule="auto"/>
        <w:rPr>
          <w:rFonts w:cs="宋体"/>
          <w:color w:val="262626" w:themeColor="text1" w:themeTint="D9"/>
          <w14:textFill>
            <w14:solidFill>
              <w14:schemeClr w14:val="tx1">
                <w14:lumMod w14:val="85000"/>
                <w14:lumOff w14:val="15000"/>
              </w14:schemeClr>
            </w14:solidFill>
          </w14:textFill>
        </w:rPr>
      </w:pPr>
      <w:r>
        <w:rPr>
          <w:rFonts w:hint="eastAsia" w:cs="宋体"/>
          <w:color w:val="262626" w:themeColor="text1" w:themeTint="D9"/>
          <w:lang w:val="en-US"/>
          <w14:textFill>
            <w14:solidFill>
              <w14:schemeClr w14:val="tx1">
                <w14:lumMod w14:val="85000"/>
                <w14:lumOff w14:val="15000"/>
              </w14:schemeClr>
            </w14:solidFill>
          </w14:textFill>
        </w:rPr>
        <mc:AlternateContent>
          <mc:Choice Requires="wps">
            <w:drawing>
              <wp:anchor distT="0" distB="0" distL="114300" distR="114300" simplePos="0" relativeHeight="251661312" behindDoc="0" locked="0" layoutInCell="1" allowOverlap="1">
                <wp:simplePos x="0" y="0"/>
                <wp:positionH relativeFrom="column">
                  <wp:posOffset>2075180</wp:posOffset>
                </wp:positionH>
                <wp:positionV relativeFrom="paragraph">
                  <wp:posOffset>132080</wp:posOffset>
                </wp:positionV>
                <wp:extent cx="1148715" cy="299085"/>
                <wp:effectExtent l="6985" t="8890" r="6350" b="635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48715" cy="299085"/>
                        </a:xfrm>
                        <a:prstGeom prst="rect">
                          <a:avLst/>
                        </a:prstGeom>
                        <a:solidFill>
                          <a:srgbClr val="FFFFFF"/>
                        </a:solidFill>
                        <a:ln w="9525">
                          <a:solidFill>
                            <a:srgbClr val="000000"/>
                          </a:solidFill>
                          <a:miter lim="800000"/>
                        </a:ln>
                      </wps:spPr>
                      <wps:txbx>
                        <w:txbxContent>
                          <w:p>
                            <w:pPr>
                              <w:jc w:val="center"/>
                              <w:rPr>
                                <w:rFonts w:ascii="楷体_GB2312" w:eastAsia="楷体_GB2312"/>
                              </w:rPr>
                            </w:pPr>
                            <w:r>
                              <w:rPr>
                                <w:rFonts w:hint="eastAsia" w:ascii="楷体_GB2312" w:eastAsia="楷体_GB2312"/>
                              </w:rPr>
                              <w:t>应急小组</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163.4pt;margin-top:10.4pt;height:23.55pt;width:90.45pt;z-index:251661312;mso-width-relative:page;mso-height-relative:margin;mso-height-percent:200;" fillcolor="#FFFFFF" filled="t" stroked="t" coordsize="21600,21600" o:gfxdata="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k8pIX1wAAAAkBAAAPAAAAAAAAAAEAIAAAACIAAABk&#10;cnMvZG93bnJldi54bWxQSwECFAAUAAAACACHTuJA4Ko30UACAACHBAAADgAAAAAAAAABACAAAAAm&#10;AQAAZHJzL2Uyb0RvYy54bWxQSwUGAAAAAAYABgBZAQAA2AUAAAAA&#10;">
                <v:fill on="t" focussize="0,0"/>
                <v:stroke color="#000000" miterlimit="8" joinstyle="miter"/>
                <v:imagedata o:title=""/>
                <o:lock v:ext="edit" aspectratio="f"/>
                <v:textbox style="mso-fit-shape-to-text:t;">
                  <w:txbxContent>
                    <w:p>
                      <w:pPr>
                        <w:jc w:val="center"/>
                        <w:rPr>
                          <w:rFonts w:ascii="楷体_GB2312" w:eastAsia="楷体_GB2312"/>
                        </w:rPr>
                      </w:pPr>
                      <w:r>
                        <w:rPr>
                          <w:rFonts w:hint="eastAsia" w:ascii="楷体_GB2312" w:eastAsia="楷体_GB2312"/>
                        </w:rPr>
                        <w:t>应急小组</w:t>
                      </w:r>
                    </w:p>
                  </w:txbxContent>
                </v:textbox>
              </v:shape>
            </w:pict>
          </mc:Fallback>
        </mc:AlternateContent>
      </w:r>
    </w:p>
    <w:p>
      <w:pPr>
        <w:pStyle w:val="8"/>
        <w:spacing w:before="156" w:beforeAutospacing="0" w:after="156" w:afterAutospacing="0" w:line="360" w:lineRule="auto"/>
        <w:rPr>
          <w:rFonts w:cs="宋体"/>
          <w:color w:val="262626" w:themeColor="text1" w:themeTint="D9"/>
          <w14:textFill>
            <w14:solidFill>
              <w14:schemeClr w14:val="tx1">
                <w14:lumMod w14:val="85000"/>
                <w14:lumOff w14:val="15000"/>
              </w14:schemeClr>
            </w14:solidFill>
          </w14:textFill>
        </w:rPr>
      </w:pPr>
    </w:p>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bookmarkStart w:id="36" w:name="_Toc384113208"/>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(2)职责</w:t>
      </w:r>
      <w:bookmarkEnd w:id="36"/>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 </w:t>
      </w:r>
    </w:p>
    <w:p>
      <w:pPr>
        <w:spacing w:line="360" w:lineRule="auto"/>
        <w:rPr>
          <w:rFonts w:ascii="宋体" w:hAnsi="宋体" w:eastAsia="宋体" w:cs="宋体"/>
          <w:b/>
          <w:color w:val="262626" w:themeColor="text1" w:themeTint="D9"/>
          <w:sz w:val="24"/>
          <w:szCs w:val="24"/>
          <w14:textFill>
            <w14:solidFill>
              <w14:schemeClr w14:val="tx1">
                <w14:lumMod w14:val="85000"/>
                <w14:lumOff w14:val="15000"/>
              </w14:schemeClr>
            </w14:solidFill>
          </w14:textFill>
        </w:rPr>
      </w:pPr>
      <w:bookmarkStart w:id="37" w:name="_Toc383758594"/>
      <w:bookmarkStart w:id="38" w:name="_Toc307921610"/>
      <w:bookmarkStart w:id="39" w:name="_Toc384113209"/>
      <w:r>
        <w:rPr>
          <w:rFonts w:hint="eastAsia" w:ascii="宋体" w:hAnsi="宋体" w:eastAsia="宋体" w:cs="宋体"/>
          <w:b/>
          <w:color w:val="262626" w:themeColor="text1" w:themeTint="D9"/>
          <w:sz w:val="24"/>
          <w:szCs w:val="24"/>
          <w14:textFill>
            <w14:solidFill>
              <w14:schemeClr w14:val="tx1">
                <w14:lumMod w14:val="85000"/>
                <w14:lumOff w14:val="15000"/>
              </w14:schemeClr>
            </w14:solidFill>
          </w14:textFill>
        </w:rPr>
        <w:t>总指挥</w:t>
      </w:r>
      <w:bookmarkEnd w:id="37"/>
      <w:bookmarkEnd w:id="38"/>
      <w:bookmarkEnd w:id="39"/>
    </w:p>
    <w:p>
      <w:pPr>
        <w:pStyle w:val="40"/>
        <w:numPr>
          <w:ilvl w:val="0"/>
          <w:numId w:val="8"/>
        </w:numPr>
        <w:spacing w:line="360" w:lineRule="auto"/>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受政府主管部门应急管理机构的领导；</w:t>
      </w:r>
    </w:p>
    <w:p>
      <w:pPr>
        <w:pStyle w:val="40"/>
        <w:numPr>
          <w:ilvl w:val="0"/>
          <w:numId w:val="8"/>
        </w:numPr>
        <w:spacing w:line="360" w:lineRule="auto"/>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定专项预案；</w:t>
      </w:r>
    </w:p>
    <w:p>
      <w:pPr>
        <w:pStyle w:val="40"/>
        <w:numPr>
          <w:ilvl w:val="0"/>
          <w:numId w:val="8"/>
        </w:numPr>
        <w:spacing w:line="360" w:lineRule="auto"/>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达预警、预警解除、应急预案启动和应急响应终止指令；</w:t>
      </w:r>
    </w:p>
    <w:p>
      <w:pPr>
        <w:pStyle w:val="40"/>
        <w:numPr>
          <w:ilvl w:val="0"/>
          <w:numId w:val="8"/>
        </w:numPr>
        <w:spacing w:line="360" w:lineRule="auto"/>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对事态发展决定是否启动应急预案；</w:t>
      </w:r>
    </w:p>
    <w:p>
      <w:pPr>
        <w:pStyle w:val="40"/>
        <w:numPr>
          <w:ilvl w:val="0"/>
          <w:numId w:val="8"/>
        </w:numPr>
        <w:spacing w:line="360" w:lineRule="auto"/>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定对外信息发布人员，审批信息发布材料；</w:t>
      </w:r>
    </w:p>
    <w:p>
      <w:pPr>
        <w:pStyle w:val="40"/>
        <w:numPr>
          <w:ilvl w:val="0"/>
          <w:numId w:val="8"/>
        </w:numPr>
        <w:spacing w:line="360" w:lineRule="auto"/>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合政府主管部门及相关部门的应急工作；</w:t>
      </w:r>
    </w:p>
    <w:p>
      <w:pPr>
        <w:pStyle w:val="40"/>
        <w:numPr>
          <w:ilvl w:val="0"/>
          <w:numId w:val="8"/>
        </w:numPr>
        <w:spacing w:line="360" w:lineRule="auto"/>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定向政府主管部门的应急工作报告等。</w:t>
      </w:r>
    </w:p>
    <w:p>
      <w:pPr>
        <w:spacing w:line="360" w:lineRule="auto"/>
        <w:rPr>
          <w:rFonts w:ascii="宋体" w:hAnsi="宋体" w:eastAsia="宋体" w:cs="宋体"/>
          <w:b/>
          <w:color w:val="262626" w:themeColor="text1" w:themeTint="D9"/>
          <w:sz w:val="24"/>
          <w:szCs w:val="24"/>
          <w14:textFill>
            <w14:solidFill>
              <w14:schemeClr w14:val="tx1">
                <w14:lumMod w14:val="85000"/>
                <w14:lumOff w14:val="15000"/>
              </w14:schemeClr>
            </w14:solidFill>
          </w14:textFill>
        </w:rPr>
      </w:pPr>
      <w:bookmarkStart w:id="40" w:name="_Toc384113211"/>
      <w:r>
        <w:rPr>
          <w:rFonts w:hint="eastAsia" w:ascii="宋体" w:hAnsi="宋体" w:eastAsia="宋体" w:cs="宋体"/>
          <w:b/>
          <w:color w:val="262626" w:themeColor="text1" w:themeTint="D9"/>
          <w:sz w:val="24"/>
          <w:szCs w:val="24"/>
          <w14:textFill>
            <w14:solidFill>
              <w14:schemeClr w14:val="tx1">
                <w14:lumMod w14:val="85000"/>
                <w14:lumOff w14:val="15000"/>
              </w14:schemeClr>
            </w14:solidFill>
          </w14:textFill>
        </w:rPr>
        <w:t>现场指挥</w:t>
      </w:r>
    </w:p>
    <w:p>
      <w:pPr>
        <w:spacing w:line="360" w:lineRule="auto"/>
        <w:ind w:firstLine="307" w:firstLineChars="128"/>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协助总指挥负责具体的应急指挥工作</w:t>
      </w:r>
    </w:p>
    <w:p>
      <w:pPr>
        <w:spacing w:line="360" w:lineRule="auto"/>
        <w:rPr>
          <w:rFonts w:ascii="宋体" w:hAnsi="宋体" w:eastAsia="宋体" w:cs="宋体"/>
          <w:b/>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
          <w:color w:val="262626" w:themeColor="text1" w:themeTint="D9"/>
          <w:sz w:val="24"/>
          <w:szCs w:val="24"/>
          <w14:textFill>
            <w14:solidFill>
              <w14:schemeClr w14:val="tx1">
                <w14:lumMod w14:val="85000"/>
                <w14:lumOff w14:val="15000"/>
              </w14:schemeClr>
            </w14:solidFill>
          </w14:textFill>
        </w:rPr>
        <w:t>应急小组</w:t>
      </w:r>
      <w:bookmarkEnd w:id="40"/>
    </w:p>
    <w:p>
      <w:pPr>
        <w:spacing w:line="360" w:lineRule="auto"/>
        <w:ind w:firstLine="480" w:firstLineChars="200"/>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成立应急小组，负责应急抢险、通信联络、物资保障、应急疏散等应急工作。</w:t>
      </w:r>
    </w:p>
    <w:p>
      <w:pPr>
        <w:pStyle w:val="40"/>
        <w:numPr>
          <w:ilvl w:val="0"/>
          <w:numId w:val="9"/>
        </w:numPr>
        <w:spacing w:line="360" w:lineRule="auto"/>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急抢险人员：——</w:t>
      </w:r>
    </w:p>
    <w:p>
      <w:pPr>
        <w:spacing w:line="360" w:lineRule="auto"/>
        <w:ind w:firstLine="480" w:firstLineChars="200"/>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人员职责：负责现场人员救援、伤员撤离工作</w:t>
      </w:r>
    </w:p>
    <w:p>
      <w:pPr>
        <w:pStyle w:val="40"/>
        <w:numPr>
          <w:ilvl w:val="0"/>
          <w:numId w:val="9"/>
        </w:numPr>
        <w:spacing w:line="360" w:lineRule="auto"/>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通信联络人员：——</w:t>
      </w:r>
    </w:p>
    <w:p>
      <w:pPr>
        <w:spacing w:line="360" w:lineRule="auto"/>
        <w:ind w:firstLine="480" w:firstLineChars="200"/>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p>
      <w:pPr>
        <w:spacing w:line="360" w:lineRule="auto"/>
        <w:ind w:firstLine="480" w:firstLineChars="200"/>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人员职责：负责事故报警、事故现场对内和对外通讯联系</w:t>
      </w:r>
    </w:p>
    <w:p>
      <w:pPr>
        <w:pStyle w:val="40"/>
        <w:numPr>
          <w:ilvl w:val="0"/>
          <w:numId w:val="9"/>
        </w:numPr>
        <w:spacing w:line="360" w:lineRule="auto"/>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物资保障人员：——</w:t>
      </w:r>
    </w:p>
    <w:p>
      <w:pPr>
        <w:spacing w:line="360" w:lineRule="auto"/>
        <w:ind w:firstLine="480" w:firstLineChars="200"/>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人员职责：负责警戒、救援物资保障等工作</w:t>
      </w:r>
    </w:p>
    <w:p>
      <w:pPr>
        <w:pStyle w:val="40"/>
        <w:numPr>
          <w:ilvl w:val="0"/>
          <w:numId w:val="9"/>
        </w:numPr>
        <w:spacing w:line="360" w:lineRule="auto"/>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应急疏散人员：——</w:t>
      </w:r>
    </w:p>
    <w:p>
      <w:pPr>
        <w:spacing w:line="360" w:lineRule="auto"/>
        <w:ind w:firstLine="480" w:firstLineChars="200"/>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人员职责：负责现场人员疏散工作</w:t>
      </w:r>
    </w:p>
    <w:p>
      <w:pPr>
        <w:pStyle w:val="40"/>
        <w:numPr>
          <w:ilvl w:val="0"/>
          <w:numId w:val="9"/>
        </w:numPr>
        <w:spacing w:line="360" w:lineRule="auto"/>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医疗救护人员：——</w:t>
      </w:r>
    </w:p>
    <w:p>
      <w:pPr>
        <w:spacing w:line="360" w:lineRule="auto"/>
        <w:ind w:firstLine="480" w:firstLineChars="200"/>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职责：负责受伤人员前期救治</w:t>
      </w:r>
    </w:p>
    <w:p>
      <w:pPr>
        <w:pStyle w:val="16"/>
        <w:shd w:val="clear" w:color="auto" w:fill="FFFFFF"/>
        <w:spacing w:before="0" w:beforeAutospacing="0" w:after="0" w:afterAutospacing="0" w:line="360" w:lineRule="auto"/>
        <w:rPr>
          <w:color w:val="262626" w:themeColor="text1" w:themeTint="D9"/>
          <w14:textFill>
            <w14:solidFill>
              <w14:schemeClr w14:val="tx1">
                <w14:lumMod w14:val="85000"/>
                <w14:lumOff w14:val="15000"/>
              </w14:schemeClr>
            </w14:solidFill>
          </w14:textFill>
        </w:rPr>
      </w:pPr>
      <w:r>
        <w:rPr>
          <w:rFonts w:hint="eastAsia"/>
          <w:color w:val="262626" w:themeColor="text1" w:themeTint="D9"/>
          <w14:textFill>
            <w14:solidFill>
              <w14:schemeClr w14:val="tx1">
                <w14:lumMod w14:val="85000"/>
                <w14:lumOff w14:val="15000"/>
              </w14:schemeClr>
            </w14:solidFill>
          </w14:textFill>
        </w:rPr>
        <w:t>（五）预防与预警</w:t>
      </w:r>
    </w:p>
    <w:p>
      <w:pPr>
        <w:pStyle w:val="16"/>
        <w:shd w:val="clear" w:color="auto" w:fill="FFFFFF"/>
        <w:spacing w:before="0" w:beforeAutospacing="0" w:after="0" w:afterAutospacing="0" w:line="360" w:lineRule="auto"/>
        <w:rPr>
          <w:color w:val="262626" w:themeColor="text1" w:themeTint="D9"/>
          <w14:textFill>
            <w14:solidFill>
              <w14:schemeClr w14:val="tx1">
                <w14:lumMod w14:val="85000"/>
                <w14:lumOff w14:val="15000"/>
              </w14:schemeClr>
            </w14:solidFill>
          </w14:textFill>
        </w:rPr>
      </w:pPr>
      <w:r>
        <w:rPr>
          <w:rFonts w:hint="eastAsia"/>
          <w:color w:val="262626" w:themeColor="text1" w:themeTint="D9"/>
          <w14:textFill>
            <w14:solidFill>
              <w14:schemeClr w14:val="tx1">
                <w14:lumMod w14:val="85000"/>
                <w14:lumOff w14:val="15000"/>
              </w14:schemeClr>
            </w14:solidFill>
          </w14:textFill>
        </w:rPr>
        <w:t>(1)危险源监控</w:t>
      </w:r>
    </w:p>
    <w:p>
      <w:pPr>
        <w:pStyle w:val="40"/>
        <w:numPr>
          <w:ilvl w:val="0"/>
          <w:numId w:val="10"/>
        </w:numPr>
        <w:spacing w:line="360" w:lineRule="auto"/>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建立安全管理制度汇编，落实监控措施。</w:t>
      </w:r>
    </w:p>
    <w:p>
      <w:pPr>
        <w:pStyle w:val="40"/>
        <w:numPr>
          <w:ilvl w:val="0"/>
          <w:numId w:val="10"/>
        </w:numPr>
        <w:spacing w:line="360" w:lineRule="auto"/>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bCs/>
          <w:color w:val="262626" w:themeColor="text1" w:themeTint="D9"/>
          <w:sz w:val="24"/>
          <w:szCs w:val="24"/>
          <w14:textFill>
            <w14:solidFill>
              <w14:schemeClr w14:val="tx1">
                <w14:lumMod w14:val="85000"/>
                <w14:lumOff w14:val="15000"/>
              </w14:schemeClr>
            </w14:solidFill>
          </w14:textFill>
        </w:rPr>
        <w:t>强化安全意识，严格安全管理，落实作业审批制度。</w:t>
      </w:r>
    </w:p>
    <w:p>
      <w:pPr>
        <w:pStyle w:val="40"/>
        <w:numPr>
          <w:ilvl w:val="0"/>
          <w:numId w:val="10"/>
        </w:numPr>
        <w:spacing w:line="360" w:lineRule="auto"/>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主管安全负责人和从业人员积极参加安全监督管理部门组织的安全资格人员考试，并考核合格，取得安全主要负责人及安全管理人员资格证书，持证上岗。</w:t>
      </w:r>
    </w:p>
    <w:p>
      <w:pPr>
        <w:pStyle w:val="40"/>
        <w:numPr>
          <w:ilvl w:val="0"/>
          <w:numId w:val="10"/>
        </w:numPr>
        <w:spacing w:line="360" w:lineRule="auto"/>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有限空间监护人员和作业人员持证上岗。</w:t>
      </w:r>
    </w:p>
    <w:p>
      <w:pPr>
        <w:pStyle w:val="40"/>
        <w:numPr>
          <w:ilvl w:val="0"/>
          <w:numId w:val="10"/>
        </w:numPr>
        <w:spacing w:line="360" w:lineRule="auto"/>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kern w:val="0"/>
          <w:sz w:val="24"/>
          <w:szCs w:val="24"/>
          <w14:textFill>
            <w14:solidFill>
              <w14:schemeClr w14:val="tx1">
                <w14:lumMod w14:val="85000"/>
                <w14:lumOff w14:val="15000"/>
              </w14:schemeClr>
            </w14:solidFill>
          </w14:textFill>
        </w:rPr>
        <w:t>制定可靠有效的有限空间事故应急预案，并每年至少开展一次应急演练，</w:t>
      </w:r>
      <w:r>
        <w:rPr>
          <w:rFonts w:hint="eastAsia" w:ascii="宋体" w:hAnsi="宋体" w:cs="宋体"/>
          <w:color w:val="262626" w:themeColor="text1" w:themeTint="D9"/>
          <w:sz w:val="24"/>
          <w:szCs w:val="24"/>
          <w14:textFill>
            <w14:solidFill>
              <w14:schemeClr w14:val="tx1">
                <w14:lumMod w14:val="85000"/>
                <w14:lumOff w14:val="15000"/>
              </w14:schemeClr>
            </w14:solidFill>
          </w14:textFill>
        </w:rPr>
        <w:t>有限空间作业的现场负责人、监护人员、作业人员和应急救援人员应当掌握相关应急预案内容，定期进行演练，</w:t>
      </w:r>
      <w:r>
        <w:rPr>
          <w:rFonts w:hint="eastAsia" w:ascii="宋体" w:hAnsi="宋体" w:cs="宋体"/>
          <w:color w:val="262626" w:themeColor="text1" w:themeTint="D9"/>
          <w:kern w:val="0"/>
          <w:sz w:val="24"/>
          <w:szCs w:val="24"/>
          <w14:textFill>
            <w14:solidFill>
              <w14:schemeClr w14:val="tx1">
                <w14:lumMod w14:val="85000"/>
                <w14:lumOff w14:val="15000"/>
              </w14:schemeClr>
            </w14:solidFill>
          </w14:textFill>
        </w:rPr>
        <w:t>提高应急处置能力。</w:t>
      </w:r>
    </w:p>
    <w:p>
      <w:pPr>
        <w:pStyle w:val="16"/>
        <w:shd w:val="clear" w:color="auto" w:fill="FFFFFF"/>
        <w:spacing w:before="0" w:beforeAutospacing="0" w:after="0" w:afterAutospacing="0" w:line="360" w:lineRule="auto"/>
        <w:rPr>
          <w:color w:val="262626" w:themeColor="text1" w:themeTint="D9"/>
          <w14:textFill>
            <w14:solidFill>
              <w14:schemeClr w14:val="tx1">
                <w14:lumMod w14:val="85000"/>
                <w14:lumOff w14:val="15000"/>
              </w14:schemeClr>
            </w14:solidFill>
          </w14:textFill>
        </w:rPr>
      </w:pPr>
      <w:r>
        <w:rPr>
          <w:rFonts w:hint="eastAsia"/>
          <w:color w:val="262626" w:themeColor="text1" w:themeTint="D9"/>
          <w14:textFill>
            <w14:solidFill>
              <w14:schemeClr w14:val="tx1">
                <w14:lumMod w14:val="85000"/>
                <w14:lumOff w14:val="15000"/>
              </w14:schemeClr>
            </w14:solidFill>
          </w14:textFill>
        </w:rPr>
        <w:t>(2)预警行动</w:t>
      </w:r>
    </w:p>
    <w:p>
      <w:pPr>
        <w:spacing w:line="360" w:lineRule="auto"/>
        <w:ind w:firstLine="460" w:firstLineChars="192"/>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现场指挥接到可能导致事故的信息后，立即报告总指挥，并通知有关部门采取有效措施预防事故发生；当认为有可能超出本级处置能力时，要及时向经营场所主管单位报告。一旦预警事故可能影响周边社区，应开展周边社区人员的危险警示工作。</w:t>
      </w:r>
    </w:p>
    <w:p>
      <w:pPr>
        <w:pStyle w:val="16"/>
        <w:shd w:val="clear" w:color="auto" w:fill="FFFFFF"/>
        <w:spacing w:before="0" w:beforeAutospacing="0" w:after="0" w:afterAutospacing="0" w:line="360" w:lineRule="auto"/>
        <w:rPr>
          <w:color w:val="262626" w:themeColor="text1" w:themeTint="D9"/>
          <w14:textFill>
            <w14:solidFill>
              <w14:schemeClr w14:val="tx1">
                <w14:lumMod w14:val="85000"/>
                <w14:lumOff w14:val="15000"/>
              </w14:schemeClr>
            </w14:solidFill>
          </w14:textFill>
        </w:rPr>
      </w:pPr>
    </w:p>
    <w:p>
      <w:pPr>
        <w:pStyle w:val="16"/>
        <w:shd w:val="clear" w:color="auto" w:fill="FFFFFF"/>
        <w:spacing w:before="0" w:beforeAutospacing="0" w:after="0" w:afterAutospacing="0" w:line="360" w:lineRule="auto"/>
        <w:rPr>
          <w:color w:val="262626" w:themeColor="text1" w:themeTint="D9"/>
          <w14:textFill>
            <w14:solidFill>
              <w14:schemeClr w14:val="tx1">
                <w14:lumMod w14:val="85000"/>
                <w14:lumOff w14:val="15000"/>
              </w14:schemeClr>
            </w14:solidFill>
          </w14:textFill>
        </w:rPr>
      </w:pPr>
      <w:r>
        <w:rPr>
          <w:rFonts w:hint="eastAsia"/>
          <w:color w:val="262626" w:themeColor="text1" w:themeTint="D9"/>
          <w14:textFill>
            <w14:solidFill>
              <w14:schemeClr w14:val="tx1">
                <w14:lumMod w14:val="85000"/>
                <w14:lumOff w14:val="15000"/>
              </w14:schemeClr>
            </w14:solidFill>
          </w14:textFill>
        </w:rPr>
        <w:t>（六）信息报告程序</w:t>
      </w:r>
    </w:p>
    <w:p>
      <w:pPr>
        <w:spacing w:line="360" w:lineRule="auto"/>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(1)报警</w:t>
      </w:r>
    </w:p>
    <w:p>
      <w:pPr>
        <w:spacing w:line="360" w:lineRule="auto"/>
        <w:ind w:firstLine="424" w:firstLineChars="177"/>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事故发生后，发现者立即报告现场指挥，并</w:t>
      </w:r>
      <w:r>
        <w:rPr>
          <w:rFonts w:hint="eastAsia" w:ascii="宋体" w:hAnsi="宋体" w:eastAsia="宋体" w:cs="宋体"/>
          <w:bCs/>
          <w:color w:val="262626" w:themeColor="text1" w:themeTint="D9"/>
          <w:sz w:val="24"/>
          <w:szCs w:val="24"/>
          <w14:textFill>
            <w14:solidFill>
              <w14:schemeClr w14:val="tx1">
                <w14:lumMod w14:val="85000"/>
                <w14:lumOff w14:val="15000"/>
              </w14:schemeClr>
            </w14:solidFill>
          </w14:textFill>
        </w:rPr>
        <w:t>拨打救护电话，报告事故地点，事故类型、事故大小、发生时间，明示行车路线，并派专人到路口迎接救护车辆，</w:t>
      </w:r>
    </w:p>
    <w:p>
      <w:pPr>
        <w:spacing w:line="360" w:lineRule="auto"/>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火灾报警电话：119；伤亡报警电话：999、120。</w:t>
      </w:r>
    </w:p>
    <w:p>
      <w:pPr>
        <w:spacing w:line="360" w:lineRule="auto"/>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公司24小时报警电话：010-xxxxxxx。</w:t>
      </w:r>
    </w:p>
    <w:p>
      <w:pPr>
        <w:spacing w:line="360" w:lineRule="auto"/>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报警同时，应立即组织现场人员有序疏散</w:t>
      </w:r>
    </w:p>
    <w:p>
      <w:pPr>
        <w:spacing w:line="360" w:lineRule="auto"/>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(2)接警处置</w:t>
      </w:r>
    </w:p>
    <w:p>
      <w:pPr>
        <w:spacing w:line="360" w:lineRule="auto"/>
        <w:ind w:firstLine="424" w:firstLineChars="177"/>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现场指挥接到事故报告后，应当立即启动应急预案，或者采取有效措施，组织抢救，防止事故扩大，减少人员伤亡和财产损失。其他职工应按照各自分工迅速进入岗位，履行职责。</w:t>
      </w:r>
    </w:p>
    <w:p>
      <w:pPr>
        <w:spacing w:line="360" w:lineRule="auto"/>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(3)报告事故内容</w:t>
      </w:r>
    </w:p>
    <w:p>
      <w:pPr>
        <w:spacing w:line="360" w:lineRule="auto"/>
        <w:ind w:firstLine="424" w:firstLineChars="177"/>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总指挥应在接到事故报告后1小时内向上级负有安全生产监督管理职责的有关部门报告。报告事故应当包括下列内容：</w:t>
      </w:r>
    </w:p>
    <w:p>
      <w:pPr>
        <w:pStyle w:val="40"/>
        <w:widowControl/>
        <w:numPr>
          <w:ilvl w:val="0"/>
          <w:numId w:val="11"/>
        </w:numPr>
        <w:spacing w:line="360" w:lineRule="auto"/>
        <w:ind w:firstLineChars="0"/>
        <w:jc w:val="left"/>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事故发生单位概况；</w:t>
      </w:r>
    </w:p>
    <w:p>
      <w:pPr>
        <w:pStyle w:val="40"/>
        <w:widowControl/>
        <w:numPr>
          <w:ilvl w:val="0"/>
          <w:numId w:val="11"/>
        </w:numPr>
        <w:spacing w:line="360" w:lineRule="auto"/>
        <w:ind w:firstLineChars="0"/>
        <w:jc w:val="left"/>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事故发生的时间、地点以及事故现场情况；</w:t>
      </w:r>
    </w:p>
    <w:p>
      <w:pPr>
        <w:pStyle w:val="40"/>
        <w:widowControl/>
        <w:numPr>
          <w:ilvl w:val="0"/>
          <w:numId w:val="11"/>
        </w:numPr>
        <w:spacing w:line="360" w:lineRule="auto"/>
        <w:ind w:firstLineChars="0"/>
        <w:jc w:val="left"/>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事故的简要经过；</w:t>
      </w:r>
    </w:p>
    <w:p>
      <w:pPr>
        <w:pStyle w:val="40"/>
        <w:widowControl/>
        <w:numPr>
          <w:ilvl w:val="0"/>
          <w:numId w:val="11"/>
        </w:numPr>
        <w:spacing w:line="360" w:lineRule="auto"/>
        <w:ind w:firstLineChars="0"/>
        <w:jc w:val="left"/>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事故已经造成或者可能造成的伤亡人数（包括下落不明的人数）和初步估计的直接经济损失；</w:t>
      </w:r>
    </w:p>
    <w:p>
      <w:pPr>
        <w:pStyle w:val="40"/>
        <w:widowControl/>
        <w:numPr>
          <w:ilvl w:val="0"/>
          <w:numId w:val="11"/>
        </w:numPr>
        <w:spacing w:line="360" w:lineRule="auto"/>
        <w:ind w:firstLineChars="0"/>
        <w:jc w:val="left"/>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已经采取的措施；</w:t>
      </w:r>
    </w:p>
    <w:p>
      <w:pPr>
        <w:pStyle w:val="40"/>
        <w:widowControl/>
        <w:numPr>
          <w:ilvl w:val="0"/>
          <w:numId w:val="11"/>
        </w:numPr>
        <w:spacing w:line="360" w:lineRule="auto"/>
        <w:ind w:firstLineChars="0"/>
        <w:jc w:val="left"/>
        <w:rPr>
          <w:rFonts w:ascii="宋体" w:hAnsi="宋体" w:cs="宋体"/>
          <w:color w:val="262626" w:themeColor="text1" w:themeTint="D9"/>
          <w:kern w:val="0"/>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kern w:val="0"/>
          <w:sz w:val="24"/>
          <w:szCs w:val="24"/>
          <w14:textFill>
            <w14:solidFill>
              <w14:schemeClr w14:val="tx1">
                <w14:lumMod w14:val="85000"/>
                <w14:lumOff w14:val="15000"/>
              </w14:schemeClr>
            </w14:solidFill>
          </w14:textFill>
        </w:rPr>
        <w:t>其他应当报告的情况。</w:t>
      </w:r>
    </w:p>
    <w:p>
      <w:pPr>
        <w:spacing w:line="360" w:lineRule="auto"/>
        <w:ind w:firstLine="424" w:firstLineChars="177"/>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市安监局联系电话: 010-</w:t>
      </w:r>
    </w:p>
    <w:p>
      <w:pPr>
        <w:spacing w:line="360" w:lineRule="auto"/>
        <w:ind w:firstLine="424" w:firstLineChars="177"/>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区安监局联系电话: 010-xxxxxxx</w:t>
      </w:r>
    </w:p>
    <w:p>
      <w:pPr>
        <w:pStyle w:val="16"/>
        <w:shd w:val="clear" w:color="auto" w:fill="FFFFFF"/>
        <w:spacing w:before="0" w:beforeAutospacing="0" w:after="0" w:afterAutospacing="0" w:line="360" w:lineRule="auto"/>
        <w:rPr>
          <w:color w:val="262626" w:themeColor="text1" w:themeTint="D9"/>
          <w14:textFill>
            <w14:solidFill>
              <w14:schemeClr w14:val="tx1">
                <w14:lumMod w14:val="85000"/>
                <w14:lumOff w14:val="15000"/>
              </w14:schemeClr>
            </w14:solidFill>
          </w14:textFill>
        </w:rPr>
      </w:pPr>
    </w:p>
    <w:p>
      <w:pPr>
        <w:pStyle w:val="16"/>
        <w:shd w:val="clear" w:color="auto" w:fill="FFFFFF"/>
        <w:spacing w:before="0" w:beforeAutospacing="0" w:after="0" w:afterAutospacing="0" w:line="360" w:lineRule="auto"/>
        <w:rPr>
          <w:color w:val="262626" w:themeColor="text1" w:themeTint="D9"/>
          <w14:textFill>
            <w14:solidFill>
              <w14:schemeClr w14:val="tx1">
                <w14:lumMod w14:val="85000"/>
                <w14:lumOff w14:val="15000"/>
              </w14:schemeClr>
            </w14:solidFill>
          </w14:textFill>
        </w:rPr>
      </w:pPr>
      <w:r>
        <w:rPr>
          <w:rFonts w:hint="eastAsia"/>
          <w:color w:val="262626" w:themeColor="text1" w:themeTint="D9"/>
          <w14:textFill>
            <w14:solidFill>
              <w14:schemeClr w14:val="tx1">
                <w14:lumMod w14:val="85000"/>
                <w14:lumOff w14:val="15000"/>
              </w14:schemeClr>
            </w14:solidFill>
          </w14:textFill>
        </w:rPr>
        <w:t>（七）处置程序</w:t>
      </w:r>
    </w:p>
    <w:p>
      <w:pPr>
        <w:pStyle w:val="16"/>
        <w:shd w:val="clear" w:color="auto" w:fill="FFFFFF"/>
        <w:spacing w:before="0" w:beforeAutospacing="0" w:after="0" w:afterAutospacing="0" w:line="360" w:lineRule="auto"/>
        <w:rPr>
          <w:color w:val="262626" w:themeColor="text1" w:themeTint="D9"/>
          <w14:textFill>
            <w14:solidFill>
              <w14:schemeClr w14:val="tx1">
                <w14:lumMod w14:val="85000"/>
                <w14:lumOff w14:val="15000"/>
              </w14:schemeClr>
            </w14:solidFill>
          </w14:textFill>
        </w:rPr>
      </w:pPr>
      <w:r>
        <w:rPr>
          <w:rFonts w:hint="eastAsia"/>
          <w:color w:val="262626" w:themeColor="text1" w:themeTint="D9"/>
          <w14:textFill>
            <w14:solidFill>
              <w14:schemeClr w14:val="tx1">
                <w14:lumMod w14:val="85000"/>
                <w14:lumOff w14:val="15000"/>
              </w14:schemeClr>
            </w14:solidFill>
          </w14:textFill>
        </w:rPr>
        <w:t>(1)响应分级</w:t>
      </w:r>
    </w:p>
    <w:p>
      <w:pPr>
        <w:widowControl/>
        <w:ind w:firstLine="480" w:firstLineChars="200"/>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根据事故发生严重程度及影响范围，本公司应急响应分为内部、外部响应：</w:t>
      </w:r>
    </w:p>
    <w:p>
      <w:pPr>
        <w:pStyle w:val="40"/>
        <w:numPr>
          <w:ilvl w:val="0"/>
          <w:numId w:val="12"/>
        </w:numPr>
        <w:ind w:firstLineChars="0"/>
        <w:rPr>
          <w:rFonts w:ascii="宋体" w:hAnsi="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内部响应：监护人员立即报告</w:t>
      </w:r>
      <w:r>
        <w:rPr>
          <w:rFonts w:hint="eastAsia" w:ascii="宋体" w:hAnsi="宋体" w:cs="宋体"/>
          <w:bCs/>
          <w:color w:val="262626" w:themeColor="text1" w:themeTint="D9"/>
          <w:sz w:val="24"/>
          <w:szCs w:val="24"/>
          <w14:textFill>
            <w14:solidFill>
              <w14:schemeClr w14:val="tx1">
                <w14:lumMod w14:val="85000"/>
                <w14:lumOff w14:val="15000"/>
              </w14:schemeClr>
            </w14:solidFill>
          </w14:textFill>
        </w:rPr>
        <w:t>作业负责人。作业负责人启动现场处置方案进行应急处置、资源调配；监护人员立即开展现场救援。</w:t>
      </w:r>
    </w:p>
    <w:p>
      <w:pPr>
        <w:pStyle w:val="40"/>
        <w:widowControl/>
        <w:numPr>
          <w:ilvl w:val="0"/>
          <w:numId w:val="12"/>
        </w:numPr>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外部响应：发生超出本单位应急处置能力时，由总指挥负责启动救援，由各救援小组按职责分工实施救援，由总指挥确定是否请求社会救援。</w:t>
      </w:r>
    </w:p>
    <w:p>
      <w:pPr>
        <w:pStyle w:val="16"/>
        <w:shd w:val="clear" w:color="auto" w:fill="FFFFFF"/>
        <w:spacing w:before="0" w:beforeAutospacing="0" w:after="0" w:afterAutospacing="0" w:line="360" w:lineRule="auto"/>
        <w:rPr>
          <w:color w:val="262626" w:themeColor="text1" w:themeTint="D9"/>
          <w14:textFill>
            <w14:solidFill>
              <w14:schemeClr w14:val="tx1">
                <w14:lumMod w14:val="85000"/>
                <w14:lumOff w14:val="15000"/>
              </w14:schemeClr>
            </w14:solidFill>
          </w14:textFill>
        </w:rPr>
      </w:pPr>
      <w:r>
        <w:rPr>
          <w:rFonts w:hint="eastAsia"/>
          <w:color w:val="262626" w:themeColor="text1" w:themeTint="D9"/>
          <w14:textFill>
            <w14:solidFill>
              <w14:schemeClr w14:val="tx1">
                <w14:lumMod w14:val="85000"/>
                <w14:lumOff w14:val="15000"/>
              </w14:schemeClr>
            </w14:solidFill>
          </w14:textFill>
        </w:rPr>
        <w:t>(2)响应程序</w:t>
      </w:r>
    </w:p>
    <w:p>
      <w:pPr>
        <w:pStyle w:val="40"/>
        <w:numPr>
          <w:ilvl w:val="0"/>
          <w:numId w:val="13"/>
        </w:numPr>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有限空间作业中发生事故后，现场有关人员应当立即报警，禁止盲目施救。</w:t>
      </w:r>
    </w:p>
    <w:p>
      <w:pPr>
        <w:pStyle w:val="40"/>
        <w:numPr>
          <w:ilvl w:val="0"/>
          <w:numId w:val="13"/>
        </w:numPr>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应急救援人员实施救援时，应当做好自身防护，佩戴必要的呼吸器具、救援器材。</w:t>
      </w:r>
    </w:p>
    <w:p>
      <w:pPr>
        <w:pStyle w:val="40"/>
        <w:numPr>
          <w:ilvl w:val="0"/>
          <w:numId w:val="13"/>
        </w:numPr>
        <w:ind w:firstLineChars="0"/>
        <w:rPr>
          <w:rFonts w:ascii="宋体" w:hAnsi="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bCs/>
          <w:color w:val="262626" w:themeColor="text1" w:themeTint="D9"/>
          <w:sz w:val="24"/>
          <w:szCs w:val="24"/>
          <w14:textFill>
            <w14:solidFill>
              <w14:schemeClr w14:val="tx1">
                <w14:lumMod w14:val="85000"/>
                <w14:lumOff w14:val="15000"/>
              </w14:schemeClr>
            </w14:solidFill>
          </w14:textFill>
        </w:rPr>
        <w:t>进入作业场所前，详细了解现场情况，对作业现场进行危害评估，并有针对性的做好检测和防护。</w:t>
      </w:r>
    </w:p>
    <w:p>
      <w:pPr>
        <w:pStyle w:val="40"/>
        <w:numPr>
          <w:ilvl w:val="0"/>
          <w:numId w:val="13"/>
        </w:numPr>
        <w:ind w:firstLineChars="0"/>
        <w:rPr>
          <w:rFonts w:ascii="宋体" w:hAnsi="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bCs/>
          <w:color w:val="262626" w:themeColor="text1" w:themeTint="D9"/>
          <w:sz w:val="24"/>
          <w:szCs w:val="24"/>
          <w14:textFill>
            <w14:solidFill>
              <w14:schemeClr w14:val="tx1">
                <w14:lumMod w14:val="85000"/>
                <w14:lumOff w14:val="15000"/>
              </w14:schemeClr>
            </w14:solidFill>
          </w14:textFill>
        </w:rPr>
        <w:t>对于作业面可能存在的电、高温、有害物质进行有效隔离。</w:t>
      </w:r>
    </w:p>
    <w:p>
      <w:pPr>
        <w:pStyle w:val="40"/>
        <w:numPr>
          <w:ilvl w:val="0"/>
          <w:numId w:val="13"/>
        </w:numPr>
        <w:ind w:firstLineChars="0"/>
        <w:rPr>
          <w:rFonts w:ascii="宋体" w:hAnsi="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bCs/>
          <w:color w:val="262626" w:themeColor="text1" w:themeTint="D9"/>
          <w:sz w:val="24"/>
          <w:szCs w:val="24"/>
          <w14:textFill>
            <w14:solidFill>
              <w14:schemeClr w14:val="tx1">
                <w14:lumMod w14:val="85000"/>
                <w14:lumOff w14:val="15000"/>
              </w14:schemeClr>
            </w14:solidFill>
          </w14:textFill>
        </w:rPr>
        <w:t>采取通风净化措施，使有限空间工作条件符合要求。</w:t>
      </w:r>
    </w:p>
    <w:p>
      <w:pPr>
        <w:ind w:firstLine="484" w:firstLineChars="202"/>
        <w:rPr>
          <w:rFonts w:ascii="宋体" w:hAnsi="宋体" w:eastAsia="宋体" w:cs="宋体"/>
          <w:color w:val="262626" w:themeColor="text1" w:themeTint="D9"/>
          <w:sz w:val="24"/>
          <w:szCs w:val="24"/>
          <w14:textFill>
            <w14:solidFill>
              <w14:schemeClr w14:val="tx1">
                <w14:lumMod w14:val="85000"/>
                <w14:lumOff w14:val="15000"/>
              </w14:schemeClr>
            </w14:solidFill>
          </w14:textFill>
        </w:rPr>
      </w:pPr>
      <w:bookmarkStart w:id="41" w:name="_Toc296287849"/>
      <w:bookmarkStart w:id="42" w:name="_Toc275173961"/>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事故信息处置</w:t>
      </w:r>
      <w:bookmarkEnd w:id="41"/>
      <w:bookmarkEnd w:id="42"/>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：做好事故信息处置，准确、及时提供和采集信息，为应急指挥人员提供决策依据，为现场抢险队伍提供救援支持，保障应急行动有效。</w:t>
      </w:r>
    </w:p>
    <w:p>
      <w:pPr>
        <w:pStyle w:val="16"/>
        <w:shd w:val="clear" w:color="auto" w:fill="FFFFFF"/>
        <w:spacing w:before="0" w:beforeAutospacing="0" w:after="0" w:afterAutospacing="0" w:line="360" w:lineRule="auto"/>
        <w:rPr>
          <w:color w:val="262626" w:themeColor="text1" w:themeTint="D9"/>
          <w14:textFill>
            <w14:solidFill>
              <w14:schemeClr w14:val="tx1">
                <w14:lumMod w14:val="85000"/>
                <w14:lumOff w14:val="15000"/>
              </w14:schemeClr>
            </w14:solidFill>
          </w14:textFill>
        </w:rPr>
      </w:pPr>
      <w:r>
        <w:rPr>
          <w:rFonts w:hint="eastAsia"/>
          <w:color w:val="262626" w:themeColor="text1" w:themeTint="D9"/>
          <w14:textFill>
            <w14:solidFill>
              <w14:schemeClr w14:val="tx1">
                <w14:lumMod w14:val="85000"/>
                <w14:lumOff w14:val="15000"/>
              </w14:schemeClr>
            </w14:solidFill>
          </w14:textFill>
        </w:rPr>
        <w:t>(3)处置措施</w:t>
      </w:r>
    </w:p>
    <w:p>
      <w:pPr>
        <w:pStyle w:val="40"/>
        <w:numPr>
          <w:ilvl w:val="0"/>
          <w:numId w:val="14"/>
        </w:numPr>
        <w:ind w:firstLineChars="0"/>
        <w:rPr>
          <w:rFonts w:ascii="宋体" w:hAnsi="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bCs/>
          <w:color w:val="262626" w:themeColor="text1" w:themeTint="D9"/>
          <w:sz w:val="24"/>
          <w:szCs w:val="24"/>
          <w14:textFill>
            <w14:solidFill>
              <w14:schemeClr w14:val="tx1">
                <w14:lumMod w14:val="85000"/>
                <w14:lumOff w14:val="15000"/>
              </w14:schemeClr>
            </w14:solidFill>
          </w14:textFill>
        </w:rPr>
        <w:t>中毒急救：由呼吸道中毒时，应迅速撤离现场，到新鲜空气流通的地方</w:t>
      </w:r>
    </w:p>
    <w:p>
      <w:pPr>
        <w:pStyle w:val="40"/>
        <w:numPr>
          <w:ilvl w:val="0"/>
          <w:numId w:val="14"/>
        </w:numPr>
        <w:ind w:firstLineChars="0"/>
        <w:rPr>
          <w:rFonts w:ascii="宋体" w:hAnsi="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bCs/>
          <w:color w:val="262626" w:themeColor="text1" w:themeTint="D9"/>
          <w:sz w:val="24"/>
          <w:szCs w:val="24"/>
          <w14:textFill>
            <w14:solidFill>
              <w14:schemeClr w14:val="tx1">
                <w14:lumMod w14:val="85000"/>
                <w14:lumOff w14:val="15000"/>
              </w14:schemeClr>
            </w14:solidFill>
          </w14:textFill>
        </w:rPr>
        <w:t>经口服中毒者，立即洗胃，并用催吐剂促其将食物排除；经皮肤吸中毒者，必须用大量清洁自来水洗涤；眼耳鼻喉损害，引起各种刺激症状者，视症状轻重，先用清水冲洗，然后由专科医生处理。</w:t>
      </w:r>
    </w:p>
    <w:p>
      <w:pPr>
        <w:pStyle w:val="40"/>
        <w:numPr>
          <w:ilvl w:val="0"/>
          <w:numId w:val="14"/>
        </w:numPr>
        <w:ind w:firstLineChars="0"/>
        <w:rPr>
          <w:rFonts w:ascii="宋体" w:hAnsi="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bCs/>
          <w:color w:val="262626" w:themeColor="text1" w:themeTint="D9"/>
          <w:sz w:val="24"/>
          <w:szCs w:val="24"/>
          <w14:textFill>
            <w14:solidFill>
              <w14:schemeClr w14:val="tx1">
                <w14:lumMod w14:val="85000"/>
                <w14:lumOff w14:val="15000"/>
              </w14:schemeClr>
            </w14:solidFill>
          </w14:textFill>
        </w:rPr>
        <w:t>缺氧窒息：</w:t>
      </w:r>
      <w:r>
        <w:rPr>
          <w:rFonts w:hint="eastAsia" w:ascii="宋体" w:hAnsi="宋体" w:cs="宋体"/>
          <w:color w:val="262626" w:themeColor="text1" w:themeTint="D9"/>
          <w:sz w:val="24"/>
          <w:szCs w:val="24"/>
          <w14:textFill>
            <w14:solidFill>
              <w14:schemeClr w14:val="tx1">
                <w14:lumMod w14:val="85000"/>
                <w14:lumOff w14:val="15000"/>
              </w14:schemeClr>
            </w14:solidFill>
          </w14:textFill>
        </w:rPr>
        <w:t>当发现缺氧危险时，必须立即停止作业，让作业人员迅速离开作业现场</w:t>
      </w:r>
      <w:r>
        <w:rPr>
          <w:rFonts w:hint="eastAsia" w:ascii="宋体" w:hAnsi="宋体" w:cs="宋体"/>
          <w:bCs/>
          <w:color w:val="262626" w:themeColor="text1" w:themeTint="D9"/>
          <w:sz w:val="24"/>
          <w:szCs w:val="24"/>
          <w14:textFill>
            <w14:solidFill>
              <w14:schemeClr w14:val="tx1">
                <w14:lumMod w14:val="85000"/>
                <w14:lumOff w14:val="15000"/>
              </w14:schemeClr>
            </w14:solidFill>
          </w14:textFill>
        </w:rPr>
        <w:t>将窒息者移至有新鲜空气的通风处，视情况对窒息者输氧或进行人工呼吸，必要时交医生处理，</w:t>
      </w:r>
      <w:r>
        <w:rPr>
          <w:rFonts w:hint="eastAsia" w:ascii="宋体" w:hAnsi="宋体" w:cs="宋体"/>
          <w:color w:val="262626" w:themeColor="text1" w:themeTint="D9"/>
          <w:sz w:val="24"/>
          <w:szCs w:val="24"/>
          <w14:textFill>
            <w14:solidFill>
              <w14:schemeClr w14:val="tx1">
                <w14:lumMod w14:val="85000"/>
                <w14:lumOff w14:val="15000"/>
              </w14:schemeClr>
            </w14:solidFill>
          </w14:textFill>
        </w:rPr>
        <w:t>作业人员和抢救人员必须立即使用隔离式呼吸保护器具。</w:t>
      </w:r>
    </w:p>
    <w:p>
      <w:pPr>
        <w:pStyle w:val="40"/>
        <w:numPr>
          <w:ilvl w:val="0"/>
          <w:numId w:val="14"/>
        </w:numPr>
        <w:ind w:firstLineChars="0"/>
        <w:rPr>
          <w:rFonts w:ascii="宋体" w:hAnsi="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bCs/>
          <w:color w:val="262626" w:themeColor="text1" w:themeTint="D9"/>
          <w:sz w:val="24"/>
          <w:szCs w:val="24"/>
          <w14:textFill>
            <w14:solidFill>
              <w14:schemeClr w14:val="tx1">
                <w14:lumMod w14:val="85000"/>
                <w14:lumOff w14:val="15000"/>
              </w14:schemeClr>
            </w14:solidFill>
          </w14:textFill>
        </w:rPr>
        <w:t>事故现场人员清点，撤离：</w:t>
      </w:r>
      <w:r>
        <w:rPr>
          <w:rFonts w:hint="eastAsia" w:ascii="宋体" w:hAnsi="宋体" w:cs="宋体"/>
          <w:color w:val="262626" w:themeColor="text1" w:themeTint="D9"/>
          <w:sz w:val="24"/>
          <w:szCs w:val="24"/>
          <w14:textFill>
            <w14:solidFill>
              <w14:schemeClr w14:val="tx1">
                <w14:lumMod w14:val="85000"/>
                <w14:lumOff w14:val="15000"/>
              </w14:schemeClr>
            </w14:solidFill>
          </w14:textFill>
        </w:rPr>
        <w:t>监护人员负责组织现场人员撤离至安全区，现场负责人对事故现场进行排查确认所有人员全部撤离后方可撤离；并及时向总指挥汇报；</w:t>
      </w:r>
    </w:p>
    <w:p>
      <w:pPr>
        <w:pStyle w:val="40"/>
        <w:numPr>
          <w:ilvl w:val="0"/>
          <w:numId w:val="14"/>
        </w:numPr>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 xml:space="preserve">非事故现场人员的紧急疏散：应急疏散小组负责指挥并引导疏散人员按规定的路线向安全区域进行疏散，疏散完毕后对疏散区域进行核查； </w:t>
      </w:r>
    </w:p>
    <w:p>
      <w:pPr>
        <w:pStyle w:val="40"/>
        <w:numPr>
          <w:ilvl w:val="0"/>
          <w:numId w:val="14"/>
        </w:numPr>
        <w:ind w:firstLineChars="0"/>
        <w:rPr>
          <w:rFonts w:ascii="宋体" w:hAnsi="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bCs/>
          <w:color w:val="262626" w:themeColor="text1" w:themeTint="D9"/>
          <w:sz w:val="24"/>
          <w:szCs w:val="24"/>
          <w14:textFill>
            <w14:solidFill>
              <w14:schemeClr w14:val="tx1">
                <w14:lumMod w14:val="85000"/>
                <w14:lumOff w14:val="15000"/>
              </w14:schemeClr>
            </w14:solidFill>
          </w14:textFill>
        </w:rPr>
        <w:t>危险区域的隔离（隔离方法可根据单位具体情况描述）：救援人员用围挡设施对事故现场进行隔离，救援者佩戴正压式呼吸器防护用品及安全绳、安全带等器材进入隔离区域；</w:t>
      </w:r>
    </w:p>
    <w:p>
      <w:pPr>
        <w:pStyle w:val="40"/>
        <w:numPr>
          <w:ilvl w:val="0"/>
          <w:numId w:val="14"/>
        </w:numPr>
        <w:ind w:firstLineChars="0"/>
        <w:rPr>
          <w:rFonts w:ascii="宋体" w:hAnsi="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bCs/>
          <w:color w:val="262626" w:themeColor="text1" w:themeTint="D9"/>
          <w:sz w:val="24"/>
          <w:szCs w:val="24"/>
          <w14:textFill>
            <w14:solidFill>
              <w14:schemeClr w14:val="tx1">
                <w14:lumMod w14:val="85000"/>
                <w14:lumOff w14:val="15000"/>
              </w14:schemeClr>
            </w14:solidFill>
          </w14:textFill>
        </w:rPr>
        <w:t>附  件：</w:t>
      </w:r>
    </w:p>
    <w:p>
      <w:pPr>
        <w:pStyle w:val="7"/>
        <w:spacing w:before="156" w:after="156"/>
        <w:ind w:firstLine="480"/>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Cs/>
          <w:color w:val="262626" w:themeColor="text1" w:themeTint="D9"/>
          <w:sz w:val="24"/>
          <w:szCs w:val="24"/>
          <w14:textFill>
            <w14:solidFill>
              <w14:schemeClr w14:val="tx1">
                <w14:lumMod w14:val="85000"/>
                <w14:lumOff w14:val="15000"/>
              </w14:schemeClr>
            </w14:solidFill>
          </w14:textFill>
        </w:rPr>
        <w:t>24 小时值班电话：xxxx</w:t>
      </w:r>
    </w:p>
    <w:p>
      <w:pPr>
        <w:pStyle w:val="7"/>
        <w:spacing w:before="156" w:after="156"/>
        <w:ind w:firstLine="480"/>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应急有关人员联系电话</w:t>
      </w:r>
    </w:p>
    <w:tbl>
      <w:tblPr>
        <w:tblStyle w:val="17"/>
        <w:tblpPr w:leftFromText="180" w:rightFromText="180" w:vertAnchor="text" w:horzAnchor="margin" w:tblpY="265"/>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95"/>
        <w:gridCol w:w="2541"/>
        <w:gridCol w:w="2093"/>
        <w:gridCol w:w="23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3" w:hRule="atLeast"/>
        </w:trPr>
        <w:tc>
          <w:tcPr>
            <w:tcW w:w="1495"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姓名</w:t>
            </w:r>
          </w:p>
        </w:tc>
        <w:tc>
          <w:tcPr>
            <w:tcW w:w="2541"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部门</w:t>
            </w:r>
          </w:p>
        </w:tc>
        <w:tc>
          <w:tcPr>
            <w:tcW w:w="209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应急职务</w:t>
            </w:r>
          </w:p>
        </w:tc>
        <w:tc>
          <w:tcPr>
            <w:tcW w:w="239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联系电话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3" w:hRule="atLeast"/>
        </w:trPr>
        <w:tc>
          <w:tcPr>
            <w:tcW w:w="1495" w:type="dxa"/>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2541" w:type="dxa"/>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2093" w:type="dxa"/>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总指挥</w:t>
            </w:r>
          </w:p>
        </w:tc>
        <w:tc>
          <w:tcPr>
            <w:tcW w:w="2393" w:type="dxa"/>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3" w:hRule="atLeast"/>
        </w:trPr>
        <w:tc>
          <w:tcPr>
            <w:tcW w:w="1495" w:type="dxa"/>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2541" w:type="dxa"/>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2093" w:type="dxa"/>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现场指挥</w:t>
            </w:r>
          </w:p>
        </w:tc>
        <w:tc>
          <w:tcPr>
            <w:tcW w:w="2393" w:type="dxa"/>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3" w:hRule="atLeast"/>
        </w:trPr>
        <w:tc>
          <w:tcPr>
            <w:tcW w:w="1495" w:type="dxa"/>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2541" w:type="dxa"/>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2093" w:type="dxa"/>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应急小组</w:t>
            </w:r>
          </w:p>
        </w:tc>
        <w:tc>
          <w:tcPr>
            <w:tcW w:w="2393" w:type="dxa"/>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3" w:hRule="atLeast"/>
        </w:trPr>
        <w:tc>
          <w:tcPr>
            <w:tcW w:w="1495" w:type="dxa"/>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2541" w:type="dxa"/>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2093" w:type="dxa"/>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2393" w:type="dxa"/>
            <w:tcBorders>
              <w:top w:val="single" w:color="000000" w:sz="4" w:space="0"/>
              <w:left w:val="single" w:color="000000" w:sz="4" w:space="0"/>
              <w:bottom w:val="single" w:color="000000" w:sz="4" w:space="0"/>
              <w:right w:val="single" w:color="000000" w:sz="4" w:space="0"/>
            </w:tcBorders>
            <w:vAlign w:val="center"/>
          </w:tcPr>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bl>
    <w:p>
      <w:pPr>
        <w:pStyle w:val="7"/>
        <w:spacing w:before="156" w:after="156"/>
        <w:ind w:firstLine="480"/>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p>
    <w:p>
      <w:pPr>
        <w:pStyle w:val="7"/>
        <w:spacing w:before="156" w:after="156"/>
        <w:ind w:firstLine="480"/>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外部救援单位联系电话 </w:t>
      </w:r>
    </w:p>
    <w:p>
      <w:pPr>
        <w:pStyle w:val="7"/>
        <w:spacing w:before="156" w:after="156"/>
        <w:ind w:firstLine="480"/>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Cs/>
          <w:color w:val="262626" w:themeColor="text1" w:themeTint="D9"/>
          <w:sz w:val="24"/>
          <w:szCs w:val="24"/>
          <w14:textFill>
            <w14:solidFill>
              <w14:schemeClr w14:val="tx1">
                <w14:lumMod w14:val="85000"/>
                <w14:lumOff w14:val="15000"/>
              </w14:schemeClr>
            </w14:solidFill>
          </w14:textFill>
        </w:rPr>
        <w:t>安监局:；</w:t>
      </w:r>
    </w:p>
    <w:p>
      <w:pPr>
        <w:pStyle w:val="7"/>
        <w:spacing w:before="156" w:after="156"/>
        <w:ind w:firstLine="480"/>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Cs/>
          <w:color w:val="262626" w:themeColor="text1" w:themeTint="D9"/>
          <w:sz w:val="24"/>
          <w:szCs w:val="24"/>
          <w14:textFill>
            <w14:solidFill>
              <w14:schemeClr w14:val="tx1">
                <w14:lumMod w14:val="85000"/>
                <w14:lumOff w14:val="15000"/>
              </w14:schemeClr>
            </w14:solidFill>
          </w14:textFill>
        </w:rPr>
        <w:t>消防：119 ；</w:t>
      </w:r>
    </w:p>
    <w:p>
      <w:pPr>
        <w:pStyle w:val="7"/>
        <w:spacing w:before="156" w:after="156"/>
        <w:ind w:firstLine="480"/>
        <w:rPr>
          <w:rFonts w:ascii="宋体" w:hAnsi="宋体" w:eastAsia="宋体" w:cs="宋体"/>
          <w:bCs/>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Cs/>
          <w:color w:val="262626" w:themeColor="text1" w:themeTint="D9"/>
          <w:sz w:val="24"/>
          <w:szCs w:val="24"/>
          <w14:textFill>
            <w14:solidFill>
              <w14:schemeClr w14:val="tx1">
                <w14:lumMod w14:val="85000"/>
                <w14:lumOff w14:val="15000"/>
              </w14:schemeClr>
            </w14:solidFill>
          </w14:textFill>
        </w:rPr>
        <w:t>医疗急救：120 。</w:t>
      </w:r>
    </w:p>
    <w:p>
      <w:pPr>
        <w:pStyle w:val="16"/>
        <w:shd w:val="clear" w:color="auto" w:fill="FFFFFF"/>
        <w:spacing w:before="0" w:beforeAutospacing="0" w:after="0" w:afterAutospacing="0" w:line="360" w:lineRule="auto"/>
        <w:rPr>
          <w:color w:val="262626" w:themeColor="text1" w:themeTint="D9"/>
          <w14:textFill>
            <w14:solidFill>
              <w14:schemeClr w14:val="tx1">
                <w14:lumMod w14:val="85000"/>
                <w14:lumOff w14:val="15000"/>
              </w14:schemeClr>
            </w14:solidFill>
          </w14:textFill>
        </w:rPr>
      </w:pPr>
    </w:p>
    <w:p>
      <w:pPr>
        <w:pStyle w:val="16"/>
        <w:shd w:val="clear" w:color="auto" w:fill="FFFFFF"/>
        <w:spacing w:before="0" w:beforeAutospacing="0" w:after="0" w:afterAutospacing="0" w:line="360" w:lineRule="auto"/>
        <w:rPr>
          <w:color w:val="262626" w:themeColor="text1" w:themeTint="D9"/>
          <w14:textFill>
            <w14:solidFill>
              <w14:schemeClr w14:val="tx1">
                <w14:lumMod w14:val="85000"/>
                <w14:lumOff w14:val="15000"/>
              </w14:schemeClr>
            </w14:solidFill>
          </w14:textFill>
        </w:rPr>
      </w:pPr>
      <w:r>
        <w:rPr>
          <w:rFonts w:hint="eastAsia"/>
          <w:color w:val="262626" w:themeColor="text1" w:themeTint="D9"/>
          <w:spacing w:val="-12"/>
          <w14:textFill>
            <w14:solidFill>
              <w14:schemeClr w14:val="tx1">
                <w14:lumMod w14:val="85000"/>
                <w14:lumOff w14:val="15000"/>
              </w14:schemeClr>
            </w14:solidFill>
          </w14:textFill>
        </w:rPr>
        <w:t>（八）</w:t>
      </w:r>
      <w:r>
        <w:rPr>
          <w:rFonts w:hint="eastAsia"/>
          <w:color w:val="262626" w:themeColor="text1" w:themeTint="D9"/>
          <w14:textFill>
            <w14:solidFill>
              <w14:schemeClr w14:val="tx1">
                <w14:lumMod w14:val="85000"/>
                <w14:lumOff w14:val="15000"/>
              </w14:schemeClr>
            </w14:solidFill>
          </w14:textFill>
        </w:rPr>
        <w:t>应急物资与装备保障</w:t>
      </w:r>
    </w:p>
    <w:tbl>
      <w:tblPr>
        <w:tblStyle w:val="17"/>
        <w:tblW w:w="9483"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9"/>
        <w:gridCol w:w="4296"/>
        <w:gridCol w:w="2148"/>
        <w:gridCol w:w="20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tcPr>
          <w:p>
            <w:pPr>
              <w:pStyle w:val="16"/>
              <w:spacing w:before="0" w:beforeAutospacing="0" w:after="0" w:afterAutospacing="0"/>
              <w:jc w:val="center"/>
              <w:rPr>
                <w:color w:val="262626" w:themeColor="text1" w:themeTint="D9"/>
                <w14:textFill>
                  <w14:solidFill>
                    <w14:schemeClr w14:val="tx1">
                      <w14:lumMod w14:val="85000"/>
                      <w14:lumOff w14:val="15000"/>
                    </w14:schemeClr>
                  </w14:solidFill>
                </w14:textFill>
              </w:rPr>
            </w:pPr>
            <w:r>
              <w:rPr>
                <w:rFonts w:hint="eastAsia"/>
                <w:color w:val="262626" w:themeColor="text1" w:themeTint="D9"/>
                <w14:textFill>
                  <w14:solidFill>
                    <w14:schemeClr w14:val="tx1">
                      <w14:lumMod w14:val="85000"/>
                      <w14:lumOff w14:val="15000"/>
                    </w14:schemeClr>
                  </w14:solidFill>
                </w14:textFill>
              </w:rPr>
              <w:t>序号</w:t>
            </w:r>
          </w:p>
        </w:tc>
        <w:tc>
          <w:tcPr>
            <w:tcW w:w="4296" w:type="dxa"/>
          </w:tcPr>
          <w:p>
            <w:pPr>
              <w:pStyle w:val="16"/>
              <w:spacing w:before="0" w:beforeAutospacing="0" w:after="0" w:afterAutospacing="0"/>
              <w:jc w:val="center"/>
              <w:rPr>
                <w:color w:val="262626" w:themeColor="text1" w:themeTint="D9"/>
                <w14:textFill>
                  <w14:solidFill>
                    <w14:schemeClr w14:val="tx1">
                      <w14:lumMod w14:val="85000"/>
                      <w14:lumOff w14:val="15000"/>
                    </w14:schemeClr>
                  </w14:solidFill>
                </w14:textFill>
              </w:rPr>
            </w:pPr>
            <w:r>
              <w:rPr>
                <w:rFonts w:hint="eastAsia"/>
                <w:color w:val="262626" w:themeColor="text1" w:themeTint="D9"/>
                <w14:textFill>
                  <w14:solidFill>
                    <w14:schemeClr w14:val="tx1">
                      <w14:lumMod w14:val="85000"/>
                      <w14:lumOff w14:val="15000"/>
                    </w14:schemeClr>
                  </w14:solidFill>
                </w14:textFill>
              </w:rPr>
              <w:t>设备</w:t>
            </w:r>
          </w:p>
        </w:tc>
        <w:tc>
          <w:tcPr>
            <w:tcW w:w="2148" w:type="dxa"/>
          </w:tcPr>
          <w:p>
            <w:pPr>
              <w:pStyle w:val="16"/>
              <w:spacing w:before="0" w:beforeAutospacing="0" w:after="0" w:afterAutospacing="0"/>
              <w:jc w:val="center"/>
              <w:rPr>
                <w:color w:val="262626" w:themeColor="text1" w:themeTint="D9"/>
                <w14:textFill>
                  <w14:solidFill>
                    <w14:schemeClr w14:val="tx1">
                      <w14:lumMod w14:val="85000"/>
                      <w14:lumOff w14:val="15000"/>
                    </w14:schemeClr>
                  </w14:solidFill>
                </w14:textFill>
              </w:rPr>
            </w:pPr>
            <w:r>
              <w:rPr>
                <w:rFonts w:hint="eastAsia"/>
                <w:color w:val="262626" w:themeColor="text1" w:themeTint="D9"/>
                <w14:textFill>
                  <w14:solidFill>
                    <w14:schemeClr w14:val="tx1">
                      <w14:lumMod w14:val="85000"/>
                      <w14:lumOff w14:val="15000"/>
                    </w14:schemeClr>
                  </w14:solidFill>
                </w14:textFill>
              </w:rPr>
              <w:t>负责人</w:t>
            </w:r>
          </w:p>
        </w:tc>
        <w:tc>
          <w:tcPr>
            <w:tcW w:w="2080" w:type="dxa"/>
          </w:tcPr>
          <w:p>
            <w:pPr>
              <w:pStyle w:val="16"/>
              <w:spacing w:before="0" w:beforeAutospacing="0" w:after="0" w:afterAutospacing="0"/>
              <w:jc w:val="center"/>
              <w:rPr>
                <w:color w:val="262626" w:themeColor="text1" w:themeTint="D9"/>
                <w14:textFill>
                  <w14:solidFill>
                    <w14:schemeClr w14:val="tx1">
                      <w14:lumMod w14:val="85000"/>
                      <w14:lumOff w14:val="15000"/>
                    </w14:schemeClr>
                  </w14:solidFill>
                </w14:textFill>
              </w:rPr>
            </w:pPr>
            <w:r>
              <w:rPr>
                <w:rFonts w:hint="eastAsia"/>
                <w:color w:val="262626" w:themeColor="text1" w:themeTint="D9"/>
                <w14:textFill>
                  <w14:solidFill>
                    <w14:schemeClr w14:val="tx1">
                      <w14:lumMod w14:val="85000"/>
                      <w14:lumOff w14:val="15000"/>
                    </w14:schemeClr>
                  </w14:solidFill>
                </w14:textFill>
              </w:rPr>
              <w:t>联系电话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tcPr>
          <w:p>
            <w:pPr>
              <w:pStyle w:val="16"/>
              <w:spacing w:before="0" w:beforeAutospacing="0" w:after="0" w:afterAutospacing="0"/>
              <w:rPr>
                <w:color w:val="262626" w:themeColor="text1" w:themeTint="D9"/>
                <w14:textFill>
                  <w14:solidFill>
                    <w14:schemeClr w14:val="tx1">
                      <w14:lumMod w14:val="85000"/>
                      <w14:lumOff w14:val="15000"/>
                    </w14:schemeClr>
                  </w14:solidFill>
                </w14:textFill>
              </w:rPr>
            </w:pPr>
            <w:r>
              <w:rPr>
                <w:rFonts w:hint="eastAsia"/>
                <w:color w:val="262626" w:themeColor="text1" w:themeTint="D9"/>
                <w14:textFill>
                  <w14:solidFill>
                    <w14:schemeClr w14:val="tx1">
                      <w14:lumMod w14:val="85000"/>
                      <w14:lumOff w14:val="15000"/>
                    </w14:schemeClr>
                  </w14:solidFill>
                </w14:textFill>
              </w:rPr>
              <w:t>1</w:t>
            </w:r>
          </w:p>
        </w:tc>
        <w:tc>
          <w:tcPr>
            <w:tcW w:w="4296" w:type="dxa"/>
          </w:tcPr>
          <w:p>
            <w:pPr>
              <w:pStyle w:val="16"/>
              <w:spacing w:before="0" w:beforeAutospacing="0" w:after="0" w:afterAutospacing="0"/>
              <w:rPr>
                <w:color w:val="262626" w:themeColor="text1" w:themeTint="D9"/>
                <w14:textFill>
                  <w14:solidFill>
                    <w14:schemeClr w14:val="tx1">
                      <w14:lumMod w14:val="85000"/>
                      <w14:lumOff w14:val="15000"/>
                    </w14:schemeClr>
                  </w14:solidFill>
                </w14:textFill>
              </w:rPr>
            </w:pPr>
            <w:r>
              <w:rPr>
                <w:rFonts w:hint="eastAsia"/>
                <w:bCs/>
                <w:color w:val="262626" w:themeColor="text1" w:themeTint="D9"/>
                <w14:textFill>
                  <w14:solidFill>
                    <w14:schemeClr w14:val="tx1">
                      <w14:lumMod w14:val="85000"/>
                      <w14:lumOff w14:val="15000"/>
                    </w14:schemeClr>
                  </w14:solidFill>
                </w14:textFill>
              </w:rPr>
              <w:t>围挡设施</w:t>
            </w:r>
          </w:p>
        </w:tc>
        <w:tc>
          <w:tcPr>
            <w:tcW w:w="2148" w:type="dxa"/>
          </w:tcPr>
          <w:p>
            <w:pPr>
              <w:pStyle w:val="16"/>
              <w:spacing w:before="0" w:beforeAutospacing="0" w:after="0" w:afterAutospacing="0"/>
              <w:rPr>
                <w:color w:val="262626" w:themeColor="text1" w:themeTint="D9"/>
                <w14:textFill>
                  <w14:solidFill>
                    <w14:schemeClr w14:val="tx1">
                      <w14:lumMod w14:val="85000"/>
                      <w14:lumOff w14:val="15000"/>
                    </w14:schemeClr>
                  </w14:solidFill>
                </w14:textFill>
              </w:rPr>
            </w:pPr>
          </w:p>
        </w:tc>
        <w:tc>
          <w:tcPr>
            <w:tcW w:w="2080" w:type="dxa"/>
          </w:tcPr>
          <w:p>
            <w:pPr>
              <w:pStyle w:val="16"/>
              <w:spacing w:before="0" w:beforeAutospacing="0" w:after="0" w:afterAutospacing="0"/>
              <w:rPr>
                <w:color w:val="262626" w:themeColor="text1" w:themeTint="D9"/>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tcPr>
          <w:p>
            <w:pPr>
              <w:pStyle w:val="16"/>
              <w:spacing w:before="0" w:beforeAutospacing="0" w:after="0" w:afterAutospacing="0"/>
              <w:rPr>
                <w:color w:val="262626" w:themeColor="text1" w:themeTint="D9"/>
                <w14:textFill>
                  <w14:solidFill>
                    <w14:schemeClr w14:val="tx1">
                      <w14:lumMod w14:val="85000"/>
                      <w14:lumOff w14:val="15000"/>
                    </w14:schemeClr>
                  </w14:solidFill>
                </w14:textFill>
              </w:rPr>
            </w:pPr>
            <w:r>
              <w:rPr>
                <w:rFonts w:hint="eastAsia"/>
                <w:color w:val="262626" w:themeColor="text1" w:themeTint="D9"/>
                <w14:textFill>
                  <w14:solidFill>
                    <w14:schemeClr w14:val="tx1">
                      <w14:lumMod w14:val="85000"/>
                      <w14:lumOff w14:val="15000"/>
                    </w14:schemeClr>
                  </w14:solidFill>
                </w14:textFill>
              </w:rPr>
              <w:t>2</w:t>
            </w:r>
          </w:p>
        </w:tc>
        <w:tc>
          <w:tcPr>
            <w:tcW w:w="4296" w:type="dxa"/>
          </w:tcPr>
          <w:p>
            <w:pPr>
              <w:pStyle w:val="16"/>
              <w:spacing w:before="0" w:beforeAutospacing="0" w:after="0" w:afterAutospacing="0"/>
              <w:rPr>
                <w:color w:val="262626" w:themeColor="text1" w:themeTint="D9"/>
                <w14:textFill>
                  <w14:solidFill>
                    <w14:schemeClr w14:val="tx1">
                      <w14:lumMod w14:val="85000"/>
                      <w14:lumOff w14:val="15000"/>
                    </w14:schemeClr>
                  </w14:solidFill>
                </w14:textFill>
              </w:rPr>
            </w:pPr>
            <w:r>
              <w:rPr>
                <w:rFonts w:hint="eastAsia"/>
                <w:bCs/>
                <w:color w:val="262626" w:themeColor="text1" w:themeTint="D9"/>
                <w14:textFill>
                  <w14:solidFill>
                    <w14:schemeClr w14:val="tx1">
                      <w14:lumMod w14:val="85000"/>
                      <w14:lumOff w14:val="15000"/>
                    </w14:schemeClr>
                  </w14:solidFill>
                </w14:textFill>
              </w:rPr>
              <w:t>泵吸式气体检测报警仪</w:t>
            </w:r>
          </w:p>
        </w:tc>
        <w:tc>
          <w:tcPr>
            <w:tcW w:w="2148" w:type="dxa"/>
          </w:tcPr>
          <w:p>
            <w:pPr>
              <w:pStyle w:val="16"/>
              <w:spacing w:before="0" w:beforeAutospacing="0" w:after="0" w:afterAutospacing="0"/>
              <w:rPr>
                <w:color w:val="262626" w:themeColor="text1" w:themeTint="D9"/>
                <w14:textFill>
                  <w14:solidFill>
                    <w14:schemeClr w14:val="tx1">
                      <w14:lumMod w14:val="85000"/>
                      <w14:lumOff w14:val="15000"/>
                    </w14:schemeClr>
                  </w14:solidFill>
                </w14:textFill>
              </w:rPr>
            </w:pPr>
          </w:p>
        </w:tc>
        <w:tc>
          <w:tcPr>
            <w:tcW w:w="2080" w:type="dxa"/>
          </w:tcPr>
          <w:p>
            <w:pPr>
              <w:pStyle w:val="16"/>
              <w:spacing w:before="0" w:beforeAutospacing="0" w:after="0" w:afterAutospacing="0"/>
              <w:rPr>
                <w:color w:val="262626" w:themeColor="text1" w:themeTint="D9"/>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tcPr>
          <w:p>
            <w:pPr>
              <w:pStyle w:val="16"/>
              <w:spacing w:before="0" w:beforeAutospacing="0" w:after="0" w:afterAutospacing="0"/>
              <w:rPr>
                <w:color w:val="262626" w:themeColor="text1" w:themeTint="D9"/>
                <w14:textFill>
                  <w14:solidFill>
                    <w14:schemeClr w14:val="tx1">
                      <w14:lumMod w14:val="85000"/>
                      <w14:lumOff w14:val="15000"/>
                    </w14:schemeClr>
                  </w14:solidFill>
                </w14:textFill>
              </w:rPr>
            </w:pPr>
            <w:r>
              <w:rPr>
                <w:rFonts w:hint="eastAsia"/>
                <w:color w:val="262626" w:themeColor="text1" w:themeTint="D9"/>
                <w14:textFill>
                  <w14:solidFill>
                    <w14:schemeClr w14:val="tx1">
                      <w14:lumMod w14:val="85000"/>
                      <w14:lumOff w14:val="15000"/>
                    </w14:schemeClr>
                  </w14:solidFill>
                </w14:textFill>
              </w:rPr>
              <w:t>3</w:t>
            </w:r>
          </w:p>
        </w:tc>
        <w:tc>
          <w:tcPr>
            <w:tcW w:w="4296" w:type="dxa"/>
          </w:tcPr>
          <w:p>
            <w:pPr>
              <w:pStyle w:val="16"/>
              <w:spacing w:before="0" w:beforeAutospacing="0" w:after="0" w:afterAutospacing="0"/>
              <w:rPr>
                <w:color w:val="262626" w:themeColor="text1" w:themeTint="D9"/>
                <w14:textFill>
                  <w14:solidFill>
                    <w14:schemeClr w14:val="tx1">
                      <w14:lumMod w14:val="85000"/>
                      <w14:lumOff w14:val="15000"/>
                    </w14:schemeClr>
                  </w14:solidFill>
                </w14:textFill>
              </w:rPr>
            </w:pPr>
            <w:r>
              <w:rPr>
                <w:rFonts w:hint="eastAsia"/>
                <w:bCs/>
                <w:color w:val="262626" w:themeColor="text1" w:themeTint="D9"/>
                <w14:textFill>
                  <w14:solidFill>
                    <w14:schemeClr w14:val="tx1">
                      <w14:lumMod w14:val="85000"/>
                      <w14:lumOff w14:val="15000"/>
                    </w14:schemeClr>
                  </w14:solidFill>
                </w14:textFill>
              </w:rPr>
              <w:t>强制送风设备</w:t>
            </w:r>
          </w:p>
        </w:tc>
        <w:tc>
          <w:tcPr>
            <w:tcW w:w="2148" w:type="dxa"/>
          </w:tcPr>
          <w:p>
            <w:pPr>
              <w:pStyle w:val="16"/>
              <w:spacing w:before="0" w:beforeAutospacing="0" w:after="0" w:afterAutospacing="0"/>
              <w:rPr>
                <w:color w:val="262626" w:themeColor="text1" w:themeTint="D9"/>
                <w14:textFill>
                  <w14:solidFill>
                    <w14:schemeClr w14:val="tx1">
                      <w14:lumMod w14:val="85000"/>
                      <w14:lumOff w14:val="15000"/>
                    </w14:schemeClr>
                  </w14:solidFill>
                </w14:textFill>
              </w:rPr>
            </w:pPr>
          </w:p>
        </w:tc>
        <w:tc>
          <w:tcPr>
            <w:tcW w:w="2080" w:type="dxa"/>
          </w:tcPr>
          <w:p>
            <w:pPr>
              <w:pStyle w:val="16"/>
              <w:spacing w:before="0" w:beforeAutospacing="0" w:after="0" w:afterAutospacing="0"/>
              <w:rPr>
                <w:color w:val="262626" w:themeColor="text1" w:themeTint="D9"/>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tcPr>
          <w:p>
            <w:pPr>
              <w:pStyle w:val="16"/>
              <w:spacing w:before="0" w:beforeAutospacing="0" w:after="0" w:afterAutospacing="0"/>
              <w:rPr>
                <w:color w:val="262626" w:themeColor="text1" w:themeTint="D9"/>
                <w14:textFill>
                  <w14:solidFill>
                    <w14:schemeClr w14:val="tx1">
                      <w14:lumMod w14:val="85000"/>
                      <w14:lumOff w14:val="15000"/>
                    </w14:schemeClr>
                  </w14:solidFill>
                </w14:textFill>
              </w:rPr>
            </w:pPr>
            <w:r>
              <w:rPr>
                <w:rFonts w:hint="eastAsia"/>
                <w:color w:val="262626" w:themeColor="text1" w:themeTint="D9"/>
                <w14:textFill>
                  <w14:solidFill>
                    <w14:schemeClr w14:val="tx1">
                      <w14:lumMod w14:val="85000"/>
                      <w14:lumOff w14:val="15000"/>
                    </w14:schemeClr>
                  </w14:solidFill>
                </w14:textFill>
              </w:rPr>
              <w:t>4</w:t>
            </w:r>
          </w:p>
        </w:tc>
        <w:tc>
          <w:tcPr>
            <w:tcW w:w="4296" w:type="dxa"/>
          </w:tcPr>
          <w:p>
            <w:pPr>
              <w:pStyle w:val="16"/>
              <w:spacing w:before="0" w:beforeAutospacing="0" w:after="0" w:afterAutospacing="0"/>
              <w:rPr>
                <w:color w:val="262626" w:themeColor="text1" w:themeTint="D9"/>
                <w14:textFill>
                  <w14:solidFill>
                    <w14:schemeClr w14:val="tx1">
                      <w14:lumMod w14:val="85000"/>
                      <w14:lumOff w14:val="15000"/>
                    </w14:schemeClr>
                  </w14:solidFill>
                </w14:textFill>
              </w:rPr>
            </w:pPr>
            <w:r>
              <w:rPr>
                <w:rFonts w:hint="eastAsia"/>
                <w:bCs/>
                <w:color w:val="262626" w:themeColor="text1" w:themeTint="D9"/>
                <w14:textFill>
                  <w14:solidFill>
                    <w14:schemeClr w14:val="tx1">
                      <w14:lumMod w14:val="85000"/>
                      <w14:lumOff w14:val="15000"/>
                    </w14:schemeClr>
                  </w14:solidFill>
                </w14:textFill>
              </w:rPr>
              <w:t>三脚架（含绞盘）</w:t>
            </w:r>
          </w:p>
        </w:tc>
        <w:tc>
          <w:tcPr>
            <w:tcW w:w="2148" w:type="dxa"/>
          </w:tcPr>
          <w:p>
            <w:pPr>
              <w:pStyle w:val="16"/>
              <w:spacing w:before="0" w:beforeAutospacing="0" w:after="0" w:afterAutospacing="0"/>
              <w:rPr>
                <w:color w:val="262626" w:themeColor="text1" w:themeTint="D9"/>
                <w14:textFill>
                  <w14:solidFill>
                    <w14:schemeClr w14:val="tx1">
                      <w14:lumMod w14:val="85000"/>
                      <w14:lumOff w14:val="15000"/>
                    </w14:schemeClr>
                  </w14:solidFill>
                </w14:textFill>
              </w:rPr>
            </w:pPr>
          </w:p>
        </w:tc>
        <w:tc>
          <w:tcPr>
            <w:tcW w:w="2080" w:type="dxa"/>
          </w:tcPr>
          <w:p>
            <w:pPr>
              <w:pStyle w:val="16"/>
              <w:spacing w:before="0" w:beforeAutospacing="0" w:after="0" w:afterAutospacing="0"/>
              <w:rPr>
                <w:color w:val="262626" w:themeColor="text1" w:themeTint="D9"/>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tcPr>
          <w:p>
            <w:pPr>
              <w:pStyle w:val="16"/>
              <w:spacing w:before="0" w:beforeAutospacing="0" w:after="0" w:afterAutospacing="0"/>
              <w:rPr>
                <w:color w:val="262626" w:themeColor="text1" w:themeTint="D9"/>
                <w14:textFill>
                  <w14:solidFill>
                    <w14:schemeClr w14:val="tx1">
                      <w14:lumMod w14:val="85000"/>
                      <w14:lumOff w14:val="15000"/>
                    </w14:schemeClr>
                  </w14:solidFill>
                </w14:textFill>
              </w:rPr>
            </w:pPr>
            <w:r>
              <w:rPr>
                <w:rFonts w:hint="eastAsia"/>
                <w:color w:val="262626" w:themeColor="text1" w:themeTint="D9"/>
                <w14:textFill>
                  <w14:solidFill>
                    <w14:schemeClr w14:val="tx1">
                      <w14:lumMod w14:val="85000"/>
                      <w14:lumOff w14:val="15000"/>
                    </w14:schemeClr>
                  </w14:solidFill>
                </w14:textFill>
              </w:rPr>
              <w:t>5</w:t>
            </w:r>
          </w:p>
        </w:tc>
        <w:tc>
          <w:tcPr>
            <w:tcW w:w="4296" w:type="dxa"/>
          </w:tcPr>
          <w:p>
            <w:pPr>
              <w:pStyle w:val="16"/>
              <w:spacing w:before="0" w:beforeAutospacing="0" w:after="0" w:afterAutospacing="0"/>
              <w:rPr>
                <w:bCs/>
                <w:color w:val="262626" w:themeColor="text1" w:themeTint="D9"/>
                <w14:textFill>
                  <w14:solidFill>
                    <w14:schemeClr w14:val="tx1">
                      <w14:lumMod w14:val="85000"/>
                      <w14:lumOff w14:val="15000"/>
                    </w14:schemeClr>
                  </w14:solidFill>
                </w14:textFill>
              </w:rPr>
            </w:pPr>
            <w:r>
              <w:rPr>
                <w:rFonts w:hint="eastAsia"/>
                <w:bCs/>
                <w:color w:val="262626" w:themeColor="text1" w:themeTint="D9"/>
                <w14:textFill>
                  <w14:solidFill>
                    <w14:schemeClr w14:val="tx1">
                      <w14:lumMod w14:val="85000"/>
                      <w14:lumOff w14:val="15000"/>
                    </w14:schemeClr>
                  </w14:solidFill>
                </w14:textFill>
              </w:rPr>
              <w:t>正压式呼吸器或高压送风式呼吸器</w:t>
            </w:r>
          </w:p>
        </w:tc>
        <w:tc>
          <w:tcPr>
            <w:tcW w:w="2148" w:type="dxa"/>
          </w:tcPr>
          <w:p>
            <w:pPr>
              <w:pStyle w:val="16"/>
              <w:spacing w:before="0" w:beforeAutospacing="0" w:after="0" w:afterAutospacing="0"/>
              <w:rPr>
                <w:color w:val="262626" w:themeColor="text1" w:themeTint="D9"/>
                <w14:textFill>
                  <w14:solidFill>
                    <w14:schemeClr w14:val="tx1">
                      <w14:lumMod w14:val="85000"/>
                      <w14:lumOff w14:val="15000"/>
                    </w14:schemeClr>
                  </w14:solidFill>
                </w14:textFill>
              </w:rPr>
            </w:pPr>
          </w:p>
        </w:tc>
        <w:tc>
          <w:tcPr>
            <w:tcW w:w="2080" w:type="dxa"/>
          </w:tcPr>
          <w:p>
            <w:pPr>
              <w:pStyle w:val="16"/>
              <w:spacing w:before="0" w:beforeAutospacing="0" w:after="0" w:afterAutospacing="0"/>
              <w:rPr>
                <w:color w:val="262626" w:themeColor="text1" w:themeTint="D9"/>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tcPr>
          <w:p>
            <w:pPr>
              <w:pStyle w:val="16"/>
              <w:spacing w:before="0" w:beforeAutospacing="0" w:after="0" w:afterAutospacing="0"/>
              <w:rPr>
                <w:color w:val="262626" w:themeColor="text1" w:themeTint="D9"/>
                <w14:textFill>
                  <w14:solidFill>
                    <w14:schemeClr w14:val="tx1">
                      <w14:lumMod w14:val="85000"/>
                      <w14:lumOff w14:val="15000"/>
                    </w14:schemeClr>
                  </w14:solidFill>
                </w14:textFill>
              </w:rPr>
            </w:pPr>
            <w:r>
              <w:rPr>
                <w:rFonts w:hint="eastAsia"/>
                <w:color w:val="262626" w:themeColor="text1" w:themeTint="D9"/>
                <w14:textFill>
                  <w14:solidFill>
                    <w14:schemeClr w14:val="tx1">
                      <w14:lumMod w14:val="85000"/>
                      <w14:lumOff w14:val="15000"/>
                    </w14:schemeClr>
                  </w14:solidFill>
                </w14:textFill>
              </w:rPr>
              <w:t>6</w:t>
            </w:r>
          </w:p>
        </w:tc>
        <w:tc>
          <w:tcPr>
            <w:tcW w:w="4296" w:type="dxa"/>
          </w:tcPr>
          <w:p>
            <w:pPr>
              <w:pStyle w:val="16"/>
              <w:spacing w:before="0" w:beforeAutospacing="0" w:after="0" w:afterAutospacing="0"/>
              <w:rPr>
                <w:bCs/>
                <w:color w:val="262626" w:themeColor="text1" w:themeTint="D9"/>
                <w14:textFill>
                  <w14:solidFill>
                    <w14:schemeClr w14:val="tx1">
                      <w14:lumMod w14:val="85000"/>
                      <w14:lumOff w14:val="15000"/>
                    </w14:schemeClr>
                  </w14:solidFill>
                </w14:textFill>
              </w:rPr>
            </w:pPr>
            <w:r>
              <w:rPr>
                <w:rFonts w:hint="eastAsia"/>
                <w:bCs/>
                <w:color w:val="262626" w:themeColor="text1" w:themeTint="D9"/>
                <w14:textFill>
                  <w14:solidFill>
                    <w14:schemeClr w14:val="tx1">
                      <w14:lumMod w14:val="85000"/>
                      <w14:lumOff w14:val="15000"/>
                    </w14:schemeClr>
                  </w14:solidFill>
                </w14:textFill>
              </w:rPr>
              <w:t>全身式安全带;安全绳;安全帽、</w:t>
            </w:r>
            <w:r>
              <w:rPr>
                <w:rFonts w:hint="eastAsia"/>
                <w:color w:val="262626" w:themeColor="text1" w:themeTint="D9"/>
                <w14:textFill>
                  <w14:solidFill>
                    <w14:schemeClr w14:val="tx1">
                      <w14:lumMod w14:val="85000"/>
                      <w14:lumOff w14:val="15000"/>
                    </w14:schemeClr>
                  </w14:solidFill>
                </w14:textFill>
              </w:rPr>
              <w:t>梯子</w:t>
            </w:r>
          </w:p>
        </w:tc>
        <w:tc>
          <w:tcPr>
            <w:tcW w:w="2148" w:type="dxa"/>
          </w:tcPr>
          <w:p>
            <w:pPr>
              <w:pStyle w:val="16"/>
              <w:spacing w:before="0" w:beforeAutospacing="0" w:after="0" w:afterAutospacing="0"/>
              <w:rPr>
                <w:color w:val="262626" w:themeColor="text1" w:themeTint="D9"/>
                <w14:textFill>
                  <w14:solidFill>
                    <w14:schemeClr w14:val="tx1">
                      <w14:lumMod w14:val="85000"/>
                      <w14:lumOff w14:val="15000"/>
                    </w14:schemeClr>
                  </w14:solidFill>
                </w14:textFill>
              </w:rPr>
            </w:pPr>
          </w:p>
        </w:tc>
        <w:tc>
          <w:tcPr>
            <w:tcW w:w="2080" w:type="dxa"/>
          </w:tcPr>
          <w:p>
            <w:pPr>
              <w:pStyle w:val="16"/>
              <w:spacing w:before="0" w:beforeAutospacing="0" w:after="0" w:afterAutospacing="0"/>
              <w:rPr>
                <w:color w:val="262626" w:themeColor="text1" w:themeTint="D9"/>
                <w14:textFill>
                  <w14:solidFill>
                    <w14:schemeClr w14:val="tx1">
                      <w14:lumMod w14:val="85000"/>
                      <w14:lumOff w14:val="15000"/>
                    </w14:schemeClr>
                  </w14:solidFill>
                </w14:textFill>
              </w:rPr>
            </w:pPr>
          </w:p>
        </w:tc>
      </w:tr>
    </w:tbl>
    <w:p>
      <w:pPr>
        <w:spacing w:line="360" w:lineRule="auto"/>
        <w:ind w:firstLine="560"/>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p>
      <w:pPr>
        <w:spacing w:line="360" w:lineRule="auto"/>
        <w:jc w:val="lef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p>
      <w:pPr>
        <w:widowControl/>
        <w:jc w:val="left"/>
        <w:rPr>
          <w:rFonts w:ascii="宋体" w:hAnsi="宋体" w:eastAsia="宋体" w:cs="宋体"/>
          <w:color w:val="262626" w:themeColor="text1" w:themeTint="D9"/>
          <w:sz w:val="24"/>
          <w:szCs w:val="24"/>
          <w14:textFill>
            <w14:solidFill>
              <w14:schemeClr w14:val="tx1">
                <w14:lumMod w14:val="85000"/>
                <w14:lumOff w14:val="15000"/>
              </w14:schemeClr>
            </w14:solidFill>
          </w14:textFill>
        </w:rPr>
        <w:sectPr>
          <w:pgSz w:w="11906" w:h="16838"/>
          <w:pgMar w:top="1440" w:right="1800" w:bottom="1440" w:left="1800" w:header="851" w:footer="992" w:gutter="0"/>
          <w:pgNumType w:fmt="numberInDash"/>
          <w:cols w:space="425" w:num="1"/>
          <w:docGrid w:type="lines" w:linePitch="312" w:charSpace="0"/>
        </w:sect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br w:type="page"/>
      </w:r>
    </w:p>
    <w:p>
      <w:pPr>
        <w:spacing w:line="360" w:lineRule="auto"/>
        <w:jc w:val="left"/>
        <w:outlineLvl w:val="0"/>
        <w:rPr>
          <w:rFonts w:ascii="宋体" w:hAnsi="宋体" w:eastAsia="宋体" w:cs="宋体"/>
          <w:b/>
          <w:color w:val="262626" w:themeColor="text1" w:themeTint="D9"/>
          <w:sz w:val="28"/>
          <w:szCs w:val="24"/>
          <w14:textFill>
            <w14:solidFill>
              <w14:schemeClr w14:val="tx1">
                <w14:lumMod w14:val="85000"/>
                <w14:lumOff w14:val="15000"/>
              </w14:schemeClr>
            </w14:solidFill>
          </w14:textFill>
        </w:rPr>
      </w:pPr>
      <w:bookmarkStart w:id="43" w:name="_Toc386_WPSOffice_Level1"/>
      <w:r>
        <w:rPr>
          <w:rFonts w:hint="eastAsia" w:ascii="宋体" w:hAnsi="宋体" w:eastAsia="宋体" w:cs="宋体"/>
          <w:b/>
          <w:color w:val="262626" w:themeColor="text1" w:themeTint="D9"/>
          <w:sz w:val="28"/>
          <w:szCs w:val="24"/>
          <w14:textFill>
            <w14:solidFill>
              <w14:schemeClr w14:val="tx1">
                <w14:lumMod w14:val="85000"/>
                <w14:lumOff w14:val="15000"/>
              </w14:schemeClr>
            </w14:solidFill>
          </w14:textFill>
        </w:rPr>
        <w:t>5、有限空间安全警示标志一览表</w:t>
      </w:r>
      <w:bookmarkEnd w:id="43"/>
    </w:p>
    <w:p>
      <w:pPr>
        <w:jc w:val="center"/>
        <w:rPr>
          <w:rFonts w:ascii="宋体" w:hAnsi="宋体" w:eastAsia="宋体" w:cs="宋体"/>
          <w:b/>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
          <w:color w:val="262626" w:themeColor="text1" w:themeTint="D9"/>
          <w:sz w:val="24"/>
          <w:szCs w:val="24"/>
          <w14:textFill>
            <w14:solidFill>
              <w14:schemeClr w14:val="tx1">
                <w14:lumMod w14:val="85000"/>
                <w14:lumOff w14:val="15000"/>
              </w14:schemeClr>
            </w14:solidFill>
          </w14:textFill>
        </w:rPr>
        <w:t>表1 有限空间安全警示标志一览表</w:t>
      </w:r>
    </w:p>
    <w:tbl>
      <w:tblPr>
        <w:tblStyle w:val="53"/>
        <w:tblW w:w="13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3"/>
        <w:gridCol w:w="5227"/>
        <w:gridCol w:w="2554"/>
        <w:gridCol w:w="1701"/>
        <w:gridCol w:w="1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683" w:type="dxa"/>
            <w:vAlign w:val="center"/>
          </w:tcPr>
          <w:p>
            <w:pPr>
              <w:adjustRightInd w:val="0"/>
              <w:snapToGrid w:val="0"/>
              <w:jc w:val="center"/>
              <w:rPr>
                <w:rFonts w:ascii="宋体" w:hAnsi="宋体" w:eastAsia="宋体" w:cs="宋体"/>
                <w:b/>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
                <w:color w:val="262626" w:themeColor="text1" w:themeTint="D9"/>
                <w:sz w:val="24"/>
                <w:szCs w:val="24"/>
                <w14:textFill>
                  <w14:solidFill>
                    <w14:schemeClr w14:val="tx1">
                      <w14:lumMod w14:val="85000"/>
                      <w14:lumOff w14:val="15000"/>
                    </w14:schemeClr>
                  </w14:solidFill>
                </w14:textFill>
              </w:rPr>
              <w:t>警示标志名称</w:t>
            </w:r>
          </w:p>
        </w:tc>
        <w:tc>
          <w:tcPr>
            <w:tcW w:w="5227" w:type="dxa"/>
            <w:vAlign w:val="center"/>
          </w:tcPr>
          <w:p>
            <w:pPr>
              <w:adjustRightInd w:val="0"/>
              <w:snapToGrid w:val="0"/>
              <w:jc w:val="center"/>
              <w:rPr>
                <w:rFonts w:ascii="宋体" w:hAnsi="宋体" w:eastAsia="宋体" w:cs="宋体"/>
                <w:b/>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
                <w:color w:val="262626" w:themeColor="text1" w:themeTint="D9"/>
                <w:sz w:val="24"/>
                <w:szCs w:val="24"/>
                <w14:textFill>
                  <w14:solidFill>
                    <w14:schemeClr w14:val="tx1">
                      <w14:lumMod w14:val="85000"/>
                      <w14:lumOff w14:val="15000"/>
                    </w14:schemeClr>
                  </w14:solidFill>
                </w14:textFill>
              </w:rPr>
              <w:t>照片或图片</w:t>
            </w:r>
          </w:p>
        </w:tc>
        <w:tc>
          <w:tcPr>
            <w:tcW w:w="2554" w:type="dxa"/>
            <w:vAlign w:val="center"/>
          </w:tcPr>
          <w:p>
            <w:pPr>
              <w:adjustRightInd w:val="0"/>
              <w:snapToGrid w:val="0"/>
              <w:jc w:val="center"/>
              <w:rPr>
                <w:rFonts w:ascii="宋体" w:hAnsi="宋体" w:eastAsia="宋体" w:cs="宋体"/>
                <w:b/>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
                <w:color w:val="262626" w:themeColor="text1" w:themeTint="D9"/>
                <w:sz w:val="24"/>
                <w:szCs w:val="24"/>
                <w14:textFill>
                  <w14:solidFill>
                    <w14:schemeClr w14:val="tx1">
                      <w14:lumMod w14:val="85000"/>
                      <w14:lumOff w14:val="15000"/>
                    </w14:schemeClr>
                  </w14:solidFill>
                </w14:textFill>
              </w:rPr>
              <w:t>使用位置</w:t>
            </w:r>
          </w:p>
        </w:tc>
        <w:tc>
          <w:tcPr>
            <w:tcW w:w="1701" w:type="dxa"/>
            <w:vAlign w:val="center"/>
          </w:tcPr>
          <w:p>
            <w:pPr>
              <w:adjustRightInd w:val="0"/>
              <w:snapToGrid w:val="0"/>
              <w:jc w:val="center"/>
              <w:rPr>
                <w:rFonts w:ascii="宋体" w:hAnsi="宋体" w:eastAsia="宋体" w:cs="宋体"/>
                <w:b/>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
                <w:color w:val="262626" w:themeColor="text1" w:themeTint="D9"/>
                <w:sz w:val="24"/>
                <w:szCs w:val="24"/>
                <w14:textFill>
                  <w14:solidFill>
                    <w14:schemeClr w14:val="tx1">
                      <w14:lumMod w14:val="85000"/>
                      <w14:lumOff w14:val="15000"/>
                    </w14:schemeClr>
                  </w14:solidFill>
                </w14:textFill>
              </w:rPr>
              <w:t>使用方式</w:t>
            </w:r>
          </w:p>
        </w:tc>
        <w:tc>
          <w:tcPr>
            <w:tcW w:w="1875" w:type="dxa"/>
            <w:vAlign w:val="center"/>
          </w:tcPr>
          <w:p>
            <w:pPr>
              <w:adjustRightInd w:val="0"/>
              <w:snapToGrid w:val="0"/>
              <w:jc w:val="center"/>
              <w:rPr>
                <w:rFonts w:ascii="宋体" w:hAnsi="宋体" w:eastAsia="宋体" w:cs="宋体"/>
                <w:b/>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
                <w:color w:val="262626" w:themeColor="text1" w:themeTint="D9"/>
                <w:sz w:val="24"/>
                <w:szCs w:val="24"/>
                <w14:textFill>
                  <w14:solidFill>
                    <w14:schemeClr w14:val="tx1">
                      <w14:lumMod w14:val="85000"/>
                      <w14:lumOff w14:val="15000"/>
                    </w14:schemeClr>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1683" w:type="dxa"/>
            <w:vMerge w:val="restart"/>
            <w:vAlign w:val="center"/>
          </w:tcPr>
          <w:p>
            <w:pPr>
              <w:adjustRightInd w:val="0"/>
              <w:snapToGrid w:val="0"/>
              <w:jc w:val="center"/>
              <w:rPr>
                <w:rFonts w:ascii="宋体" w:hAnsi="宋体" w:eastAsia="宋体" w:cs="宋体"/>
                <w:b/>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
                <w:color w:val="262626" w:themeColor="text1" w:themeTint="D9"/>
                <w:sz w:val="24"/>
                <w:szCs w:val="24"/>
                <w14:textFill>
                  <w14:solidFill>
                    <w14:schemeClr w14:val="tx1">
                      <w14:lumMod w14:val="85000"/>
                      <w14:lumOff w14:val="15000"/>
                    </w14:schemeClr>
                  </w14:solidFill>
                </w14:textFill>
              </w:rPr>
              <w:t>有限空间作业安全告知牌</w:t>
            </w:r>
          </w:p>
        </w:tc>
        <w:tc>
          <w:tcPr>
            <w:tcW w:w="5227" w:type="dxa"/>
            <w:vMerge w:val="restart"/>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drawing>
                <wp:inline distT="0" distB="0" distL="0" distR="0">
                  <wp:extent cx="3136265" cy="3857625"/>
                  <wp:effectExtent l="0" t="0" r="698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5"/>
                          <a:stretch>
                            <a:fillRect/>
                          </a:stretch>
                        </pic:blipFill>
                        <pic:spPr>
                          <a:xfrm>
                            <a:off x="0" y="0"/>
                            <a:ext cx="3136880" cy="3857625"/>
                          </a:xfrm>
                          <a:prstGeom prst="rect">
                            <a:avLst/>
                          </a:prstGeom>
                        </pic:spPr>
                      </pic:pic>
                    </a:graphicData>
                  </a:graphic>
                </wp:inline>
              </w:drawing>
            </w:r>
          </w:p>
        </w:tc>
        <w:tc>
          <w:tcPr>
            <w:tcW w:w="2554" w:type="dxa"/>
            <w:shd w:val="clear" w:color="auto" w:fill="D6E3BC" w:themeFill="accent3" w:themeFillTint="66"/>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701" w:type="dxa"/>
            <w:shd w:val="clear" w:color="auto" w:fill="FFFFFF" w:themeFill="background1"/>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875" w:type="dxa"/>
            <w:shd w:val="clear" w:color="auto" w:fill="FFFFFF" w:themeFill="background1"/>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1683" w:type="dxa"/>
            <w:vMerge w:val="continue"/>
            <w:vAlign w:val="center"/>
          </w:tcPr>
          <w:p>
            <w:pPr>
              <w:adjustRightInd w:val="0"/>
              <w:snapToGrid w:val="0"/>
              <w:jc w:val="center"/>
              <w:rPr>
                <w:rFonts w:ascii="宋体" w:hAnsi="宋体" w:eastAsia="宋体" w:cs="宋体"/>
                <w:b/>
                <w:color w:val="262626" w:themeColor="text1" w:themeTint="D9"/>
                <w:sz w:val="24"/>
                <w:szCs w:val="24"/>
                <w14:textFill>
                  <w14:solidFill>
                    <w14:schemeClr w14:val="tx1">
                      <w14:lumMod w14:val="85000"/>
                      <w14:lumOff w14:val="15000"/>
                    </w14:schemeClr>
                  </w14:solidFill>
                </w14:textFill>
              </w:rPr>
            </w:pPr>
          </w:p>
        </w:tc>
        <w:tc>
          <w:tcPr>
            <w:tcW w:w="5227" w:type="dxa"/>
            <w:vMerge w:val="continue"/>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2554" w:type="dxa"/>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701" w:type="dxa"/>
            <w:vMerge w:val="restart"/>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875" w:type="dxa"/>
            <w:vMerge w:val="restart"/>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1" w:hRule="atLeast"/>
        </w:trPr>
        <w:tc>
          <w:tcPr>
            <w:tcW w:w="1683" w:type="dxa"/>
            <w:vMerge w:val="continue"/>
            <w:vAlign w:val="center"/>
          </w:tcPr>
          <w:p>
            <w:pPr>
              <w:adjustRightInd w:val="0"/>
              <w:snapToGrid w:val="0"/>
              <w:jc w:val="center"/>
              <w:rPr>
                <w:rFonts w:ascii="宋体" w:hAnsi="宋体" w:eastAsia="宋体" w:cs="宋体"/>
                <w:b/>
                <w:color w:val="262626" w:themeColor="text1" w:themeTint="D9"/>
                <w:sz w:val="24"/>
                <w:szCs w:val="24"/>
                <w14:textFill>
                  <w14:solidFill>
                    <w14:schemeClr w14:val="tx1">
                      <w14:lumMod w14:val="85000"/>
                      <w14:lumOff w14:val="15000"/>
                    </w14:schemeClr>
                  </w14:solidFill>
                </w14:textFill>
              </w:rPr>
            </w:pPr>
          </w:p>
        </w:tc>
        <w:tc>
          <w:tcPr>
            <w:tcW w:w="5227" w:type="dxa"/>
            <w:vMerge w:val="continue"/>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2554" w:type="dxa"/>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701" w:type="dxa"/>
            <w:vMerge w:val="continue"/>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875" w:type="dxa"/>
            <w:vMerge w:val="continue"/>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3" w:type="dxa"/>
            <w:vAlign w:val="center"/>
          </w:tcPr>
          <w:p>
            <w:pPr>
              <w:adjustRightInd w:val="0"/>
              <w:snapToGrid w:val="0"/>
              <w:jc w:val="center"/>
              <w:rPr>
                <w:rFonts w:ascii="宋体" w:hAnsi="宋体" w:eastAsia="宋体" w:cs="宋体"/>
                <w:b/>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
                <w:color w:val="262626" w:themeColor="text1" w:themeTint="D9"/>
                <w:sz w:val="24"/>
                <w:szCs w:val="24"/>
                <w14:textFill>
                  <w14:solidFill>
                    <w14:schemeClr w14:val="tx1">
                      <w14:lumMod w14:val="85000"/>
                      <w14:lumOff w14:val="15000"/>
                    </w14:schemeClr>
                  </w14:solidFill>
                </w14:textFill>
              </w:rPr>
              <w:t>有限空间施工现场信息公示牌</w:t>
            </w:r>
          </w:p>
        </w:tc>
        <w:tc>
          <w:tcPr>
            <w:tcW w:w="5227" w:type="dxa"/>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drawing>
                <wp:anchor distT="0" distB="0" distL="114300" distR="114300" simplePos="0" relativeHeight="251665408" behindDoc="1" locked="0" layoutInCell="1" allowOverlap="1">
                  <wp:simplePos x="0" y="0"/>
                  <wp:positionH relativeFrom="column">
                    <wp:posOffset>20320</wp:posOffset>
                  </wp:positionH>
                  <wp:positionV relativeFrom="paragraph">
                    <wp:posOffset>-4523105</wp:posOffset>
                  </wp:positionV>
                  <wp:extent cx="3162300" cy="4514850"/>
                  <wp:effectExtent l="0" t="0" r="0" b="0"/>
                  <wp:wrapTopAndBottom/>
                  <wp:docPr id="8" name="图片 8" descr="C:\Users\EDM\Documents\Tencent Files\30784551\FileRecv\MobileFile\IMG_2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EDM\Documents\Tencent Files\30784551\FileRecv\MobileFile\IMG_2360.JPG"/>
                          <pic:cNvPicPr>
                            <a:picLocks noChangeAspect="1" noChangeArrowheads="1"/>
                          </pic:cNvPicPr>
                        </pic:nvPicPr>
                        <pic:blipFill>
                          <a:blip r:embed="rId6"/>
                          <a:srcRect/>
                          <a:stretch>
                            <a:fillRect/>
                          </a:stretch>
                        </pic:blipFill>
                        <pic:spPr>
                          <a:xfrm>
                            <a:off x="0" y="0"/>
                            <a:ext cx="3162300" cy="4514850"/>
                          </a:xfrm>
                          <a:prstGeom prst="rect">
                            <a:avLst/>
                          </a:prstGeom>
                          <a:noFill/>
                          <a:ln>
                            <a:noFill/>
                          </a:ln>
                        </pic:spPr>
                      </pic:pic>
                    </a:graphicData>
                  </a:graphic>
                </wp:anchor>
              </w:drawing>
            </w:r>
          </w:p>
        </w:tc>
        <w:tc>
          <w:tcPr>
            <w:tcW w:w="2554" w:type="dxa"/>
            <w:shd w:val="clear" w:color="auto" w:fill="EAF1DD" w:themeFill="accent3" w:themeFillTint="33"/>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701" w:type="dxa"/>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875" w:type="dxa"/>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1683" w:type="dxa"/>
            <w:vMerge w:val="restart"/>
            <w:vAlign w:val="center"/>
          </w:tcPr>
          <w:p>
            <w:pPr>
              <w:adjustRightInd w:val="0"/>
              <w:snapToGrid w:val="0"/>
              <w:jc w:val="center"/>
              <w:rPr>
                <w:rFonts w:ascii="宋体" w:hAnsi="宋体" w:eastAsia="宋体" w:cs="宋体"/>
                <w:b/>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
                <w:color w:val="262626" w:themeColor="text1" w:themeTint="D9"/>
                <w:sz w:val="24"/>
                <w:szCs w:val="24"/>
                <w14:textFill>
                  <w14:solidFill>
                    <w14:schemeClr w14:val="tx1">
                      <w14:lumMod w14:val="85000"/>
                      <w14:lumOff w14:val="15000"/>
                    </w14:schemeClr>
                  </w14:solidFill>
                </w14:textFill>
              </w:rPr>
              <w:t>危险警示牌</w:t>
            </w:r>
          </w:p>
        </w:tc>
        <w:tc>
          <w:tcPr>
            <w:tcW w:w="5227" w:type="dxa"/>
            <w:vMerge w:val="restart"/>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drawing>
                <wp:inline distT="0" distB="0" distL="0" distR="0">
                  <wp:extent cx="2665730" cy="2152650"/>
                  <wp:effectExtent l="0" t="0" r="1270" b="0"/>
                  <wp:docPr id="9" name="图片 9" descr="http://i00.c.aliimg.com/img/ibank/2014/227/706/1154607722_4758543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http://i00.c.aliimg.com/img/ibank/2014/227/706/1154607722_475854359.jpg"/>
                          <pic:cNvPicPr>
                            <a:picLocks noChangeAspect="1" noChangeArrowheads="1"/>
                          </pic:cNvPicPr>
                        </pic:nvPicPr>
                        <pic:blipFill>
                          <a:blip r:embed="rId7"/>
                          <a:srcRect/>
                          <a:stretch>
                            <a:fillRect/>
                          </a:stretch>
                        </pic:blipFill>
                        <pic:spPr>
                          <a:xfrm>
                            <a:off x="0" y="0"/>
                            <a:ext cx="2671543" cy="2157321"/>
                          </a:xfrm>
                          <a:prstGeom prst="rect">
                            <a:avLst/>
                          </a:prstGeom>
                          <a:noFill/>
                          <a:ln>
                            <a:noFill/>
                          </a:ln>
                        </pic:spPr>
                      </pic:pic>
                    </a:graphicData>
                  </a:graphic>
                </wp:inline>
              </w:drawing>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w:t>
            </w:r>
          </w:p>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drawing>
                <wp:inline distT="0" distB="0" distL="0" distR="0">
                  <wp:extent cx="2705100" cy="1748790"/>
                  <wp:effectExtent l="0" t="0" r="0" b="3810"/>
                  <wp:docPr id="10" name="图片 10" descr="C:\Users\EDM\Documents\Tencent Files\30784551\FileRecv\MobileFile\IMG_23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EDM\Documents\Tencent Files\30784551\FileRecv\MobileFile\IMG_2380.JPG"/>
                          <pic:cNvPicPr>
                            <a:picLocks noChangeAspect="1" noChangeArrowheads="1"/>
                          </pic:cNvPicPr>
                        </pic:nvPicPr>
                        <pic:blipFill>
                          <a:blip r:embed="rId8" cstate="screen">
                            <a:extLst>
                              <a:ext uri="{BEBA8EAE-BF5A-486C-A8C5-ECC9F3942E4B}">
                                <a14:imgProps xmlns:a14="http://schemas.microsoft.com/office/drawing/2010/main">
                                  <a14:imgLayer r:embed="rId9">
                                    <a14:imgEffect>
                                      <a14:brightnessContrast bright="20000" contrast="-20000"/>
                                    </a14:imgEffect>
                                  </a14:imgLayer>
                                </a14:imgProps>
                              </a:ext>
                            </a:extLst>
                          </a:blip>
                          <a:srcRect/>
                          <a:stretch>
                            <a:fillRect/>
                          </a:stretch>
                        </pic:blipFill>
                        <pic:spPr>
                          <a:xfrm>
                            <a:off x="0" y="0"/>
                            <a:ext cx="2707057" cy="1750493"/>
                          </a:xfrm>
                          <a:prstGeom prst="rect">
                            <a:avLst/>
                          </a:prstGeom>
                          <a:noFill/>
                          <a:ln>
                            <a:noFill/>
                          </a:ln>
                        </pic:spPr>
                      </pic:pic>
                    </a:graphicData>
                  </a:graphic>
                </wp:inline>
              </w:drawing>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w:t>
            </w:r>
          </w:p>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drawing>
                <wp:inline distT="0" distB="0" distL="0" distR="0">
                  <wp:extent cx="2986405" cy="2114550"/>
                  <wp:effectExtent l="0" t="0" r="4445" b="0"/>
                  <wp:docPr id="11" name="图片 11" descr="C:\Users\EDM\Documents\Tencent Files\30784551\FileRecv\MobileFile\IMG_23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EDM\Documents\Tencent Files\30784551\FileRecv\MobileFile\IMG_2379.JPG"/>
                          <pic:cNvPicPr>
                            <a:picLocks noChangeAspect="1" noChangeArrowheads="1"/>
                          </pic:cNvPicPr>
                        </pic:nvPicPr>
                        <pic:blipFill>
                          <a:blip r:embed="rId10" cstate="screen">
                            <a:extLst>
                              <a:ext uri="{BEBA8EAE-BF5A-486C-A8C5-ECC9F3942E4B}">
                                <a14:imgProps xmlns:a14="http://schemas.microsoft.com/office/drawing/2010/main">
                                  <a14:imgLayer r:embed="rId11">
                                    <a14:imgEffect>
                                      <a14:brightnessContrast bright="20000" contrast="-40000"/>
                                    </a14:imgEffect>
                                  </a14:imgLayer>
                                </a14:imgProps>
                              </a:ext>
                            </a:extLst>
                          </a:blip>
                          <a:srcRect/>
                          <a:stretch>
                            <a:fillRect/>
                          </a:stretch>
                        </pic:blipFill>
                        <pic:spPr>
                          <a:xfrm>
                            <a:off x="0" y="0"/>
                            <a:ext cx="2990699" cy="2117461"/>
                          </a:xfrm>
                          <a:prstGeom prst="rect">
                            <a:avLst/>
                          </a:prstGeom>
                          <a:noFill/>
                          <a:ln>
                            <a:noFill/>
                          </a:ln>
                        </pic:spPr>
                      </pic:pic>
                    </a:graphicData>
                  </a:graphic>
                </wp:inline>
              </w:drawing>
            </w:r>
          </w:p>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2554" w:type="dxa"/>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701" w:type="dxa"/>
            <w:vMerge w:val="restart"/>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875" w:type="dxa"/>
            <w:vMerge w:val="restart"/>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1683" w:type="dxa"/>
            <w:vMerge w:val="continue"/>
            <w:vAlign w:val="center"/>
          </w:tcPr>
          <w:p>
            <w:pPr>
              <w:adjustRightInd w:val="0"/>
              <w:snapToGrid w:val="0"/>
              <w:jc w:val="center"/>
              <w:rPr>
                <w:rFonts w:ascii="宋体" w:hAnsi="宋体" w:eastAsia="宋体" w:cs="宋体"/>
                <w:b/>
                <w:color w:val="262626" w:themeColor="text1" w:themeTint="D9"/>
                <w:sz w:val="24"/>
                <w:szCs w:val="24"/>
                <w14:textFill>
                  <w14:solidFill>
                    <w14:schemeClr w14:val="tx1">
                      <w14:lumMod w14:val="85000"/>
                      <w14:lumOff w14:val="15000"/>
                    </w14:schemeClr>
                  </w14:solidFill>
                </w14:textFill>
              </w:rPr>
            </w:pPr>
          </w:p>
        </w:tc>
        <w:tc>
          <w:tcPr>
            <w:tcW w:w="5227" w:type="dxa"/>
            <w:vMerge w:val="continue"/>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2554" w:type="dxa"/>
            <w:shd w:val="clear" w:color="auto" w:fill="EAF1DD" w:themeFill="accent3" w:themeFillTint="33"/>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701" w:type="dxa"/>
            <w:vMerge w:val="continue"/>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875" w:type="dxa"/>
            <w:vMerge w:val="continue"/>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1683" w:type="dxa"/>
            <w:vMerge w:val="continue"/>
            <w:vAlign w:val="center"/>
          </w:tcPr>
          <w:p>
            <w:pPr>
              <w:adjustRightInd w:val="0"/>
              <w:snapToGrid w:val="0"/>
              <w:jc w:val="center"/>
              <w:rPr>
                <w:rFonts w:ascii="宋体" w:hAnsi="宋体" w:eastAsia="宋体" w:cs="宋体"/>
                <w:b/>
                <w:color w:val="262626" w:themeColor="text1" w:themeTint="D9"/>
                <w:sz w:val="24"/>
                <w:szCs w:val="24"/>
                <w14:textFill>
                  <w14:solidFill>
                    <w14:schemeClr w14:val="tx1">
                      <w14:lumMod w14:val="85000"/>
                      <w14:lumOff w14:val="15000"/>
                    </w14:schemeClr>
                  </w14:solidFill>
                </w14:textFill>
              </w:rPr>
            </w:pPr>
          </w:p>
        </w:tc>
        <w:tc>
          <w:tcPr>
            <w:tcW w:w="5227" w:type="dxa"/>
            <w:vMerge w:val="continue"/>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2554" w:type="dxa"/>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701" w:type="dxa"/>
            <w:vMerge w:val="continue"/>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875" w:type="dxa"/>
            <w:vMerge w:val="continue"/>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0" w:hRule="atLeast"/>
        </w:trPr>
        <w:tc>
          <w:tcPr>
            <w:tcW w:w="1683" w:type="dxa"/>
            <w:vMerge w:val="restart"/>
            <w:vAlign w:val="center"/>
          </w:tcPr>
          <w:p>
            <w:pPr>
              <w:adjustRightInd w:val="0"/>
              <w:snapToGrid w:val="0"/>
              <w:jc w:val="center"/>
              <w:rPr>
                <w:rFonts w:ascii="宋体" w:hAnsi="宋体" w:eastAsia="宋体" w:cs="宋体"/>
                <w:b/>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
                <w:color w:val="262626" w:themeColor="text1" w:themeTint="D9"/>
                <w:sz w:val="24"/>
                <w:szCs w:val="24"/>
                <w14:textFill>
                  <w14:solidFill>
                    <w14:schemeClr w14:val="tx1">
                      <w14:lumMod w14:val="85000"/>
                      <w14:lumOff w14:val="15000"/>
                    </w14:schemeClr>
                  </w14:solidFill>
                </w14:textFill>
              </w:rPr>
              <w:t>安全警示标志</w:t>
            </w:r>
          </w:p>
        </w:tc>
        <w:tc>
          <w:tcPr>
            <w:tcW w:w="5227" w:type="dxa"/>
            <w:vMerge w:val="restart"/>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drawing>
                <wp:inline distT="0" distB="0" distL="0" distR="0">
                  <wp:extent cx="1475105" cy="2009775"/>
                  <wp:effectExtent l="0" t="0" r="0" b="9525"/>
                  <wp:docPr id="12" name="图片 12" descr="C:\Users\EDM\Documents\Tencent Files\30784551\FileRecv\MobileFile\Image\_N89)Y(SF1TYDNAN4OQGWT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EDM\Documents\Tencent Files\30784551\FileRecv\MobileFile\Image\_N89)Y(SF1TYDNAN4OQGWT6.png"/>
                          <pic:cNvPicPr>
                            <a:picLocks noChangeAspect="1" noChangeArrowheads="1"/>
                          </pic:cNvPicPr>
                        </pic:nvPicPr>
                        <pic:blipFill>
                          <a:blip r:embed="rId12"/>
                          <a:srcRect/>
                          <a:stretch>
                            <a:fillRect/>
                          </a:stretch>
                        </pic:blipFill>
                        <pic:spPr>
                          <a:xfrm>
                            <a:off x="0" y="0"/>
                            <a:ext cx="1475105" cy="2009775"/>
                          </a:xfrm>
                          <a:prstGeom prst="rect">
                            <a:avLst/>
                          </a:prstGeom>
                          <a:noFill/>
                          <a:ln>
                            <a:noFill/>
                          </a:ln>
                        </pic:spPr>
                      </pic:pic>
                    </a:graphicData>
                  </a:graphic>
                </wp:inline>
              </w:drawing>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w:t>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drawing>
                <wp:inline distT="0" distB="0" distL="0" distR="0">
                  <wp:extent cx="1483995" cy="1992630"/>
                  <wp:effectExtent l="0" t="0" r="1905" b="7620"/>
                  <wp:docPr id="13" name="图片 13" descr="C:\Users\EDM\Documents\Tencent Files\30784551\FileRecv\MobileFile\Image\CD]KGT`]QG1{%~J8IB4}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EDM\Documents\Tencent Files\30784551\FileRecv\MobileFile\Image\CD]KGT`]QG1{%~J8IB4}B{1.png"/>
                          <pic:cNvPicPr>
                            <a:picLocks noChangeAspect="1" noChangeArrowheads="1"/>
                          </pic:cNvPicPr>
                        </pic:nvPicPr>
                        <pic:blipFill>
                          <a:blip r:embed="rId13"/>
                          <a:srcRect/>
                          <a:stretch>
                            <a:fillRect/>
                          </a:stretch>
                        </pic:blipFill>
                        <pic:spPr>
                          <a:xfrm>
                            <a:off x="0" y="0"/>
                            <a:ext cx="1483995" cy="1992630"/>
                          </a:xfrm>
                          <a:prstGeom prst="rect">
                            <a:avLst/>
                          </a:prstGeom>
                          <a:noFill/>
                          <a:ln>
                            <a:noFill/>
                          </a:ln>
                        </pic:spPr>
                      </pic:pic>
                    </a:graphicData>
                  </a:graphic>
                </wp:inline>
              </w:drawing>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w:t>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drawing>
                <wp:inline distT="0" distB="0" distL="0" distR="0">
                  <wp:extent cx="1492250" cy="1915160"/>
                  <wp:effectExtent l="0" t="0" r="0" b="8890"/>
                  <wp:docPr id="14" name="图片 14" descr="C:\Users\EDM\Documents\Tencent Files\30784551\FileRecv\MobileFile\Image\EK6VGB7SC%LN6UKUC4X[M~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EDM\Documents\Tencent Files\30784551\FileRecv\MobileFile\Image\EK6VGB7SC%LN6UKUC4X[M~3.png"/>
                          <pic:cNvPicPr>
                            <a:picLocks noChangeAspect="1" noChangeArrowheads="1"/>
                          </pic:cNvPicPr>
                        </pic:nvPicPr>
                        <pic:blipFill>
                          <a:blip r:embed="rId14"/>
                          <a:srcRect/>
                          <a:stretch>
                            <a:fillRect/>
                          </a:stretch>
                        </pic:blipFill>
                        <pic:spPr>
                          <a:xfrm>
                            <a:off x="0" y="0"/>
                            <a:ext cx="1492250" cy="1915160"/>
                          </a:xfrm>
                          <a:prstGeom prst="rect">
                            <a:avLst/>
                          </a:prstGeom>
                          <a:noFill/>
                          <a:ln>
                            <a:noFill/>
                          </a:ln>
                        </pic:spPr>
                      </pic:pic>
                    </a:graphicData>
                  </a:graphic>
                </wp:inline>
              </w:drawing>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w:t>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drawing>
                <wp:inline distT="0" distB="0" distL="0" distR="0">
                  <wp:extent cx="1520190" cy="1857375"/>
                  <wp:effectExtent l="0" t="0" r="3810" b="0"/>
                  <wp:docPr id="15" name="图片 15" descr="http://ec4.images-amazon.com/images/I/51TXjzI86c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http://ec4.images-amazon.com/images/I/51TXjzI86cL.jpg"/>
                          <pic:cNvPicPr>
                            <a:picLocks noChangeAspect="1" noChangeArrowheads="1"/>
                          </pic:cNvPicPr>
                        </pic:nvPicPr>
                        <pic:blipFill>
                          <a:blip r:embed="rId15" cstate="screen"/>
                          <a:srcRect/>
                          <a:stretch>
                            <a:fillRect/>
                          </a:stretch>
                        </pic:blipFill>
                        <pic:spPr>
                          <a:xfrm>
                            <a:off x="0" y="0"/>
                            <a:ext cx="1520614" cy="1857143"/>
                          </a:xfrm>
                          <a:prstGeom prst="rect">
                            <a:avLst/>
                          </a:prstGeom>
                          <a:noFill/>
                          <a:ln>
                            <a:noFill/>
                          </a:ln>
                        </pic:spPr>
                      </pic:pic>
                    </a:graphicData>
                  </a:graphic>
                </wp:inline>
              </w:drawing>
            </w:r>
          </w:p>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drawing>
                <wp:inline distT="0" distB="0" distL="0" distR="0">
                  <wp:extent cx="1492250" cy="1984375"/>
                  <wp:effectExtent l="0" t="0" r="0" b="0"/>
                  <wp:docPr id="16" name="图片 16" descr="C:\Users\EDM\Documents\Tencent Files\30784551\FileRecv\MobileFile\Image\OPNB(71I)YR9JJVVWAUY]T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EDM\Documents\Tencent Files\30784551\FileRecv\MobileFile\Image\OPNB(71I)YR9JJVVWAUY]T7.png"/>
                          <pic:cNvPicPr>
                            <a:picLocks noChangeAspect="1" noChangeArrowheads="1"/>
                          </pic:cNvPicPr>
                        </pic:nvPicPr>
                        <pic:blipFill>
                          <a:blip r:embed="rId16"/>
                          <a:srcRect/>
                          <a:stretch>
                            <a:fillRect/>
                          </a:stretch>
                        </pic:blipFill>
                        <pic:spPr>
                          <a:xfrm>
                            <a:off x="0" y="0"/>
                            <a:ext cx="1492250" cy="1984375"/>
                          </a:xfrm>
                          <a:prstGeom prst="rect">
                            <a:avLst/>
                          </a:prstGeom>
                          <a:noFill/>
                          <a:ln>
                            <a:noFill/>
                          </a:ln>
                        </pic:spPr>
                      </pic:pic>
                    </a:graphicData>
                  </a:graphic>
                </wp:inline>
              </w:drawing>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w:t>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drawing>
                <wp:inline distT="0" distB="0" distL="0" distR="0">
                  <wp:extent cx="1535430" cy="1984375"/>
                  <wp:effectExtent l="0" t="0" r="7620" b="0"/>
                  <wp:docPr id="17" name="图片 17" descr="C:\Users\EDM\Documents\Tencent Files\30784551\FileRecv\MobileFile\Image\K_U9W~LHP30]B{IPFW38$J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EDM\Documents\Tencent Files\30784551\FileRecv\MobileFile\Image\K_U9W~LHP30]B{IPFW38$JM.png"/>
                          <pic:cNvPicPr>
                            <a:picLocks noChangeAspect="1" noChangeArrowheads="1"/>
                          </pic:cNvPicPr>
                        </pic:nvPicPr>
                        <pic:blipFill>
                          <a:blip r:embed="rId17"/>
                          <a:srcRect/>
                          <a:stretch>
                            <a:fillRect/>
                          </a:stretch>
                        </pic:blipFill>
                        <pic:spPr>
                          <a:xfrm>
                            <a:off x="0" y="0"/>
                            <a:ext cx="1535430" cy="1984375"/>
                          </a:xfrm>
                          <a:prstGeom prst="rect">
                            <a:avLst/>
                          </a:prstGeom>
                          <a:noFill/>
                          <a:ln>
                            <a:noFill/>
                          </a:ln>
                        </pic:spPr>
                      </pic:pic>
                    </a:graphicData>
                  </a:graphic>
                </wp:inline>
              </w:drawing>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w:t>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drawing>
                <wp:inline distT="0" distB="0" distL="0" distR="0">
                  <wp:extent cx="1466850" cy="1981200"/>
                  <wp:effectExtent l="0" t="0" r="0" b="0"/>
                  <wp:docPr id="18" name="图片 18" descr="C:\Users\EDM\Documents\Tencent Files\30784551\FileRecv\MobileFile\Image\37E6W{~R%K1~HSRZEC){Y9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EDM\Documents\Tencent Files\30784551\FileRecv\MobileFile\Image\37E6W{~R%K1~HSRZEC){Y9D.png"/>
                          <pic:cNvPicPr>
                            <a:picLocks noChangeAspect="1" noChangeArrowheads="1"/>
                          </pic:cNvPicPr>
                        </pic:nvPicPr>
                        <pic:blipFill>
                          <a:blip r:embed="rId18"/>
                          <a:srcRect/>
                          <a:stretch>
                            <a:fillRect/>
                          </a:stretch>
                        </pic:blipFill>
                        <pic:spPr>
                          <a:xfrm>
                            <a:off x="0" y="0"/>
                            <a:ext cx="1470613" cy="1985480"/>
                          </a:xfrm>
                          <a:prstGeom prst="rect">
                            <a:avLst/>
                          </a:prstGeom>
                          <a:noFill/>
                          <a:ln>
                            <a:noFill/>
                          </a:ln>
                        </pic:spPr>
                      </pic:pic>
                    </a:graphicData>
                  </a:graphic>
                </wp:inline>
              </w:drawing>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drawing>
                <wp:inline distT="0" distB="0" distL="0" distR="0">
                  <wp:extent cx="1612900" cy="2035810"/>
                  <wp:effectExtent l="0" t="0" r="6350" b="2540"/>
                  <wp:docPr id="19" name="图片 19" descr="C:\Users\EDM\Documents\Tencent Files\30784551\FileRecv\MobileFile\Image\X44$UHZ{546`1QH5RS`A7P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Users\EDM\Documents\Tencent Files\30784551\FileRecv\MobileFile\Image\X44$UHZ{546`1QH5RS`A7P7.png"/>
                          <pic:cNvPicPr>
                            <a:picLocks noChangeAspect="1" noChangeArrowheads="1"/>
                          </pic:cNvPicPr>
                        </pic:nvPicPr>
                        <pic:blipFill>
                          <a:blip r:embed="rId19"/>
                          <a:srcRect/>
                          <a:stretch>
                            <a:fillRect/>
                          </a:stretch>
                        </pic:blipFill>
                        <pic:spPr>
                          <a:xfrm>
                            <a:off x="0" y="0"/>
                            <a:ext cx="1612900" cy="2035810"/>
                          </a:xfrm>
                          <a:prstGeom prst="rect">
                            <a:avLst/>
                          </a:prstGeom>
                          <a:noFill/>
                          <a:ln>
                            <a:noFill/>
                          </a:ln>
                        </pic:spPr>
                      </pic:pic>
                    </a:graphicData>
                  </a:graphic>
                </wp:inline>
              </w:drawing>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w:t>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drawing>
                <wp:inline distT="0" distB="0" distL="0" distR="0">
                  <wp:extent cx="1518285" cy="2009775"/>
                  <wp:effectExtent l="0" t="0" r="5715" b="9525"/>
                  <wp:docPr id="20" name="图片 20" descr="C:\Users\EDM\Documents\Tencent Files\30784551\FileRecv\MobileFile\Image\W@QFT8VO0$X(K6O0`ZJ1RB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EDM\Documents\Tencent Files\30784551\FileRecv\MobileFile\Image\W@QFT8VO0$X(K6O0`ZJ1RBP.png"/>
                          <pic:cNvPicPr>
                            <a:picLocks noChangeAspect="1" noChangeArrowheads="1"/>
                          </pic:cNvPicPr>
                        </pic:nvPicPr>
                        <pic:blipFill>
                          <a:blip r:embed="rId20"/>
                          <a:srcRect/>
                          <a:stretch>
                            <a:fillRect/>
                          </a:stretch>
                        </pic:blipFill>
                        <pic:spPr>
                          <a:xfrm>
                            <a:off x="0" y="0"/>
                            <a:ext cx="1518285" cy="2009775"/>
                          </a:xfrm>
                          <a:prstGeom prst="rect">
                            <a:avLst/>
                          </a:prstGeom>
                          <a:noFill/>
                          <a:ln>
                            <a:noFill/>
                          </a:ln>
                        </pic:spPr>
                      </pic:pic>
                    </a:graphicData>
                  </a:graphic>
                </wp:inline>
              </w:drawing>
            </w: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drawing>
                <wp:inline distT="0" distB="0" distL="0" distR="0">
                  <wp:extent cx="1390650" cy="1771015"/>
                  <wp:effectExtent l="133350" t="95250" r="133350" b="172085"/>
                  <wp:docPr id="21" name="图片 21" descr="http://img20.photophoto.cn/20110922/0007019843070630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http://img20.photophoto.cn/20110922/0007019843070630_s.jpg"/>
                          <pic:cNvPicPr>
                            <a:picLocks noChangeAspect="1" noChangeArrowheads="1"/>
                          </pic:cNvPicPr>
                        </pic:nvPicPr>
                        <pic:blipFill>
                          <a:blip r:embed="rId21"/>
                          <a:srcRect/>
                          <a:stretch>
                            <a:fillRect/>
                          </a:stretch>
                        </pic:blipFill>
                        <pic:spPr>
                          <a:xfrm>
                            <a:off x="0" y="0"/>
                            <a:ext cx="1394214" cy="1775959"/>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2554" w:type="dxa"/>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701" w:type="dxa"/>
            <w:vMerge w:val="restart"/>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875" w:type="dxa"/>
            <w:vMerge w:val="restart"/>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0" w:hRule="atLeast"/>
        </w:trPr>
        <w:tc>
          <w:tcPr>
            <w:tcW w:w="1683" w:type="dxa"/>
            <w:vMerge w:val="continue"/>
            <w:vAlign w:val="center"/>
          </w:tcPr>
          <w:p>
            <w:pPr>
              <w:adjustRightInd w:val="0"/>
              <w:snapToGrid w:val="0"/>
              <w:jc w:val="center"/>
              <w:rPr>
                <w:rFonts w:ascii="宋体" w:hAnsi="宋体" w:eastAsia="宋体" w:cs="宋体"/>
                <w:b/>
                <w:color w:val="262626" w:themeColor="text1" w:themeTint="D9"/>
                <w:sz w:val="24"/>
                <w:szCs w:val="24"/>
                <w14:textFill>
                  <w14:solidFill>
                    <w14:schemeClr w14:val="tx1">
                      <w14:lumMod w14:val="85000"/>
                      <w14:lumOff w14:val="15000"/>
                    </w14:schemeClr>
                  </w14:solidFill>
                </w14:textFill>
              </w:rPr>
            </w:pPr>
          </w:p>
        </w:tc>
        <w:tc>
          <w:tcPr>
            <w:tcW w:w="5227" w:type="dxa"/>
            <w:vMerge w:val="continue"/>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2554" w:type="dxa"/>
            <w:shd w:val="clear" w:color="auto" w:fill="EAF1DD" w:themeFill="accent3" w:themeFillTint="33"/>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701" w:type="dxa"/>
            <w:vMerge w:val="continue"/>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875" w:type="dxa"/>
            <w:vMerge w:val="continue"/>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8" w:hRule="atLeast"/>
        </w:trPr>
        <w:tc>
          <w:tcPr>
            <w:tcW w:w="1683" w:type="dxa"/>
            <w:vAlign w:val="center"/>
          </w:tcPr>
          <w:p>
            <w:pPr>
              <w:adjustRightInd w:val="0"/>
              <w:snapToGrid w:val="0"/>
              <w:jc w:val="center"/>
              <w:rPr>
                <w:rFonts w:ascii="宋体" w:hAnsi="宋体" w:eastAsia="宋体" w:cs="宋体"/>
                <w:b/>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
                <w:color w:val="262626" w:themeColor="text1" w:themeTint="D9"/>
                <w:sz w:val="24"/>
                <w:szCs w:val="24"/>
                <w14:textFill>
                  <w14:solidFill>
                    <w14:schemeClr w14:val="tx1">
                      <w14:lumMod w14:val="85000"/>
                      <w14:lumOff w14:val="15000"/>
                    </w14:schemeClr>
                  </w14:solidFill>
                </w14:textFill>
              </w:rPr>
              <w:t>操作井</w:t>
            </w:r>
          </w:p>
        </w:tc>
        <w:tc>
          <w:tcPr>
            <w:tcW w:w="5227" w:type="dxa"/>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drawing>
                <wp:inline distT="0" distB="0" distL="0" distR="0">
                  <wp:extent cx="2990850" cy="2661285"/>
                  <wp:effectExtent l="0" t="0" r="0" b="571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2"/>
                          <a:stretch>
                            <a:fillRect/>
                          </a:stretch>
                        </pic:blipFill>
                        <pic:spPr>
                          <a:xfrm>
                            <a:off x="0" y="0"/>
                            <a:ext cx="2990477" cy="2661188"/>
                          </a:xfrm>
                          <a:prstGeom prst="rect">
                            <a:avLst/>
                          </a:prstGeom>
                        </pic:spPr>
                      </pic:pic>
                    </a:graphicData>
                  </a:graphic>
                </wp:inline>
              </w:drawing>
            </w:r>
          </w:p>
        </w:tc>
        <w:tc>
          <w:tcPr>
            <w:tcW w:w="2554" w:type="dxa"/>
            <w:shd w:val="clear" w:color="auto" w:fill="EAF1DD" w:themeFill="accent3" w:themeFillTint="33"/>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701" w:type="dxa"/>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875" w:type="dxa"/>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3" w:type="dxa"/>
            <w:vAlign w:val="center"/>
          </w:tcPr>
          <w:p>
            <w:pPr>
              <w:adjustRightInd w:val="0"/>
              <w:snapToGrid w:val="0"/>
              <w:jc w:val="center"/>
              <w:rPr>
                <w:rFonts w:ascii="宋体" w:hAnsi="宋体" w:eastAsia="宋体" w:cs="宋体"/>
                <w:b/>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
                <w:color w:val="262626" w:themeColor="text1" w:themeTint="D9"/>
                <w:sz w:val="24"/>
                <w:szCs w:val="24"/>
                <w14:textFill>
                  <w14:solidFill>
                    <w14:schemeClr w14:val="tx1">
                      <w14:lumMod w14:val="85000"/>
                      <w14:lumOff w14:val="15000"/>
                    </w14:schemeClr>
                  </w14:solidFill>
                </w14:textFill>
              </w:rPr>
              <w:t>有限空间安全操作注意事项</w:t>
            </w:r>
          </w:p>
        </w:tc>
        <w:tc>
          <w:tcPr>
            <w:tcW w:w="5227" w:type="dxa"/>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drawing>
                <wp:inline distT="0" distB="0" distL="0" distR="0">
                  <wp:extent cx="3091180" cy="1951355"/>
                  <wp:effectExtent l="0" t="0" r="0" b="0"/>
                  <wp:docPr id="23" name="图片 23" descr="C:\Users\EDM\Documents\Tencent Files\30784551\FileRecv\MobileFile\Image\O7H~6QNQING_%3KU~[~%5Z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C:\Users\EDM\Documents\Tencent Files\30784551\FileRecv\MobileFile\Image\O7H~6QNQING_%3KU~[~%5ZN.png"/>
                          <pic:cNvPicPr>
                            <a:picLocks noChangeAspect="1" noChangeArrowheads="1"/>
                          </pic:cNvPicPr>
                        </pic:nvPicPr>
                        <pic:blipFill>
                          <a:blip r:embed="rId23" cstate="screen"/>
                          <a:srcRect/>
                          <a:stretch>
                            <a:fillRect/>
                          </a:stretch>
                        </pic:blipFill>
                        <pic:spPr>
                          <a:xfrm>
                            <a:off x="0" y="0"/>
                            <a:ext cx="3090009" cy="1950689"/>
                          </a:xfrm>
                          <a:prstGeom prst="rect">
                            <a:avLst/>
                          </a:prstGeom>
                          <a:noFill/>
                          <a:ln>
                            <a:noFill/>
                          </a:ln>
                        </pic:spPr>
                      </pic:pic>
                    </a:graphicData>
                  </a:graphic>
                </wp:inline>
              </w:drawing>
            </w:r>
          </w:p>
        </w:tc>
        <w:tc>
          <w:tcPr>
            <w:tcW w:w="2554" w:type="dxa"/>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701" w:type="dxa"/>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875" w:type="dxa"/>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3" w:type="dxa"/>
            <w:vAlign w:val="center"/>
          </w:tcPr>
          <w:p>
            <w:pPr>
              <w:adjustRightInd w:val="0"/>
              <w:snapToGrid w:val="0"/>
              <w:jc w:val="center"/>
              <w:rPr>
                <w:rFonts w:ascii="宋体" w:hAnsi="宋体" w:eastAsia="宋体" w:cs="宋体"/>
                <w:b/>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
                <w:color w:val="262626" w:themeColor="text1" w:themeTint="D9"/>
                <w:sz w:val="24"/>
                <w:szCs w:val="24"/>
                <w14:textFill>
                  <w14:solidFill>
                    <w14:schemeClr w14:val="tx1">
                      <w14:lumMod w14:val="85000"/>
                      <w14:lumOff w14:val="15000"/>
                    </w14:schemeClr>
                  </w14:solidFill>
                </w14:textFill>
              </w:rPr>
              <w:t>有限空间安全作业需知</w:t>
            </w:r>
          </w:p>
        </w:tc>
        <w:tc>
          <w:tcPr>
            <w:tcW w:w="5227" w:type="dxa"/>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drawing>
                <wp:inline distT="0" distB="0" distL="0" distR="0">
                  <wp:extent cx="3049905" cy="2295525"/>
                  <wp:effectExtent l="133350" t="114300" r="150495" b="16192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4" cstate="screen"/>
                          <a:stretch>
                            <a:fillRect/>
                          </a:stretch>
                        </pic:blipFill>
                        <pic:spPr>
                          <a:xfrm>
                            <a:off x="0" y="0"/>
                            <a:ext cx="3053632" cy="2297999"/>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2554" w:type="dxa"/>
            <w:shd w:val="clear" w:color="auto" w:fill="EAF1DD" w:themeFill="accent3" w:themeFillTint="33"/>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701" w:type="dxa"/>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875" w:type="dxa"/>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3" w:type="dxa"/>
            <w:vAlign w:val="center"/>
          </w:tcPr>
          <w:p>
            <w:pPr>
              <w:adjustRightInd w:val="0"/>
              <w:snapToGrid w:val="0"/>
              <w:jc w:val="center"/>
              <w:rPr>
                <w:rFonts w:ascii="宋体" w:hAnsi="宋体" w:eastAsia="宋体" w:cs="宋体"/>
                <w:b/>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
                <w:color w:val="262626" w:themeColor="text1" w:themeTint="D9"/>
                <w:sz w:val="24"/>
                <w:szCs w:val="24"/>
                <w14:textFill>
                  <w14:solidFill>
                    <w14:schemeClr w14:val="tx1">
                      <w14:lumMod w14:val="85000"/>
                      <w14:lumOff w14:val="15000"/>
                    </w14:schemeClr>
                  </w14:solidFill>
                </w14:textFill>
              </w:rPr>
              <w:t>有限空间分布图</w:t>
            </w:r>
          </w:p>
        </w:tc>
        <w:tc>
          <w:tcPr>
            <w:tcW w:w="5227" w:type="dxa"/>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厂区平面布置图，图中标识出有限空间分布情况</w:t>
            </w:r>
          </w:p>
        </w:tc>
        <w:tc>
          <w:tcPr>
            <w:tcW w:w="2554" w:type="dxa"/>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701" w:type="dxa"/>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875" w:type="dxa"/>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83" w:type="dxa"/>
            <w:vAlign w:val="center"/>
          </w:tcPr>
          <w:p>
            <w:pPr>
              <w:adjustRightInd w:val="0"/>
              <w:snapToGrid w:val="0"/>
              <w:jc w:val="center"/>
              <w:rPr>
                <w:rFonts w:ascii="宋体" w:hAnsi="宋体" w:eastAsia="宋体" w:cs="宋体"/>
                <w:b/>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b/>
                <w:color w:val="262626" w:themeColor="text1" w:themeTint="D9"/>
                <w:sz w:val="24"/>
                <w:szCs w:val="24"/>
                <w14:textFill>
                  <w14:solidFill>
                    <w14:schemeClr w14:val="tx1">
                      <w14:lumMod w14:val="85000"/>
                      <w14:lumOff w14:val="15000"/>
                    </w14:schemeClr>
                  </w14:solidFill>
                </w14:textFill>
              </w:rPr>
              <w:t>作业牌</w:t>
            </w:r>
          </w:p>
        </w:tc>
        <w:tc>
          <w:tcPr>
            <w:tcW w:w="5227" w:type="dxa"/>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drawing>
                <wp:inline distT="0" distB="0" distL="0" distR="0">
                  <wp:extent cx="2990850" cy="2286000"/>
                  <wp:effectExtent l="0" t="0" r="0" b="0"/>
                  <wp:docPr id="25" name="图片 25" descr="http://p4.so.qhmsg.com/bdr/_240_/t0117990853db4526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http://p4.so.qhmsg.com/bdr/_240_/t0117990853db4526b9.jpg"/>
                          <pic:cNvPicPr>
                            <a:picLocks noChangeAspect="1" noChangeArrowheads="1"/>
                          </pic:cNvPicPr>
                        </pic:nvPicPr>
                        <pic:blipFill>
                          <a:blip r:embed="rId25"/>
                          <a:srcRect/>
                          <a:stretch>
                            <a:fillRect/>
                          </a:stretch>
                        </pic:blipFill>
                        <pic:spPr>
                          <a:xfrm>
                            <a:off x="0" y="0"/>
                            <a:ext cx="2990850" cy="2286000"/>
                          </a:xfrm>
                          <a:prstGeom prst="rect">
                            <a:avLst/>
                          </a:prstGeom>
                          <a:noFill/>
                          <a:ln>
                            <a:noFill/>
                          </a:ln>
                        </pic:spPr>
                      </pic:pic>
                    </a:graphicData>
                  </a:graphic>
                </wp:inline>
              </w:drawing>
            </w:r>
          </w:p>
        </w:tc>
        <w:tc>
          <w:tcPr>
            <w:tcW w:w="2554" w:type="dxa"/>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701" w:type="dxa"/>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875" w:type="dxa"/>
            <w:vAlign w:val="center"/>
          </w:tcPr>
          <w:p>
            <w:pPr>
              <w:adjustRightInd w:val="0"/>
              <w:snapToGrid w:val="0"/>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bl>
    <w:p>
      <w:pPr>
        <w:spacing w:line="360" w:lineRule="auto"/>
        <w:ind w:firstLine="879"/>
        <w:jc w:val="center"/>
        <w:outlineLvl w:val="0"/>
        <w:rPr>
          <w:rFonts w:ascii="宋体" w:hAnsi="宋体" w:eastAsia="宋体" w:cs="宋体"/>
          <w:color w:val="262626" w:themeColor="text1" w:themeTint="D9"/>
          <w:sz w:val="24"/>
          <w:szCs w:val="24"/>
          <w14:textFill>
            <w14:solidFill>
              <w14:schemeClr w14:val="tx1">
                <w14:lumMod w14:val="85000"/>
                <w14:lumOff w14:val="15000"/>
              </w14:schemeClr>
            </w14:solidFill>
          </w14:textFill>
        </w:rPr>
        <w:sectPr>
          <w:pgSz w:w="16838" w:h="11906" w:orient="landscape"/>
          <w:pgMar w:top="1800" w:right="1440" w:bottom="1800" w:left="1440" w:header="851" w:footer="992" w:gutter="0"/>
          <w:pgNumType w:fmt="numberInDash"/>
          <w:cols w:space="425" w:num="1"/>
          <w:docGrid w:type="lines" w:linePitch="312" w:charSpace="0"/>
        </w:sectPr>
      </w:pPr>
    </w:p>
    <w:p>
      <w:pPr>
        <w:spacing w:line="360" w:lineRule="auto"/>
        <w:jc w:val="left"/>
        <w:outlineLvl w:val="0"/>
        <w:rPr>
          <w:rFonts w:ascii="宋体" w:hAnsi="宋体" w:eastAsia="宋体" w:cs="宋体"/>
          <w:b/>
          <w:color w:val="262626" w:themeColor="text1" w:themeTint="D9"/>
          <w:sz w:val="28"/>
          <w:szCs w:val="24"/>
          <w14:textFill>
            <w14:solidFill>
              <w14:schemeClr w14:val="tx1">
                <w14:lumMod w14:val="85000"/>
                <w14:lumOff w14:val="15000"/>
              </w14:schemeClr>
            </w14:solidFill>
          </w14:textFill>
        </w:rPr>
      </w:pPr>
      <w:bookmarkStart w:id="44" w:name="_Toc24531_WPSOffice_Level1"/>
      <w:r>
        <w:rPr>
          <w:rFonts w:hint="eastAsia" w:ascii="宋体" w:hAnsi="宋体" w:eastAsia="宋体" w:cs="宋体"/>
          <w:b/>
          <w:color w:val="262626" w:themeColor="text1" w:themeTint="D9"/>
          <w:sz w:val="28"/>
          <w:szCs w:val="24"/>
          <w14:textFill>
            <w14:solidFill>
              <w14:schemeClr w14:val="tx1">
                <w14:lumMod w14:val="85000"/>
                <w14:lumOff w14:val="15000"/>
              </w14:schemeClr>
            </w14:solidFill>
          </w14:textFill>
        </w:rPr>
        <w:t>6、有限空间应急救援演练记录</w:t>
      </w:r>
      <w:bookmarkEnd w:id="44"/>
    </w:p>
    <w:p>
      <w:pPr>
        <w:widowControl/>
        <w:jc w:val="lef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1、演练方案</w:t>
      </w:r>
    </w:p>
    <w:p>
      <w:pPr>
        <w:spacing w:line="440" w:lineRule="exact"/>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XX企业有限空间作业</w:t>
      </w:r>
    </w:p>
    <w:p>
      <w:pPr>
        <w:spacing w:line="440" w:lineRule="exact"/>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应急演练方案（举例为参考，请企业自行拟定方案）</w:t>
      </w:r>
    </w:p>
    <w:p>
      <w:pPr>
        <w:pStyle w:val="40"/>
        <w:numPr>
          <w:ilvl w:val="0"/>
          <w:numId w:val="15"/>
        </w:numPr>
        <w:spacing w:line="440" w:lineRule="exact"/>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 xml:space="preserve">演练目的  </w:t>
      </w:r>
    </w:p>
    <w:p>
      <w:p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为加强本公司有限空间作业安全管理、预防和控制中毒窒息等生产安全事故发生，切实保护作业人员的生命安全，根据《中华人民共和国安全生产法》和国家相关法律法规和有关标准，结合本公司锅炉维修清理等实际情况，特筹备此次演练。  </w:t>
      </w:r>
    </w:p>
    <w:p>
      <w:pPr>
        <w:numPr>
          <w:ilvl w:val="0"/>
          <w:numId w:val="16"/>
        </w:num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演练时间： </w:t>
      </w:r>
    </w:p>
    <w:p>
      <w:pPr>
        <w:numPr>
          <w:ilvl w:val="0"/>
          <w:numId w:val="16"/>
        </w:num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演练地点：污水处理站  </w:t>
      </w:r>
    </w:p>
    <w:p>
      <w:pPr>
        <w:numPr>
          <w:ilvl w:val="0"/>
          <w:numId w:val="16"/>
        </w:num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参演人员及职责 </w:t>
      </w:r>
    </w:p>
    <w:p>
      <w:p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 参加人员： </w:t>
      </w:r>
    </w:p>
    <w:p>
      <w:p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职责：作业人员： </w:t>
      </w:r>
    </w:p>
    <w:p>
      <w:p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      监护人员： </w:t>
      </w:r>
    </w:p>
    <w:p>
      <w:p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      负责人员： </w:t>
      </w:r>
    </w:p>
    <w:p>
      <w:p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      现场指导： </w:t>
      </w:r>
    </w:p>
    <w:p>
      <w:p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          现场监督： </w:t>
      </w:r>
    </w:p>
    <w:p>
      <w:p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      后勤保障：    </w:t>
      </w:r>
    </w:p>
    <w:p>
      <w:p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      应急车司机： </w:t>
      </w:r>
    </w:p>
    <w:p>
      <w:pPr>
        <w:numPr>
          <w:ilvl w:val="0"/>
          <w:numId w:val="16"/>
        </w:num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演练内容       </w:t>
      </w:r>
    </w:p>
    <w:p>
      <w:p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    对污水处理站水池进行清理，在履行有限空间作业的一些列手续后作业，在作业过程中突发休克，面对这种突发状况而采取的一突发预案相应措施。  </w:t>
      </w:r>
    </w:p>
    <w:p>
      <w:pPr>
        <w:numPr>
          <w:ilvl w:val="0"/>
          <w:numId w:val="16"/>
        </w:num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演练步骤  </w:t>
      </w:r>
    </w:p>
    <w:p>
      <w:p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1）检测：应严格执行“先检测、后作业”的原则。检测方法用蜡烛法：在有限空间内点燃一支蜡烛，观察一段时间，看其火焰是否熄灭，熄灭则表示空气质量不佳，需继续通风换气。然后再次检测。反之则证明空气质量良好。在作业环境条件可能发生变化时，应对作业场所中危害因素进行持续或定时检测。实施检测时，检测人员应处于安全环境，检测时要做好检测记录，包括检测时间、地点、</w:t>
      </w:r>
    </w:p>
    <w:p>
      <w:p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2）危害评估：实施有限空间作业前，应根据检测结果对作业环境危害状况进行评估，制定消除、控制危害的措施，确保整个作业期间处于安全受控状态。危害评估应依据《缺氧危险作业安全规程》（GB8958-2006）、《工作场所有害因素职业接触限值》（GBZ2-2002）等标准进行。</w:t>
      </w:r>
    </w:p>
    <w:p>
      <w:pPr>
        <w:pStyle w:val="40"/>
        <w:numPr>
          <w:ilvl w:val="0"/>
          <w:numId w:val="16"/>
        </w:numPr>
        <w:spacing w:line="440" w:lineRule="exact"/>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 xml:space="preserve">通风   在这次演练作业过程中，可采取强制性持续通风措施降低危险，保持空气流通。严禁用纯氧进行通风换气。 </w:t>
      </w:r>
    </w:p>
    <w:p>
      <w:pPr>
        <w:pStyle w:val="40"/>
        <w:numPr>
          <w:ilvl w:val="0"/>
          <w:numId w:val="16"/>
        </w:numPr>
        <w:spacing w:line="440" w:lineRule="exact"/>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 xml:space="preserve"> 防护设备以及应急救援设备   本次演练应该给作业人员配备符合国家标准的照明设备、通讯设备、应急救援设备和个人防护用品。防护装备以及应急救援设备设施应妥善保管，并按规定定期进行检验、维护，以保证设施的正常运行。</w:t>
      </w:r>
    </w:p>
    <w:p>
      <w:pPr>
        <w:pStyle w:val="40"/>
        <w:numPr>
          <w:ilvl w:val="0"/>
          <w:numId w:val="16"/>
        </w:numPr>
        <w:spacing w:line="440" w:lineRule="exact"/>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 xml:space="preserve">演练前培训内容  </w:t>
      </w:r>
    </w:p>
    <w:p>
      <w:pPr>
        <w:numPr>
          <w:ilvl w:val="0"/>
          <w:numId w:val="17"/>
        </w:num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严格执行作业审批制度，经作业负责人批准后方可作业；  </w:t>
      </w:r>
    </w:p>
    <w:p>
      <w:pPr>
        <w:numPr>
          <w:ilvl w:val="0"/>
          <w:numId w:val="17"/>
        </w:num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坚持先检测后作业的原则，在作业开始前，对危险有害因素浓度进行检测；  </w:t>
      </w:r>
    </w:p>
    <w:p>
      <w:pPr>
        <w:numPr>
          <w:ilvl w:val="0"/>
          <w:numId w:val="17"/>
        </w:num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必须采取充分的通风换气措施，确保整个作业期间处于安全受控状态；  </w:t>
      </w:r>
    </w:p>
    <w:p>
      <w:pPr>
        <w:numPr>
          <w:ilvl w:val="0"/>
          <w:numId w:val="17"/>
        </w:num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作业人员必须配备并使用安全带（绳）、等防护用品；  </w:t>
      </w:r>
    </w:p>
    <w:p>
      <w:pPr>
        <w:numPr>
          <w:ilvl w:val="0"/>
          <w:numId w:val="17"/>
        </w:num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必须安排监护人员。监护人员应密切监视作业状况，不得离岗；  </w:t>
      </w:r>
    </w:p>
    <w:p>
      <w:pPr>
        <w:numPr>
          <w:ilvl w:val="0"/>
          <w:numId w:val="17"/>
        </w:num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发现异常情况，应及时报警，严禁盲目施救；</w:t>
      </w:r>
    </w:p>
    <w:p>
      <w:pPr>
        <w:pStyle w:val="40"/>
        <w:numPr>
          <w:ilvl w:val="0"/>
          <w:numId w:val="18"/>
        </w:numPr>
        <w:spacing w:line="440" w:lineRule="exact"/>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 xml:space="preserve">开始作业   </w:t>
      </w:r>
    </w:p>
    <w:p>
      <w:pPr>
        <w:numPr>
          <w:ilvl w:val="0"/>
          <w:numId w:val="19"/>
        </w:num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按照“先检测、后作业”的原则，凡要进入有限空间危险作业场所作业，必须根据实际情况事先测定其氧气、符合安全要求后，方可进入。在未准确测定氧气浓度，严禁进入该作业场所；    </w:t>
      </w:r>
    </w:p>
    <w:p>
      <w:pPr>
        <w:numPr>
          <w:ilvl w:val="0"/>
          <w:numId w:val="19"/>
        </w:num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作业前30分钟，应再次对有限空间有害物质检测，分析合格后方可进入有限空间；   </w:t>
      </w:r>
    </w:p>
    <w:p>
      <w:pPr>
        <w:numPr>
          <w:ilvl w:val="0"/>
          <w:numId w:val="19"/>
        </w:num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分析合格后编制施工方案，再办理《有限空间危险作业审批表》，施工作业中涉及到其他危险作业时应办理相关审批手续 ；</w:t>
      </w:r>
    </w:p>
    <w:p>
      <w:pPr>
        <w:numPr>
          <w:ilvl w:val="0"/>
          <w:numId w:val="19"/>
        </w:num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在有限空间危险作业进行过程中，应加强通风换气，在氧气浓度、有害气体、可燃性气体、粉尘的浓度可能发生变化的危险作业中应保持必要的测定次数或连续检测；  </w:t>
      </w:r>
    </w:p>
    <w:p>
      <w:pPr>
        <w:numPr>
          <w:ilvl w:val="0"/>
          <w:numId w:val="19"/>
        </w:num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作业时所用的一切电气设备，必须符合有关用电安全技术操作规程。照明应使用安全矿灯或36伏以下的安全灯，使用超过安全电压的手持电动工具，必须按规定配备漏电保护器；  </w:t>
      </w:r>
    </w:p>
    <w:p>
      <w:pPr>
        <w:numPr>
          <w:ilvl w:val="0"/>
          <w:numId w:val="19"/>
        </w:num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作业人员进入有限空间危险作业场所作业前和离开时应准确清点人数。    </w:t>
      </w:r>
    </w:p>
    <w:p>
      <w:pPr>
        <w:numPr>
          <w:ilvl w:val="0"/>
          <w:numId w:val="19"/>
        </w:num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严禁无关人员进入有限空间危险作业场所，并应在醒目处设置警示标志； 以及其它必要的器具和设备，以便在非常情况下抢救作业人员。 </w:t>
      </w:r>
    </w:p>
    <w:p>
      <w:pPr>
        <w:pStyle w:val="40"/>
        <w:numPr>
          <w:ilvl w:val="0"/>
          <w:numId w:val="18"/>
        </w:numPr>
        <w:spacing w:line="440" w:lineRule="exact"/>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 xml:space="preserve">作业人员突发休克  </w:t>
      </w:r>
    </w:p>
    <w:p>
      <w:pPr>
        <w:numPr>
          <w:ilvl w:val="0"/>
          <w:numId w:val="20"/>
        </w:numPr>
        <w:spacing w:line="440" w:lineRule="exac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立即启动本公司《有限空间作业应急救援预案》。并按预案实施每一步骤（具体详细步骤见《有限空间作业应急救援预案》）。  </w:t>
      </w:r>
    </w:p>
    <w:p>
      <w:pPr>
        <w:numPr>
          <w:ilvl w:val="0"/>
          <w:numId w:val="21"/>
        </w:numPr>
        <w:spacing w:line="360" w:lineRule="auto"/>
        <w:rPr>
          <w:rFonts w:ascii="宋体" w:hAnsi="宋体" w:eastAsia="宋体" w:cs="宋体"/>
          <w:b/>
          <w:color w:val="262626" w:themeColor="text1" w:themeTint="D9"/>
          <w:sz w:val="28"/>
          <w:szCs w:val="24"/>
          <w14:textFill>
            <w14:solidFill>
              <w14:schemeClr w14:val="tx1">
                <w14:lumMod w14:val="85000"/>
                <w14:lumOff w14:val="15000"/>
              </w14:schemeClr>
            </w14:solidFill>
          </w14:textFill>
        </w:rPr>
      </w:pPr>
      <w:r>
        <w:rPr>
          <w:rFonts w:hint="eastAsia" w:ascii="宋体" w:hAnsi="宋体" w:eastAsia="宋体" w:cs="宋体"/>
          <w:b/>
          <w:color w:val="262626" w:themeColor="text1" w:themeTint="D9"/>
          <w:sz w:val="28"/>
          <w:szCs w:val="24"/>
          <w14:textFill>
            <w14:solidFill>
              <w14:schemeClr w14:val="tx1">
                <w14:lumMod w14:val="85000"/>
                <w14:lumOff w14:val="15000"/>
              </w14:schemeClr>
            </w14:solidFill>
          </w14:textFill>
        </w:rPr>
        <w:t>疏散演练步骤</w:t>
      </w:r>
    </w:p>
    <w:p>
      <w:pPr>
        <w:pStyle w:val="40"/>
        <w:numPr>
          <w:ilvl w:val="0"/>
          <w:numId w:val="18"/>
        </w:numPr>
        <w:spacing w:line="360" w:lineRule="auto"/>
        <w:ind w:firstLineChars="0"/>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先组织演习人员培训《有限空间应急演练》及相关内容</w:t>
      </w:r>
    </w:p>
    <w:p>
      <w:pPr>
        <w:spacing w:line="360" w:lineRule="auto"/>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（1）所有组员做好准备。</w:t>
      </w:r>
    </w:p>
    <w:p>
      <w:pPr>
        <w:spacing w:line="360" w:lineRule="auto"/>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（2）请示领导是否开始演习。</w:t>
      </w:r>
    </w:p>
    <w:p>
      <w:pPr>
        <w:spacing w:line="460" w:lineRule="exact"/>
        <w:jc w:val="lef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3）演练开始，按照“先检测、后作业”的原则，先进行检测、通风然后进行作业，刚下反应池时，肖立志突然晕倒，化卫东发现肖立志晕倒后立即通知监护人员赵志伟，赵志伟知悉后立即向行政安全管理部经理吕云静报告；同时电话通知120。</w:t>
      </w:r>
    </w:p>
    <w:p>
      <w:pPr>
        <w:spacing w:line="460" w:lineRule="exact"/>
        <w:jc w:val="left"/>
        <w:rPr>
          <w:rFonts w:ascii="宋体" w:hAnsi="宋体" w:eastAsia="宋体" w:cs="宋体"/>
          <w:b/>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注意：</w:t>
      </w:r>
      <w:r>
        <w:rPr>
          <w:rFonts w:hint="eastAsia" w:ascii="宋体" w:hAnsi="宋体" w:eastAsia="宋体" w:cs="宋体"/>
          <w:b/>
          <w:color w:val="262626" w:themeColor="text1" w:themeTint="D9"/>
          <w:sz w:val="24"/>
          <w:szCs w:val="24"/>
          <w14:textFill>
            <w14:solidFill>
              <w14:schemeClr w14:val="tx1">
                <w14:lumMod w14:val="85000"/>
                <w14:lumOff w14:val="15000"/>
              </w14:schemeClr>
            </w14:solidFill>
          </w14:textFill>
        </w:rPr>
        <w:t>消防和急救人员不能及时到达事故现场而组织救援时；尽可能采用非进入救援；救援人员未经批准，不得进入有限空间进行救援；以下情况采取最高级别防护措施后方可进入救援：有限空间内有害环境性质未知；缺氧或无法确定是否缺氧；空气污染浓度未知、达到或超过IDLH浓度。</w:t>
      </w:r>
    </w:p>
    <w:p>
      <w:pPr>
        <w:spacing w:line="360" w:lineRule="auto"/>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（4）急救人员迅速抵达现场人工呼吸进行急救；把伤员抬到救护车辆旁边，经医院医生判断后做出处理，将伤员及时送往医院。</w:t>
      </w:r>
    </w:p>
    <w:p>
      <w:pPr>
        <w:spacing w:line="360" w:lineRule="auto"/>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（5）报告领导本次演习成功</w:t>
      </w:r>
    </w:p>
    <w:p>
      <w:pPr>
        <w:spacing w:line="360" w:lineRule="auto"/>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（6）打扫演习现场。</w:t>
      </w:r>
    </w:p>
    <w:p>
      <w:pPr>
        <w:widowControl/>
        <w:jc w:val="lef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br w:type="page"/>
      </w:r>
    </w:p>
    <w:p>
      <w:pPr>
        <w:pStyle w:val="40"/>
        <w:widowControl/>
        <w:numPr>
          <w:ilvl w:val="0"/>
          <w:numId w:val="18"/>
        </w:numPr>
        <w:ind w:firstLineChars="0"/>
        <w:jc w:val="left"/>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演练记录</w:t>
      </w:r>
    </w:p>
    <w:p>
      <w:pPr>
        <w:spacing w:line="360" w:lineRule="auto"/>
        <w:jc w:val="center"/>
        <w:outlineLvl w:val="0"/>
        <w:rPr>
          <w:rFonts w:ascii="宋体" w:hAnsi="宋体" w:eastAsia="宋体" w:cs="宋体"/>
          <w:b/>
          <w:color w:val="262626" w:themeColor="text1" w:themeTint="D9"/>
          <w:sz w:val="28"/>
          <w:szCs w:val="24"/>
          <w14:textFill>
            <w14:solidFill>
              <w14:schemeClr w14:val="tx1">
                <w14:lumMod w14:val="85000"/>
                <w14:lumOff w14:val="15000"/>
              </w14:schemeClr>
            </w14:solidFill>
          </w14:textFill>
        </w:rPr>
      </w:pPr>
      <w:bookmarkStart w:id="45" w:name="_Toc454800791"/>
      <w:r>
        <w:rPr>
          <w:rFonts w:hint="eastAsia" w:ascii="宋体" w:hAnsi="宋体" w:eastAsia="宋体" w:cs="宋体"/>
          <w:b/>
          <w:color w:val="262626" w:themeColor="text1" w:themeTint="D9"/>
          <w:sz w:val="28"/>
          <w:szCs w:val="24"/>
          <w14:textFill>
            <w14:solidFill>
              <w14:schemeClr w14:val="tx1">
                <w14:lumMod w14:val="85000"/>
                <w14:lumOff w14:val="15000"/>
              </w14:schemeClr>
            </w14:solidFill>
          </w14:textFill>
        </w:rPr>
        <w:t>应急预案演练记录</w:t>
      </w:r>
      <w:bookmarkEnd w:id="45"/>
    </w:p>
    <w:tbl>
      <w:tblPr>
        <w:tblStyle w:val="17"/>
        <w:tblW w:w="95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2"/>
        <w:gridCol w:w="3687"/>
        <w:gridCol w:w="1417"/>
        <w:gridCol w:w="2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3" w:hRule="atLeast"/>
          <w:jc w:val="center"/>
        </w:trPr>
        <w:tc>
          <w:tcPr>
            <w:tcW w:w="2082" w:type="dxa"/>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演练对象</w:t>
            </w:r>
          </w:p>
        </w:tc>
        <w:tc>
          <w:tcPr>
            <w:tcW w:w="3687" w:type="dxa"/>
            <w:tcBorders>
              <w:right w:val="single" w:color="000000" w:sz="6" w:space="0"/>
            </w:tcBorders>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c>
          <w:tcPr>
            <w:tcW w:w="1417" w:type="dxa"/>
            <w:tcBorders>
              <w:left w:val="single" w:color="000000" w:sz="6" w:space="0"/>
            </w:tcBorders>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演练方式</w:t>
            </w:r>
          </w:p>
        </w:tc>
        <w:tc>
          <w:tcPr>
            <w:tcW w:w="2386" w:type="dxa"/>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atLeast"/>
          <w:jc w:val="center"/>
        </w:trPr>
        <w:tc>
          <w:tcPr>
            <w:tcW w:w="2082" w:type="dxa"/>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演练地点</w:t>
            </w:r>
          </w:p>
        </w:tc>
        <w:tc>
          <w:tcPr>
            <w:tcW w:w="3687" w:type="dxa"/>
            <w:tcBorders>
              <w:right w:val="single" w:color="000000" w:sz="6" w:space="0"/>
            </w:tcBorders>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 </w:t>
            </w:r>
          </w:p>
        </w:tc>
        <w:tc>
          <w:tcPr>
            <w:tcW w:w="1417" w:type="dxa"/>
            <w:tcBorders>
              <w:left w:val="single" w:color="000000" w:sz="6" w:space="0"/>
            </w:tcBorders>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演练时间</w:t>
            </w:r>
          </w:p>
        </w:tc>
        <w:tc>
          <w:tcPr>
            <w:tcW w:w="2386" w:type="dxa"/>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jc w:val="center"/>
        </w:trPr>
        <w:tc>
          <w:tcPr>
            <w:tcW w:w="2082" w:type="dxa"/>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演练主题</w:t>
            </w:r>
          </w:p>
        </w:tc>
        <w:tc>
          <w:tcPr>
            <w:tcW w:w="3687" w:type="dxa"/>
            <w:tcBorders>
              <w:right w:val="single" w:color="000000" w:sz="6" w:space="0"/>
            </w:tcBorders>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有限空间应急演练</w:t>
            </w:r>
          </w:p>
        </w:tc>
        <w:tc>
          <w:tcPr>
            <w:tcW w:w="1417" w:type="dxa"/>
            <w:tcBorders>
              <w:left w:val="single" w:color="000000" w:sz="6" w:space="0"/>
            </w:tcBorders>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演练负责人</w:t>
            </w:r>
          </w:p>
        </w:tc>
        <w:tc>
          <w:tcPr>
            <w:tcW w:w="2386" w:type="dxa"/>
            <w:tcBorders>
              <w:left w:val="single" w:color="000000" w:sz="6" w:space="0"/>
            </w:tcBorders>
            <w:vAlign w:val="center"/>
          </w:tcPr>
          <w:p>
            <w:pPr>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9572" w:type="dxa"/>
            <w:gridSpan w:val="4"/>
            <w:vAlign w:val="center"/>
          </w:tcPr>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参加培训人员范围（共   人，见《培训人员签到表》）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2" w:hRule="atLeast"/>
          <w:jc w:val="center"/>
        </w:trPr>
        <w:tc>
          <w:tcPr>
            <w:tcW w:w="9572" w:type="dxa"/>
            <w:gridSpan w:val="4"/>
          </w:tcPr>
          <w:p>
            <w:pPr>
              <w:spacing w:before="156" w:beforeLines="50" w:after="156" w:afterLines="50"/>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培训内容摘要：</w:t>
            </w:r>
          </w:p>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见演练方案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4" w:hRule="atLeast"/>
          <w:jc w:val="center"/>
        </w:trPr>
        <w:tc>
          <w:tcPr>
            <w:tcW w:w="9572" w:type="dxa"/>
            <w:gridSpan w:val="4"/>
          </w:tcPr>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演练记录：</w:t>
            </w:r>
          </w:p>
          <w:p>
            <w:pPr>
              <w:ind w:firstLine="3360" w:firstLineChars="1400"/>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p>
            <w:pPr>
              <w:ind w:firstLine="3360" w:firstLineChars="1400"/>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p>
            <w:pPr>
              <w:ind w:firstLine="3360" w:firstLineChars="1400"/>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p>
            <w:pPr>
              <w:ind w:right="480" w:firstLine="4200" w:firstLineChars="1750"/>
              <w:jc w:val="righ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记录人： </w:t>
            </w:r>
          </w:p>
          <w:p>
            <w:pPr>
              <w:ind w:right="480" w:firstLine="4200" w:firstLineChars="1750"/>
              <w:jc w:val="righ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 xml:space="preserve">日期：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jc w:val="center"/>
        </w:trPr>
        <w:tc>
          <w:tcPr>
            <w:tcW w:w="9572" w:type="dxa"/>
            <w:gridSpan w:val="4"/>
          </w:tcPr>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演练效果评价：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7" w:hRule="atLeast"/>
          <w:jc w:val="center"/>
        </w:trPr>
        <w:tc>
          <w:tcPr>
            <w:tcW w:w="9572" w:type="dxa"/>
            <w:gridSpan w:val="4"/>
          </w:tcPr>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7" w:hRule="atLeast"/>
          <w:jc w:val="center"/>
        </w:trPr>
        <w:tc>
          <w:tcPr>
            <w:tcW w:w="9572" w:type="dxa"/>
            <w:gridSpan w:val="4"/>
          </w:tcPr>
          <w:p>
            <w:pP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t>预案评价：</w:t>
            </w:r>
          </w:p>
        </w:tc>
      </w:tr>
    </w:tbl>
    <w:p>
      <w:pPr>
        <w:widowControl/>
        <w:jc w:val="lef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p>
      <w:pPr>
        <w:pStyle w:val="40"/>
        <w:widowControl/>
        <w:numPr>
          <w:ilvl w:val="0"/>
          <w:numId w:val="18"/>
        </w:numPr>
        <w:ind w:firstLineChars="0"/>
        <w:jc w:val="left"/>
        <w:rPr>
          <w:rFonts w:ascii="宋体" w:hAnsi="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cs="宋体"/>
          <w:color w:val="262626" w:themeColor="text1" w:themeTint="D9"/>
          <w:sz w:val="24"/>
          <w:szCs w:val="24"/>
          <w14:textFill>
            <w14:solidFill>
              <w14:schemeClr w14:val="tx1">
                <w14:lumMod w14:val="85000"/>
                <w14:lumOff w14:val="15000"/>
              </w14:schemeClr>
            </w14:solidFill>
          </w14:textFill>
        </w:rPr>
        <w:t>视频、图片资料</w:t>
      </w:r>
    </w:p>
    <w:p>
      <w:pPr>
        <w:widowControl/>
        <w:jc w:val="left"/>
        <w:rPr>
          <w:rFonts w:ascii="宋体" w:hAnsi="宋体" w:eastAsia="宋体" w:cs="宋体"/>
          <w:color w:val="262626" w:themeColor="text1" w:themeTint="D9"/>
          <w:sz w:val="24"/>
          <w:szCs w:val="24"/>
          <w14:textFill>
            <w14:solidFill>
              <w14:schemeClr w14:val="tx1">
                <w14:lumMod w14:val="85000"/>
                <w14:lumOff w14:val="15000"/>
              </w14:schemeClr>
            </w14:solidFill>
          </w14:textFill>
        </w:rPr>
      </w:pPr>
      <w:r>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br w:type="page"/>
      </w:r>
    </w:p>
    <w:p>
      <w:pPr>
        <w:spacing w:line="360" w:lineRule="auto"/>
        <w:jc w:val="left"/>
        <w:outlineLvl w:val="0"/>
        <w:rPr>
          <w:rFonts w:ascii="宋体" w:hAnsi="宋体" w:eastAsia="宋体" w:cs="宋体"/>
          <w:b/>
          <w:color w:val="262626" w:themeColor="text1" w:themeTint="D9"/>
          <w:sz w:val="28"/>
          <w:szCs w:val="24"/>
          <w14:textFill>
            <w14:solidFill>
              <w14:schemeClr w14:val="tx1">
                <w14:lumMod w14:val="85000"/>
                <w14:lumOff w14:val="15000"/>
              </w14:schemeClr>
            </w14:solidFill>
          </w14:textFill>
        </w:rPr>
      </w:pPr>
      <w:bookmarkStart w:id="46" w:name="_Toc3504_WPSOffice_Level1"/>
      <w:r>
        <w:rPr>
          <w:rFonts w:hint="eastAsia" w:ascii="宋体" w:hAnsi="宋体" w:eastAsia="宋体" w:cs="宋体"/>
          <w:b/>
          <w:color w:val="262626" w:themeColor="text1" w:themeTint="D9"/>
          <w:sz w:val="28"/>
          <w:szCs w:val="24"/>
          <w14:textFill>
            <w14:solidFill>
              <w14:schemeClr w14:val="tx1">
                <w14:lumMod w14:val="85000"/>
                <w14:lumOff w14:val="15000"/>
              </w14:schemeClr>
            </w14:solidFill>
          </w14:textFill>
        </w:rPr>
        <w:t>7、有限空间日常检查要求</w:t>
      </w:r>
      <w:bookmarkEnd w:id="46"/>
    </w:p>
    <w:tbl>
      <w:tblPr>
        <w:tblStyle w:val="17"/>
        <w:tblW w:w="9931" w:type="dxa"/>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4"/>
        <w:gridCol w:w="1057"/>
        <w:gridCol w:w="3565"/>
        <w:gridCol w:w="2524"/>
        <w:gridCol w:w="20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tcPr>
          <w:p>
            <w:pPr>
              <w:jc w:val="cente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序号</w:t>
            </w:r>
          </w:p>
        </w:tc>
        <w:tc>
          <w:tcPr>
            <w:tcW w:w="1057" w:type="dxa"/>
          </w:tcPr>
          <w:p>
            <w:pPr>
              <w:jc w:val="cente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检查项目</w:t>
            </w:r>
          </w:p>
        </w:tc>
        <w:tc>
          <w:tcPr>
            <w:tcW w:w="3565" w:type="dxa"/>
          </w:tcPr>
          <w:p>
            <w:pPr>
              <w:jc w:val="cente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检查要求</w:t>
            </w:r>
          </w:p>
        </w:tc>
        <w:tc>
          <w:tcPr>
            <w:tcW w:w="2524" w:type="dxa"/>
          </w:tcPr>
          <w:p>
            <w:pPr>
              <w:jc w:val="cente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检查内容</w:t>
            </w:r>
          </w:p>
        </w:tc>
        <w:tc>
          <w:tcPr>
            <w:tcW w:w="2031" w:type="dxa"/>
          </w:tcPr>
          <w:p>
            <w:pPr>
              <w:jc w:val="cente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依据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vMerge w:val="restart"/>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1</w:t>
            </w:r>
          </w:p>
        </w:tc>
        <w:tc>
          <w:tcPr>
            <w:tcW w:w="1057" w:type="dxa"/>
            <w:vMerge w:val="restart"/>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安全制度</w:t>
            </w:r>
          </w:p>
        </w:tc>
        <w:tc>
          <w:tcPr>
            <w:tcW w:w="3565"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（1）有限空间作业安全生产责任制；</w:t>
            </w:r>
          </w:p>
        </w:tc>
        <w:tc>
          <w:tcPr>
            <w:tcW w:w="252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主要负责人职责</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作业负责人职责</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监护人职责</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作业人员职责</w:t>
            </w:r>
          </w:p>
        </w:tc>
        <w:tc>
          <w:tcPr>
            <w:tcW w:w="2031"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1057"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3565" w:type="dxa"/>
          </w:tcPr>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（2）有限空间作业安全操作规程；</w:t>
            </w:r>
          </w:p>
        </w:tc>
        <w:tc>
          <w:tcPr>
            <w:tcW w:w="252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2031"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1057"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3565" w:type="dxa"/>
          </w:tcPr>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 xml:space="preserve">（3）有限空间作业审批制度； </w:t>
            </w:r>
          </w:p>
        </w:tc>
        <w:tc>
          <w:tcPr>
            <w:tcW w:w="252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2031"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1057"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3565" w:type="dxa"/>
          </w:tcPr>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（4）有限空间安全教育培训制度；</w:t>
            </w:r>
          </w:p>
        </w:tc>
        <w:tc>
          <w:tcPr>
            <w:tcW w:w="252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有限空间作业现场负责人、监护人员、作业人员、应急救援人员</w:t>
            </w:r>
          </w:p>
        </w:tc>
        <w:tc>
          <w:tcPr>
            <w:tcW w:w="2031"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1057"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3565" w:type="dxa"/>
          </w:tcPr>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（5）有限空间生产安全事故应急救援预案。</w:t>
            </w:r>
          </w:p>
        </w:tc>
        <w:tc>
          <w:tcPr>
            <w:tcW w:w="252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①制定有限空间应急预案</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②救援人员经过专业培训</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③救援人员应有在规定时间内、在有限空间危害已被识别的情况下对受害者实施救援的能力</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④配备必要的救援设备和物资。如空气呼吸器、防毒面罩、通讯设备、消防器材、安全绳索、急救药品和清水等应急装备和器材</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⑤应急管理。预案演练定期评审和更新</w:t>
            </w:r>
          </w:p>
        </w:tc>
        <w:tc>
          <w:tcPr>
            <w:tcW w:w="2031"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1057"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3565" w:type="dxa"/>
          </w:tcPr>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（6）承发包管理制度；</w:t>
            </w:r>
          </w:p>
        </w:tc>
        <w:tc>
          <w:tcPr>
            <w:tcW w:w="252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2031"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1057"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3565" w:type="dxa"/>
          </w:tcPr>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（7）持证上岗制度；</w:t>
            </w:r>
          </w:p>
        </w:tc>
        <w:tc>
          <w:tcPr>
            <w:tcW w:w="252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2031"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1057"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3565" w:type="dxa"/>
          </w:tcPr>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（8）设备检维修、效验制度；</w:t>
            </w:r>
          </w:p>
        </w:tc>
        <w:tc>
          <w:tcPr>
            <w:tcW w:w="252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2031"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1057"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3565" w:type="dxa"/>
          </w:tcPr>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（9）有限空间作业现场安全管理制度</w:t>
            </w:r>
          </w:p>
        </w:tc>
        <w:tc>
          <w:tcPr>
            <w:tcW w:w="252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2031"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1057"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3565" w:type="dxa"/>
          </w:tcPr>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（10）安全投入情况。</w:t>
            </w:r>
          </w:p>
        </w:tc>
        <w:tc>
          <w:tcPr>
            <w:tcW w:w="252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2031"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2</w:t>
            </w:r>
          </w:p>
        </w:tc>
        <w:tc>
          <w:tcPr>
            <w:tcW w:w="1057"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有限空间台账</w:t>
            </w:r>
          </w:p>
        </w:tc>
        <w:tc>
          <w:tcPr>
            <w:tcW w:w="3565"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对本企业的有限空间进行辨识，确定有限空间的数量、位置以及危险有害因素等基本情况；</w:t>
            </w:r>
          </w:p>
        </w:tc>
        <w:tc>
          <w:tcPr>
            <w:tcW w:w="252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有限空间内部设施</w:t>
            </w:r>
          </w:p>
        </w:tc>
        <w:tc>
          <w:tcPr>
            <w:tcW w:w="2031"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地标-1通则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3</w:t>
            </w:r>
          </w:p>
        </w:tc>
        <w:tc>
          <w:tcPr>
            <w:tcW w:w="1057"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警示标志标识</w:t>
            </w:r>
          </w:p>
        </w:tc>
        <w:tc>
          <w:tcPr>
            <w:tcW w:w="3565"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应有锥筒、警戒线、警示灯、有限空间作业安全告知牌、作业单位信息告知牌。</w:t>
            </w:r>
          </w:p>
        </w:tc>
        <w:tc>
          <w:tcPr>
            <w:tcW w:w="252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①坑、井、洼、沟或人孔、通道出入口应设置防护栏、盖和警告标志、夜间应设警示红灯；</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②为防止无关人员进入有限空间场所，在有限空间醒目处，设置警戒区、警戒线、警戒标志；</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③作业人员进入与输送管道连接的封闭、、半封闭设备（如油罐、反应塔、储罐、锅炉等）内部时，应关闭阀门，装好盲板，设置“禁止启动”警告信息；</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④有限空间作业场所应设置警示标识，提醒危险存在和须经授权才能进入的词语；</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⑤进入带有转动部件的有限空间，电源线路与开关之间有明显的断开点并设警示牌，同时在开关上悬挂“有人检修，禁止合闸”，并设专人监护。</w:t>
            </w:r>
          </w:p>
        </w:tc>
        <w:tc>
          <w:tcPr>
            <w:tcW w:w="2031"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关于在污水井等有限空间作业现场设置警示标志的通知（京安监发〔2009〕152号）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4</w:t>
            </w:r>
          </w:p>
        </w:tc>
        <w:tc>
          <w:tcPr>
            <w:tcW w:w="1057"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作业设备设施</w:t>
            </w:r>
          </w:p>
        </w:tc>
        <w:tc>
          <w:tcPr>
            <w:tcW w:w="3565"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应有通风设备、“四合一”气体检测仪、移动式发电机（现场有无电源）、三脚架及照明通讯设备。</w:t>
            </w:r>
          </w:p>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可燃气体的有限空间内严禁使用明火照明和非防爆设备。</w:t>
            </w:r>
          </w:p>
        </w:tc>
        <w:tc>
          <w:tcPr>
            <w:tcW w:w="252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2031"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5</w:t>
            </w:r>
          </w:p>
        </w:tc>
        <w:tc>
          <w:tcPr>
            <w:tcW w:w="1057"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劳动防护用品配备</w:t>
            </w:r>
          </w:p>
        </w:tc>
        <w:tc>
          <w:tcPr>
            <w:tcW w:w="3565"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个体防护的安全帽、全身式安全带、安全绳。</w:t>
            </w:r>
          </w:p>
        </w:tc>
        <w:tc>
          <w:tcPr>
            <w:tcW w:w="252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作业人员应佩戴安全绳或安全带。</w:t>
            </w:r>
          </w:p>
        </w:tc>
        <w:tc>
          <w:tcPr>
            <w:tcW w:w="2031"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6</w:t>
            </w:r>
          </w:p>
        </w:tc>
        <w:tc>
          <w:tcPr>
            <w:tcW w:w="1057"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应急设备</w:t>
            </w:r>
          </w:p>
        </w:tc>
        <w:tc>
          <w:tcPr>
            <w:tcW w:w="3565" w:type="dxa"/>
          </w:tcPr>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长管呼吸器或正压钢瓶呼吸器</w:t>
            </w: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等隔离式呼吸保护器具。</w:t>
            </w:r>
          </w:p>
        </w:tc>
        <w:tc>
          <w:tcPr>
            <w:tcW w:w="252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呼吸器或软管面具等隔离式呼吸保护器具。</w:t>
            </w:r>
          </w:p>
        </w:tc>
        <w:tc>
          <w:tcPr>
            <w:tcW w:w="2031"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7</w:t>
            </w:r>
          </w:p>
        </w:tc>
        <w:tc>
          <w:tcPr>
            <w:tcW w:w="1057"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教育培训</w:t>
            </w:r>
          </w:p>
        </w:tc>
        <w:tc>
          <w:tcPr>
            <w:tcW w:w="3565"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对从事有限空间作业人员培训，培训内容：</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①有限空间作业的危险有害因素、危险特性和安全防范措施等；</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②有限空间作业的安全操作规程；</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③检测仪器、劳动防护用品的正确使用；</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④紧急情况下的应急处置措施。</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⑤作业方案、作业内容；</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⑥个人避险常识。</w:t>
            </w:r>
          </w:p>
        </w:tc>
        <w:tc>
          <w:tcPr>
            <w:tcW w:w="252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检查有限空间培训记录；</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包括技术业务理论考核和实际操作技能考核。</w:t>
            </w:r>
          </w:p>
        </w:tc>
        <w:tc>
          <w:tcPr>
            <w:tcW w:w="2031"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vMerge w:val="restart"/>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8</w:t>
            </w:r>
          </w:p>
        </w:tc>
        <w:tc>
          <w:tcPr>
            <w:tcW w:w="1057" w:type="dxa"/>
            <w:vMerge w:val="restart"/>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有限空间作业程序和要求</w:t>
            </w:r>
          </w:p>
        </w:tc>
        <w:tc>
          <w:tcPr>
            <w:tcW w:w="3565" w:type="dxa"/>
          </w:tcPr>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作业许可审批：</w:t>
            </w:r>
          </w:p>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①未经作业审批，不得进入有限空间作业；</w:t>
            </w:r>
          </w:p>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②危险评估；</w:t>
            </w:r>
          </w:p>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③明确作业现场负责人、监护人员、作业人员及其安全职责。</w:t>
            </w:r>
          </w:p>
        </w:tc>
        <w:tc>
          <w:tcPr>
            <w:tcW w:w="252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有限空间作业票：</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对作业环境进行评估，分析存在的危险有害因素，提出消除、控制危害的措施，制定有限空间作业方案，并经安全生产管理人员审核，负责人批准。</w:t>
            </w:r>
          </w:p>
        </w:tc>
        <w:tc>
          <w:tcPr>
            <w:tcW w:w="2031"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原国家安全监管总局办公厅关于开展工贸企业有限空间作业条件确认工作的通知DB11 852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1057" w:type="dxa"/>
            <w:vMerge w:val="continue"/>
          </w:tcPr>
          <w:p>
            <w:pPr>
              <w:rPr>
                <w:rFonts w:ascii="宋体" w:hAnsi="宋体" w:eastAsia="宋体" w:cs="宋体"/>
                <w:b/>
                <w:bCs/>
                <w:color w:val="262626" w:themeColor="text1" w:themeTint="D9"/>
                <w:szCs w:val="21"/>
                <w14:textFill>
                  <w14:solidFill>
                    <w14:schemeClr w14:val="tx1">
                      <w14:lumMod w14:val="85000"/>
                      <w14:lumOff w14:val="15000"/>
                    </w14:schemeClr>
                  </w14:solidFill>
                </w14:textFill>
              </w:rPr>
            </w:pPr>
          </w:p>
        </w:tc>
        <w:tc>
          <w:tcPr>
            <w:tcW w:w="3565"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
                <w:bCs/>
                <w:color w:val="262626" w:themeColor="text1" w:themeTint="D9"/>
                <w:szCs w:val="21"/>
                <w14:textFill>
                  <w14:solidFill>
                    <w14:schemeClr w14:val="tx1">
                      <w14:lumMod w14:val="85000"/>
                      <w14:lumOff w14:val="15000"/>
                    </w14:schemeClr>
                  </w14:solidFill>
                </w14:textFill>
              </w:rPr>
              <w:t>作业前准备：</w:t>
            </w: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作业负责人接到任务后，应做好如下工作：</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①明确班组人员工作分工，对安全工作提出明确要求；</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②认真填写作业审批表；</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③检查作业装备是否齐全、良好；</w:t>
            </w:r>
          </w:p>
          <w:p>
            <w:pPr>
              <w:ind w:left="1" w:hanging="1"/>
              <w:rPr>
                <w:rFonts w:ascii="宋体" w:hAnsi="宋体" w:eastAsia="宋体" w:cs="宋体"/>
                <w:b/>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④前往作业现场。</w:t>
            </w:r>
          </w:p>
        </w:tc>
        <w:tc>
          <w:tcPr>
            <w:tcW w:w="252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作业负责人对实施作业的全体人员进行交底，告知作业方案、作业内容和作业现场可能存在的危险有害因素、作业安全要求及应急处置方案等内容告知作业人员；并履行签字确认手续；监督作业人员按照方案进行作业准备。</w:t>
            </w:r>
          </w:p>
        </w:tc>
        <w:tc>
          <w:tcPr>
            <w:tcW w:w="2031"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1057" w:type="dxa"/>
            <w:vMerge w:val="continue"/>
          </w:tcPr>
          <w:p>
            <w:pPr>
              <w:rPr>
                <w:rFonts w:ascii="宋体" w:hAnsi="宋体" w:eastAsia="宋体" w:cs="宋体"/>
                <w:b/>
                <w:bCs/>
                <w:color w:val="262626" w:themeColor="text1" w:themeTint="D9"/>
                <w:szCs w:val="21"/>
                <w14:textFill>
                  <w14:solidFill>
                    <w14:schemeClr w14:val="tx1">
                      <w14:lumMod w14:val="85000"/>
                      <w14:lumOff w14:val="15000"/>
                    </w14:schemeClr>
                  </w14:solidFill>
                </w14:textFill>
              </w:rPr>
            </w:pPr>
          </w:p>
        </w:tc>
        <w:tc>
          <w:tcPr>
            <w:tcW w:w="3565" w:type="dxa"/>
          </w:tcPr>
          <w:p>
            <w:pPr>
              <w:rPr>
                <w:rFonts w:ascii="宋体" w:hAnsi="宋体" w:eastAsia="宋体" w:cs="宋体"/>
                <w:b/>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
                <w:bCs/>
                <w:color w:val="262626" w:themeColor="text1" w:themeTint="D9"/>
                <w:szCs w:val="21"/>
                <w14:textFill>
                  <w14:solidFill>
                    <w14:schemeClr w14:val="tx1">
                      <w14:lumMod w14:val="85000"/>
                      <w14:lumOff w14:val="15000"/>
                    </w14:schemeClr>
                  </w14:solidFill>
                </w14:textFill>
              </w:rPr>
              <w:t>作业组织</w:t>
            </w:r>
          </w:p>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①摆放锥筒、设置警戒线、警示灯、有限空间作业安全告知牌、作业单位信息告知牌等。</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封闭作业区域，并在出入口周边显著位置设置安全标志和警示标识。</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②穿戴个人防护器具。</w:t>
            </w:r>
          </w:p>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③现场监护人员对作业环境进行检测，并对每次的检测数值进行登记备案。</w:t>
            </w:r>
          </w:p>
          <w:p>
            <w:pPr>
              <w:rPr>
                <w:rFonts w:ascii="宋体" w:hAnsi="宋体" w:eastAsia="宋体" w:cs="宋体"/>
                <w:b/>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④保证出入口畅通。</w:t>
            </w:r>
          </w:p>
        </w:tc>
        <w:tc>
          <w:tcPr>
            <w:tcW w:w="252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检测指标包括氧浓度值、易燃易爆物质（可燃性气体、爆炸性粉尘）浓度值、有毒气体浓度值等。未经检测，严禁作业人员进入有限空间。</w:t>
            </w:r>
          </w:p>
        </w:tc>
        <w:tc>
          <w:tcPr>
            <w:tcW w:w="2031"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1057" w:type="dxa"/>
            <w:vMerge w:val="continue"/>
          </w:tcPr>
          <w:p>
            <w:pPr>
              <w:rPr>
                <w:rFonts w:ascii="宋体" w:hAnsi="宋体" w:eastAsia="宋体" w:cs="宋体"/>
                <w:b/>
                <w:bCs/>
                <w:color w:val="262626" w:themeColor="text1" w:themeTint="D9"/>
                <w:szCs w:val="21"/>
                <w14:textFill>
                  <w14:solidFill>
                    <w14:schemeClr w14:val="tx1">
                      <w14:lumMod w14:val="85000"/>
                      <w14:lumOff w14:val="15000"/>
                    </w14:schemeClr>
                  </w14:solidFill>
                </w14:textFill>
              </w:rPr>
            </w:pPr>
          </w:p>
        </w:tc>
        <w:tc>
          <w:tcPr>
            <w:tcW w:w="3565" w:type="dxa"/>
          </w:tcPr>
          <w:p>
            <w:pPr>
              <w:rPr>
                <w:rFonts w:ascii="宋体" w:hAnsi="宋体" w:eastAsia="宋体" w:cs="宋体"/>
                <w:b/>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
                <w:bCs/>
                <w:color w:val="262626" w:themeColor="text1" w:themeTint="D9"/>
                <w:szCs w:val="21"/>
                <w14:textFill>
                  <w14:solidFill>
                    <w14:schemeClr w14:val="tx1">
                      <w14:lumMod w14:val="85000"/>
                      <w14:lumOff w14:val="15000"/>
                    </w14:schemeClr>
                  </w14:solidFill>
                </w14:textFill>
              </w:rPr>
              <w:t>作业环境：</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①安全电压：防爆场所照明符合防爆要求。有限空间照明不应大于24V的安全行灯，在金属设备内和特别潮湿场所，其安全电压应为12V。</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②防静电：当作业环境原来盛装爆炸性液体、气体等介质，则应使用防爆电筒或电压不大于12V的防爆安全行灯，行灯变压器不应放在容器内或容器上；作业人员应穿戴防静电服装，使用防爆工具。</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
                <w:bCs/>
                <w:color w:val="262626" w:themeColor="text1" w:themeTint="D9"/>
                <w:szCs w:val="21"/>
                <w14:textFill>
                  <w14:solidFill>
                    <w14:schemeClr w14:val="tx1">
                      <w14:lumMod w14:val="85000"/>
                      <w14:lumOff w14:val="15000"/>
                    </w14:schemeClr>
                  </w14:solidFill>
                </w14:textFill>
              </w:rPr>
              <w:t>③</w:t>
            </w: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隔断：有效切断（并使用盲板）与有限空间相连的可燃、有毒有害介质（含氮气系统），并挂牌标识，出入口畅通无障碍物；与有限空间相关的机械上和电气上应隔离并挂警示牌</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④电阻：作业前，应对有限空间或其周围的设备接地，并进行接地电阻检测，确保阻值小于4欧。</w:t>
            </w:r>
          </w:p>
        </w:tc>
        <w:tc>
          <w:tcPr>
            <w:tcW w:w="2524" w:type="dxa"/>
          </w:tcPr>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p>
        </w:tc>
        <w:tc>
          <w:tcPr>
            <w:tcW w:w="2031"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1057" w:type="dxa"/>
            <w:vMerge w:val="continue"/>
          </w:tcPr>
          <w:p>
            <w:pPr>
              <w:rPr>
                <w:rFonts w:ascii="宋体" w:hAnsi="宋体" w:eastAsia="宋体" w:cs="宋体"/>
                <w:b/>
                <w:bCs/>
                <w:color w:val="262626" w:themeColor="text1" w:themeTint="D9"/>
                <w:szCs w:val="21"/>
                <w14:textFill>
                  <w14:solidFill>
                    <w14:schemeClr w14:val="tx1">
                      <w14:lumMod w14:val="85000"/>
                      <w14:lumOff w14:val="15000"/>
                    </w14:schemeClr>
                  </w14:solidFill>
                </w14:textFill>
              </w:rPr>
            </w:pPr>
          </w:p>
        </w:tc>
        <w:tc>
          <w:tcPr>
            <w:tcW w:w="3565" w:type="dxa"/>
          </w:tcPr>
          <w:p>
            <w:pPr>
              <w:rPr>
                <w:rFonts w:ascii="宋体" w:hAnsi="宋体" w:eastAsia="宋体" w:cs="宋体"/>
                <w:b/>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
                <w:bCs/>
                <w:color w:val="262626" w:themeColor="text1" w:themeTint="D9"/>
                <w:szCs w:val="21"/>
                <w14:textFill>
                  <w14:solidFill>
                    <w14:schemeClr w14:val="tx1">
                      <w14:lumMod w14:val="85000"/>
                      <w14:lumOff w14:val="15000"/>
                    </w14:schemeClr>
                  </w14:solidFill>
                </w14:textFill>
              </w:rPr>
              <w:t>实施作业：</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①通风：实施有限空间作业前和作业过程中，可采取强制性通风措施，增加氧气浓度，降低有毒气体浓度，保持空气流通；持续通风可降低有毒气体积聚风险，即使有毒气体在不断释放，只要风量足够，就可避免中毒事故发生。</w:t>
            </w:r>
          </w:p>
        </w:tc>
        <w:tc>
          <w:tcPr>
            <w:tcW w:w="2524" w:type="dxa"/>
          </w:tcPr>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通风设备必须放置在上风且远离汽车尾气的位置；</w:t>
            </w:r>
          </w:p>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严禁用纯氧进行通风换气；</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纯氧遇明火易引发火灾爆炸。</w:t>
            </w:r>
          </w:p>
        </w:tc>
        <w:tc>
          <w:tcPr>
            <w:tcW w:w="2031"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1057" w:type="dxa"/>
            <w:vMerge w:val="continue"/>
          </w:tcPr>
          <w:p>
            <w:pPr>
              <w:rPr>
                <w:rFonts w:ascii="宋体" w:hAnsi="宋体" w:eastAsia="宋体" w:cs="宋体"/>
                <w:b/>
                <w:bCs/>
                <w:color w:val="262626" w:themeColor="text1" w:themeTint="D9"/>
                <w:szCs w:val="21"/>
                <w14:textFill>
                  <w14:solidFill>
                    <w14:schemeClr w14:val="tx1">
                      <w14:lumMod w14:val="85000"/>
                      <w14:lumOff w14:val="15000"/>
                    </w14:schemeClr>
                  </w14:solidFill>
                </w14:textFill>
              </w:rPr>
            </w:pPr>
          </w:p>
        </w:tc>
        <w:tc>
          <w:tcPr>
            <w:tcW w:w="3565" w:type="dxa"/>
          </w:tcPr>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②检测：</w:t>
            </w: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检测氧含量、易燃易爆物质（可燃性气体、爆炸性粉尘）浓度和有毒有害气体含量，并根据测定结果采取相应措施；</w:t>
            </w:r>
          </w:p>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在作业环境条件可能发生变化时，应对作业场所中危害因素进行持续或定时检测；</w:t>
            </w:r>
          </w:p>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作业者工作面发生变化时，视为进入新的有限空间，应重新检测后再进入；</w:t>
            </w:r>
          </w:p>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作业中断超过30分钟，作业人员再次进入有限空间作业前，应当重新通风、检测合格后方可进入。</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2524" w:type="dxa"/>
          </w:tcPr>
          <w:p>
            <w:pPr>
              <w:ind w:left="-2" w:leftChars="-1" w:firstLine="1"/>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做好检测记录，包括检测时间、地点、气体种类和检测浓度等信息。检测记录经检测人员签字后存档。</w:t>
            </w:r>
          </w:p>
          <w:p>
            <w:pPr>
              <w:ind w:left="-2" w:leftChars="-1" w:firstLine="1"/>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未经通风和检测合格，任何人员不得进入有限空间作业。</w:t>
            </w:r>
          </w:p>
          <w:p>
            <w:pPr>
              <w:ind w:left="-2" w:leftChars="-1" w:firstLine="1"/>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检测的时间不得早于作业开始前30分钟。</w:t>
            </w:r>
          </w:p>
          <w:p>
            <w:pPr>
              <w:ind w:left="-2" w:leftChars="-1" w:firstLine="1"/>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主要有毒有害气体标准：</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硫化氢：作业场所最高容许浓度：10mg/m</w:t>
            </w:r>
            <w:r>
              <w:rPr>
                <w:rFonts w:hint="eastAsia" w:ascii="宋体" w:hAnsi="宋体" w:eastAsia="宋体" w:cs="宋体"/>
                <w:bCs/>
                <w:color w:val="262626" w:themeColor="text1" w:themeTint="D9"/>
                <w:szCs w:val="21"/>
                <w:vertAlign w:val="superscript"/>
                <w14:textFill>
                  <w14:solidFill>
                    <w14:schemeClr w14:val="tx1">
                      <w14:lumMod w14:val="85000"/>
                      <w14:lumOff w14:val="15000"/>
                    </w14:schemeClr>
                  </w14:solidFill>
                </w14:textFill>
              </w:rPr>
              <w:t>3</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氧含量：19.5%≤氧含量≤23.5%</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甲烷：小于爆炸下限5%</w:t>
            </w:r>
          </w:p>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一氧化碳：小于爆炸下限12.5%；作业场所最高容许浓度：20mg/m</w:t>
            </w:r>
            <w:r>
              <w:rPr>
                <w:rFonts w:hint="eastAsia" w:ascii="宋体" w:hAnsi="宋体" w:eastAsia="宋体" w:cs="宋体"/>
                <w:bCs/>
                <w:color w:val="262626" w:themeColor="text1" w:themeTint="D9"/>
                <w:szCs w:val="21"/>
                <w:vertAlign w:val="superscript"/>
                <w14:textFill>
                  <w14:solidFill>
                    <w14:schemeClr w14:val="tx1">
                      <w14:lumMod w14:val="85000"/>
                      <w14:lumOff w14:val="15000"/>
                    </w14:schemeClr>
                  </w14:solidFill>
                </w14:textFill>
              </w:rPr>
              <w:t>3</w:t>
            </w:r>
          </w:p>
        </w:tc>
        <w:tc>
          <w:tcPr>
            <w:tcW w:w="2031"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化学品生产单位受限空间作业安全规范（AQ3028-2008）</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1057" w:type="dxa"/>
            <w:vMerge w:val="continue"/>
          </w:tcPr>
          <w:p>
            <w:pPr>
              <w:rPr>
                <w:rFonts w:ascii="宋体" w:hAnsi="宋体" w:eastAsia="宋体" w:cs="宋体"/>
                <w:b/>
                <w:bCs/>
                <w:color w:val="262626" w:themeColor="text1" w:themeTint="D9"/>
                <w:szCs w:val="21"/>
                <w14:textFill>
                  <w14:solidFill>
                    <w14:schemeClr w14:val="tx1">
                      <w14:lumMod w14:val="85000"/>
                      <w14:lumOff w14:val="15000"/>
                    </w14:schemeClr>
                  </w14:solidFill>
                </w14:textFill>
              </w:rPr>
            </w:pPr>
          </w:p>
        </w:tc>
        <w:tc>
          <w:tcPr>
            <w:tcW w:w="3565" w:type="dxa"/>
          </w:tcPr>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③作业：在现场检测人员确认有限空间环境安全的前提下，作业人员方可进入有限空间作业。</w:t>
            </w:r>
          </w:p>
        </w:tc>
        <w:tc>
          <w:tcPr>
            <w:tcW w:w="2524" w:type="dxa"/>
          </w:tcPr>
          <w:p>
            <w:pPr>
              <w:rPr>
                <w:rFonts w:ascii="宋体" w:hAnsi="宋体" w:eastAsia="宋体" w:cs="宋体"/>
                <w:b/>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作业人员必须穿戴好全身式安全带和安全绳，佩戴安全帽。</w:t>
            </w:r>
          </w:p>
        </w:tc>
        <w:tc>
          <w:tcPr>
            <w:tcW w:w="2031"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1057" w:type="dxa"/>
            <w:vMerge w:val="continue"/>
          </w:tcPr>
          <w:p>
            <w:pPr>
              <w:rPr>
                <w:rFonts w:ascii="宋体" w:hAnsi="宋体" w:eastAsia="宋体" w:cs="宋体"/>
                <w:b/>
                <w:bCs/>
                <w:color w:val="262626" w:themeColor="text1" w:themeTint="D9"/>
                <w:szCs w:val="21"/>
                <w14:textFill>
                  <w14:solidFill>
                    <w14:schemeClr w14:val="tx1">
                      <w14:lumMod w14:val="85000"/>
                      <w14:lumOff w14:val="15000"/>
                    </w14:schemeClr>
                  </w14:solidFill>
                </w14:textFill>
              </w:rPr>
            </w:pPr>
          </w:p>
        </w:tc>
        <w:tc>
          <w:tcPr>
            <w:tcW w:w="3565"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④监护：监护人员，密切监视作业情况，不得离岗，发现异常情况，应及时采取有效措施；现场安全管理应确保操作规程的遵守和安全措施的落实。</w:t>
            </w:r>
          </w:p>
        </w:tc>
        <w:tc>
          <w:tcPr>
            <w:tcW w:w="2524" w:type="dxa"/>
          </w:tcPr>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现场</w:t>
            </w: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监护人员必须经过培训，</w:t>
            </w: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持有特种作业证；</w:t>
            </w:r>
          </w:p>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严禁多处有限空间同时作业只有一名监护人员的现象；</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监护人呢应熟悉作业场所工艺、环境情况，有判断和处理异常情况的能力，懂急救知识。</w:t>
            </w:r>
          </w:p>
        </w:tc>
        <w:tc>
          <w:tcPr>
            <w:tcW w:w="2031"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北京市安全生产监督管理局关于地下有限空间作业现场监护人员必须持证上岗的通告（京安监发〔2010〕68号）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1057" w:type="dxa"/>
            <w:vMerge w:val="continue"/>
          </w:tcPr>
          <w:p>
            <w:pPr>
              <w:rPr>
                <w:rFonts w:ascii="宋体" w:hAnsi="宋体" w:eastAsia="宋体" w:cs="宋体"/>
                <w:b/>
                <w:bCs/>
                <w:color w:val="262626" w:themeColor="text1" w:themeTint="D9"/>
                <w:szCs w:val="21"/>
                <w14:textFill>
                  <w14:solidFill>
                    <w14:schemeClr w14:val="tx1">
                      <w14:lumMod w14:val="85000"/>
                      <w14:lumOff w14:val="15000"/>
                    </w14:schemeClr>
                  </w14:solidFill>
                </w14:textFill>
              </w:rPr>
            </w:pPr>
          </w:p>
        </w:tc>
        <w:tc>
          <w:tcPr>
            <w:tcW w:w="3565" w:type="dxa"/>
          </w:tcPr>
          <w:p>
            <w:pPr>
              <w:rPr>
                <w:rFonts w:ascii="宋体" w:hAnsi="宋体" w:eastAsia="宋体" w:cs="宋体"/>
                <w:b/>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
                <w:bCs/>
                <w:color w:val="262626" w:themeColor="text1" w:themeTint="D9"/>
                <w:szCs w:val="21"/>
                <w14:textFill>
                  <w14:solidFill>
                    <w14:schemeClr w14:val="tx1">
                      <w14:lumMod w14:val="85000"/>
                      <w14:lumOff w14:val="15000"/>
                    </w14:schemeClr>
                  </w14:solidFill>
                </w14:textFill>
              </w:rPr>
              <w:t>撤场：</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作业结束后，作业现场负责人、监护人员</w:t>
            </w: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应清点人数和设备</w:t>
            </w: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，对作业现场进行清理，撤离作业人员。</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1、盖好井盖；</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2、作业材料和工具；</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3、通风和个人防护及检测设备；</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4、告知牌；</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5、警戒线、警示灯；</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6、锥筒；</w:t>
            </w:r>
          </w:p>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7、人员上车安全撤离。</w:t>
            </w:r>
          </w:p>
        </w:tc>
        <w:tc>
          <w:tcPr>
            <w:tcW w:w="252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2031"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9</w:t>
            </w:r>
          </w:p>
        </w:tc>
        <w:tc>
          <w:tcPr>
            <w:tcW w:w="1057" w:type="dxa"/>
          </w:tcPr>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承包商</w:t>
            </w:r>
          </w:p>
        </w:tc>
        <w:tc>
          <w:tcPr>
            <w:tcW w:w="3565" w:type="dxa"/>
          </w:tcPr>
          <w:p>
            <w:pPr>
              <w:rPr>
                <w:rFonts w:ascii="宋体" w:hAnsi="宋体" w:eastAsia="宋体" w:cs="宋体"/>
                <w:b/>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工贸企业对其发包的有限空间作业安全承担主体责任。承包方对其承包的有限空间作业安全承担直接责任。</w:t>
            </w:r>
          </w:p>
        </w:tc>
        <w:tc>
          <w:tcPr>
            <w:tcW w:w="2524"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承包方具备安全生产条件；</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与承包方签订专门的安全生产管理协议或者在承包合同中明确各自的安全生产职责；</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承包单位是否具备以下安全生产条件：安全设备设施、安全管理制度、特种作业操作资格证书。</w:t>
            </w:r>
          </w:p>
        </w:tc>
        <w:tc>
          <w:tcPr>
            <w:tcW w:w="2031" w:type="dxa"/>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北京市安全生产委员会办公室关于加强有限空间作业承发包安全管理的通知。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vMerge w:val="restart"/>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10</w:t>
            </w:r>
          </w:p>
        </w:tc>
        <w:tc>
          <w:tcPr>
            <w:tcW w:w="1057" w:type="dxa"/>
            <w:vMerge w:val="restart"/>
          </w:tcPr>
          <w:p>
            <w:pPr>
              <w:rPr>
                <w:rFonts w:ascii="宋体" w:hAnsi="宋体" w:eastAsia="宋体" w:cs="宋体"/>
                <w:bCs/>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其他要求</w:t>
            </w:r>
          </w:p>
        </w:tc>
        <w:tc>
          <w:tcPr>
            <w:tcW w:w="8120" w:type="dxa"/>
            <w:gridSpan w:val="3"/>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有限空间作业属高风险作业，作业人员上岗前，应进行体检，患有心血管病、糖尿病或身体体质较弱的人员，不宜从事此项工作。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1057" w:type="dxa"/>
            <w:vMerge w:val="continue"/>
          </w:tcPr>
          <w:p>
            <w:pPr>
              <w:rPr>
                <w:rFonts w:ascii="宋体" w:hAnsi="宋体" w:eastAsia="宋体" w:cs="宋体"/>
                <w:b/>
                <w:bCs/>
                <w:color w:val="262626" w:themeColor="text1" w:themeTint="D9"/>
                <w:szCs w:val="21"/>
                <w14:textFill>
                  <w14:solidFill>
                    <w14:schemeClr w14:val="tx1">
                      <w14:lumMod w14:val="85000"/>
                      <w14:lumOff w14:val="15000"/>
                    </w14:schemeClr>
                  </w14:solidFill>
                </w14:textFill>
              </w:rPr>
            </w:pPr>
          </w:p>
        </w:tc>
        <w:tc>
          <w:tcPr>
            <w:tcW w:w="8120" w:type="dxa"/>
            <w:gridSpan w:val="3"/>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有限空间作业安全要点：一通、二检、三持续、四防护：</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一通：作业前，要先对有限空间进行通风；</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二检：作业前，要先对有限空间内气体进行检测；</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三持续：作业过程中，要持续通风、持续检测；</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bCs/>
                <w:color w:val="262626" w:themeColor="text1" w:themeTint="D9"/>
                <w:szCs w:val="21"/>
                <w14:textFill>
                  <w14:solidFill>
                    <w14:schemeClr w14:val="tx1">
                      <w14:lumMod w14:val="85000"/>
                      <w14:lumOff w14:val="15000"/>
                    </w14:schemeClr>
                  </w14:solidFill>
                </w14:textFill>
              </w:rPr>
              <w:t>四防护：作业过程中，作业人员要佩戴符合国家标准的防护用品。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54" w:type="dxa"/>
            <w:vMerge w:val="continue"/>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p>
        </w:tc>
        <w:tc>
          <w:tcPr>
            <w:tcW w:w="1057" w:type="dxa"/>
            <w:vMerge w:val="continue"/>
          </w:tcPr>
          <w:p>
            <w:pPr>
              <w:rPr>
                <w:rFonts w:ascii="宋体" w:hAnsi="宋体" w:eastAsia="宋体" w:cs="宋体"/>
                <w:b/>
                <w:bCs/>
                <w:color w:val="262626" w:themeColor="text1" w:themeTint="D9"/>
                <w:szCs w:val="21"/>
                <w14:textFill>
                  <w14:solidFill>
                    <w14:schemeClr w14:val="tx1">
                      <w14:lumMod w14:val="85000"/>
                      <w14:lumOff w14:val="15000"/>
                    </w14:schemeClr>
                  </w14:solidFill>
                </w14:textFill>
              </w:rPr>
            </w:pPr>
          </w:p>
        </w:tc>
        <w:tc>
          <w:tcPr>
            <w:tcW w:w="8120" w:type="dxa"/>
            <w:gridSpan w:val="3"/>
          </w:tcPr>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（一）保持有限空间出入口畅通；</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（二）设置明显的安全警示标志和警示说明；</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（三）作业前清点作业人员和工器具；</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（四）作业人员与外部有可靠的通讯联络；</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（五）监护人员不得离开作业现场，并与作业人员保持联系；</w:t>
            </w:r>
          </w:p>
          <w:p>
            <w:pPr>
              <w:rPr>
                <w:rFonts w:ascii="宋体" w:hAnsi="宋体" w:eastAsia="宋体" w:cs="宋体"/>
                <w:color w:val="262626" w:themeColor="text1" w:themeTint="D9"/>
                <w:szCs w:val="21"/>
                <w14:textFill>
                  <w14:solidFill>
                    <w14:schemeClr w14:val="tx1">
                      <w14:lumMod w14:val="85000"/>
                      <w14:lumOff w14:val="15000"/>
                    </w14:schemeClr>
                  </w14:solidFill>
                </w14:textFill>
              </w:rPr>
            </w:pPr>
            <w:r>
              <w:rPr>
                <w:rFonts w:hint="eastAsia" w:ascii="宋体" w:hAnsi="宋体" w:eastAsia="宋体" w:cs="宋体"/>
                <w:color w:val="262626" w:themeColor="text1" w:themeTint="D9"/>
                <w:szCs w:val="21"/>
                <w14:textFill>
                  <w14:solidFill>
                    <w14:schemeClr w14:val="tx1">
                      <w14:lumMod w14:val="85000"/>
                      <w14:lumOff w14:val="15000"/>
                    </w14:schemeClr>
                  </w14:solidFill>
                </w14:textFill>
              </w:rPr>
              <w:t>（六）存在交叉作业时，采取避免互相伤害的措施。</w:t>
            </w:r>
          </w:p>
        </w:tc>
      </w:tr>
    </w:tbl>
    <w:p>
      <w:pPr>
        <w:spacing w:line="360" w:lineRule="auto"/>
        <w:ind w:firstLine="879"/>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p>
      <w:pPr>
        <w:spacing w:line="360" w:lineRule="auto"/>
        <w:ind w:firstLine="879"/>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p>
      <w:pPr>
        <w:spacing w:line="360" w:lineRule="auto"/>
        <w:ind w:firstLine="879"/>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bl>
      <w:tblPr>
        <w:tblStyle w:val="17"/>
        <w:tblpPr w:leftFromText="180" w:rightFromText="180" w:vertAnchor="text" w:horzAnchor="page" w:tblpX="1249" w:tblpY="461"/>
        <w:tblOverlap w:val="never"/>
        <w:tblW w:w="9440" w:type="dxa"/>
        <w:tblInd w:w="0" w:type="dxa"/>
        <w:tblLayout w:type="fixed"/>
        <w:tblCellMar>
          <w:top w:w="0" w:type="dxa"/>
          <w:left w:w="0" w:type="dxa"/>
          <w:bottom w:w="0" w:type="dxa"/>
          <w:right w:w="0" w:type="dxa"/>
        </w:tblCellMar>
      </w:tblPr>
      <w:tblGrid>
        <w:gridCol w:w="2309"/>
        <w:gridCol w:w="121"/>
        <w:gridCol w:w="4610"/>
        <w:gridCol w:w="2400"/>
      </w:tblGrid>
      <w:tr>
        <w:trPr>
          <w:trHeight w:val="800" w:hRule="atLeast"/>
        </w:trPr>
        <w:tc>
          <w:tcPr>
            <w:tcW w:w="9440" w:type="dxa"/>
            <w:gridSpan w:val="4"/>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b/>
                <w:color w:val="000000"/>
                <w:kern w:val="0"/>
                <w:sz w:val="36"/>
                <w:szCs w:val="36"/>
                <w:lang w:bidi="ar"/>
              </w:rPr>
            </w:pPr>
          </w:p>
          <w:p>
            <w:pPr>
              <w:widowControl/>
              <w:jc w:val="center"/>
              <w:textAlignment w:val="center"/>
              <w:rPr>
                <w:rFonts w:ascii="宋体" w:hAnsi="宋体" w:eastAsia="宋体" w:cs="宋体"/>
                <w:b/>
                <w:color w:val="000000"/>
                <w:kern w:val="0"/>
                <w:sz w:val="36"/>
                <w:szCs w:val="36"/>
                <w:lang w:bidi="ar"/>
              </w:rPr>
            </w:pPr>
          </w:p>
          <w:p>
            <w:pPr>
              <w:widowControl/>
              <w:jc w:val="center"/>
              <w:textAlignment w:val="center"/>
              <w:rPr>
                <w:rFonts w:ascii="宋体" w:hAnsi="宋体" w:eastAsia="宋体" w:cs="宋体"/>
                <w:b/>
                <w:color w:val="000000"/>
                <w:kern w:val="0"/>
                <w:sz w:val="36"/>
                <w:szCs w:val="36"/>
                <w:lang w:bidi="ar"/>
              </w:rPr>
            </w:pPr>
          </w:p>
          <w:p>
            <w:pPr>
              <w:widowControl/>
              <w:jc w:val="center"/>
              <w:textAlignment w:val="center"/>
              <w:rPr>
                <w:rFonts w:ascii="宋体" w:hAnsi="宋体" w:eastAsia="宋体" w:cs="宋体"/>
                <w:b/>
                <w:color w:val="000000"/>
                <w:kern w:val="0"/>
                <w:sz w:val="36"/>
                <w:szCs w:val="36"/>
                <w:lang w:bidi="ar"/>
              </w:rPr>
            </w:pPr>
          </w:p>
          <w:p>
            <w:pPr>
              <w:widowControl/>
              <w:jc w:val="center"/>
              <w:textAlignment w:val="center"/>
              <w:rPr>
                <w:rFonts w:ascii="宋体" w:hAnsi="宋体" w:eastAsia="宋体" w:cs="宋体"/>
                <w:b/>
                <w:color w:val="000000"/>
                <w:kern w:val="0"/>
                <w:sz w:val="36"/>
                <w:szCs w:val="36"/>
                <w:lang w:bidi="ar"/>
              </w:rPr>
            </w:pPr>
          </w:p>
          <w:p>
            <w:pPr>
              <w:widowControl/>
              <w:jc w:val="center"/>
              <w:textAlignment w:val="center"/>
              <w:rPr>
                <w:rFonts w:ascii="宋体" w:hAnsi="宋体" w:eastAsia="宋体" w:cs="宋体"/>
                <w:b/>
                <w:color w:val="000000"/>
                <w:kern w:val="0"/>
                <w:sz w:val="36"/>
                <w:szCs w:val="36"/>
                <w:lang w:bidi="ar"/>
              </w:rPr>
            </w:pPr>
          </w:p>
          <w:p>
            <w:pPr>
              <w:widowControl/>
              <w:textAlignment w:val="center"/>
              <w:rPr>
                <w:rFonts w:ascii="宋体" w:hAnsi="宋体" w:eastAsia="宋体" w:cs="宋体"/>
                <w:b/>
                <w:color w:val="000000"/>
                <w:kern w:val="0"/>
                <w:sz w:val="36"/>
                <w:szCs w:val="36"/>
                <w:lang w:bidi="ar"/>
              </w:rPr>
            </w:pPr>
          </w:p>
          <w:p>
            <w:pPr>
              <w:widowControl/>
              <w:jc w:val="center"/>
              <w:textAlignment w:val="center"/>
              <w:rPr>
                <w:rFonts w:ascii="宋体" w:hAnsi="宋体" w:eastAsia="宋体" w:cs="宋体"/>
                <w:b/>
                <w:color w:val="000000"/>
                <w:kern w:val="0"/>
                <w:sz w:val="36"/>
                <w:szCs w:val="36"/>
                <w:lang w:bidi="ar"/>
              </w:rPr>
            </w:pPr>
            <w:r>
              <w:rPr>
                <w:rFonts w:hint="eastAsia" w:ascii="宋体" w:hAnsi="宋体" w:eastAsia="宋体" w:cs="宋体"/>
                <w:b/>
                <w:color w:val="000000"/>
                <w:kern w:val="0"/>
                <w:sz w:val="36"/>
                <w:szCs w:val="36"/>
                <w:lang w:bidi="ar"/>
              </w:rPr>
              <w:t>08、 有 限 空 间 作 业 许 可 证</w:t>
            </w:r>
          </w:p>
          <w:p>
            <w:pPr>
              <w:widowControl/>
              <w:jc w:val="center"/>
              <w:textAlignment w:val="center"/>
              <w:rPr>
                <w:rFonts w:ascii="宋体" w:hAnsi="宋体" w:eastAsia="宋体" w:cs="宋体"/>
                <w:b/>
                <w:color w:val="000000"/>
                <w:kern w:val="0"/>
                <w:sz w:val="36"/>
                <w:szCs w:val="36"/>
                <w:lang w:bidi="ar"/>
              </w:rPr>
            </w:pPr>
          </w:p>
        </w:tc>
      </w:tr>
      <w:tr>
        <w:tblPrEx>
          <w:tblCellMar>
            <w:top w:w="0" w:type="dxa"/>
            <w:left w:w="0" w:type="dxa"/>
            <w:bottom w:w="0" w:type="dxa"/>
            <w:right w:w="0" w:type="dxa"/>
          </w:tblCellMar>
        </w:tblPrEx>
        <w:trPr>
          <w:trHeight w:val="403" w:hRule="atLeast"/>
        </w:trPr>
        <w:tc>
          <w:tcPr>
            <w:tcW w:w="23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申请人</w:t>
            </w:r>
          </w:p>
        </w:tc>
        <w:tc>
          <w:tcPr>
            <w:tcW w:w="473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24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部门/单位</w:t>
            </w:r>
          </w:p>
        </w:tc>
      </w:tr>
      <w:tr>
        <w:tblPrEx>
          <w:tblCellMar>
            <w:top w:w="0" w:type="dxa"/>
            <w:left w:w="0" w:type="dxa"/>
            <w:bottom w:w="0" w:type="dxa"/>
            <w:right w:w="0" w:type="dxa"/>
          </w:tblCellMar>
        </w:tblPrEx>
        <w:trPr>
          <w:trHeight w:val="403" w:hRule="atLeast"/>
        </w:trPr>
        <w:tc>
          <w:tcPr>
            <w:tcW w:w="23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作业负责人</w:t>
            </w:r>
          </w:p>
        </w:tc>
        <w:tc>
          <w:tcPr>
            <w:tcW w:w="473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联系电话</w:t>
            </w:r>
          </w:p>
        </w:tc>
      </w:tr>
      <w:tr>
        <w:tblPrEx>
          <w:tblCellMar>
            <w:top w:w="0" w:type="dxa"/>
            <w:left w:w="0" w:type="dxa"/>
            <w:bottom w:w="0" w:type="dxa"/>
            <w:right w:w="0" w:type="dxa"/>
          </w:tblCellMar>
        </w:tblPrEx>
        <w:trPr>
          <w:trHeight w:val="403" w:hRule="atLeast"/>
        </w:trPr>
        <w:tc>
          <w:tcPr>
            <w:tcW w:w="23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监护人</w:t>
            </w:r>
          </w:p>
        </w:tc>
        <w:tc>
          <w:tcPr>
            <w:tcW w:w="1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4"/>
                <w:szCs w:val="24"/>
              </w:rPr>
            </w:pPr>
          </w:p>
        </w:tc>
        <w:tc>
          <w:tcPr>
            <w:tcW w:w="46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作业人员</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r>
      <w:tr>
        <w:tblPrEx>
          <w:tblCellMar>
            <w:top w:w="0" w:type="dxa"/>
            <w:left w:w="0" w:type="dxa"/>
            <w:bottom w:w="0" w:type="dxa"/>
            <w:right w:w="0" w:type="dxa"/>
          </w:tblCellMar>
        </w:tblPrEx>
        <w:trPr>
          <w:trHeight w:val="403" w:hRule="atLeast"/>
        </w:trPr>
        <w:tc>
          <w:tcPr>
            <w:tcW w:w="23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作业地点</w:t>
            </w:r>
          </w:p>
        </w:tc>
        <w:tc>
          <w:tcPr>
            <w:tcW w:w="7131"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r>
      <w:tr>
        <w:tblPrEx>
          <w:tblCellMar>
            <w:top w:w="0" w:type="dxa"/>
            <w:left w:w="0" w:type="dxa"/>
            <w:bottom w:w="0" w:type="dxa"/>
            <w:right w:w="0" w:type="dxa"/>
          </w:tblCellMar>
        </w:tblPrEx>
        <w:trPr>
          <w:trHeight w:val="403" w:hRule="atLeast"/>
        </w:trPr>
        <w:tc>
          <w:tcPr>
            <w:tcW w:w="23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作业内容</w:t>
            </w:r>
          </w:p>
        </w:tc>
        <w:tc>
          <w:tcPr>
            <w:tcW w:w="7131"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r>
      <w:tr>
        <w:tblPrEx>
          <w:tblCellMar>
            <w:top w:w="0" w:type="dxa"/>
            <w:left w:w="0" w:type="dxa"/>
            <w:bottom w:w="0" w:type="dxa"/>
            <w:right w:w="0" w:type="dxa"/>
          </w:tblCellMar>
        </w:tblPrEx>
        <w:trPr>
          <w:trHeight w:val="403" w:hRule="atLeast"/>
        </w:trPr>
        <w:tc>
          <w:tcPr>
            <w:tcW w:w="23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作业时间</w:t>
            </w:r>
          </w:p>
        </w:tc>
        <w:tc>
          <w:tcPr>
            <w:tcW w:w="7131"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 xml:space="preserve">       年   </w:t>
            </w:r>
            <w:r>
              <w:rPr>
                <w:rStyle w:val="57"/>
                <w:rFonts w:hint="default"/>
                <w:lang w:bidi="ar"/>
              </w:rPr>
              <w:t>月   日   时   分始至      年   月   日   时   分止</w:t>
            </w:r>
          </w:p>
        </w:tc>
      </w:tr>
      <w:tr>
        <w:tblPrEx>
          <w:tblCellMar>
            <w:top w:w="0" w:type="dxa"/>
            <w:left w:w="0" w:type="dxa"/>
            <w:bottom w:w="0" w:type="dxa"/>
            <w:right w:w="0" w:type="dxa"/>
          </w:tblCellMar>
        </w:tblPrEx>
        <w:trPr>
          <w:trHeight w:val="403" w:hRule="atLeast"/>
        </w:trPr>
        <w:tc>
          <w:tcPr>
            <w:tcW w:w="23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序号：</w:t>
            </w:r>
          </w:p>
        </w:tc>
        <w:tc>
          <w:tcPr>
            <w:tcW w:w="4731" w:type="dxa"/>
            <w:gridSpan w:val="2"/>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主要安全措施</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确认人</w:t>
            </w:r>
          </w:p>
        </w:tc>
      </w:tr>
      <w:tr>
        <w:tblPrEx>
          <w:tblCellMar>
            <w:top w:w="0" w:type="dxa"/>
            <w:left w:w="0" w:type="dxa"/>
            <w:bottom w:w="0" w:type="dxa"/>
            <w:right w:w="0" w:type="dxa"/>
          </w:tblCellMar>
        </w:tblPrEx>
        <w:trPr>
          <w:trHeight w:val="495" w:hRule="atLeast"/>
        </w:trPr>
        <w:tc>
          <w:tcPr>
            <w:tcW w:w="23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473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EHS对监护人员和作业人员进行必要的安全教育和作业环境交底</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szCs w:val="24"/>
              </w:rPr>
            </w:pPr>
          </w:p>
        </w:tc>
      </w:tr>
      <w:tr>
        <w:tblPrEx>
          <w:tblCellMar>
            <w:top w:w="0" w:type="dxa"/>
            <w:left w:w="0" w:type="dxa"/>
            <w:bottom w:w="0" w:type="dxa"/>
            <w:right w:w="0" w:type="dxa"/>
          </w:tblCellMar>
        </w:tblPrEx>
        <w:trPr>
          <w:trHeight w:val="495" w:hRule="atLeast"/>
        </w:trPr>
        <w:tc>
          <w:tcPr>
            <w:tcW w:w="23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473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作业前对有限空间作业危险性进行分析，识别出所有危害因素</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宋体" w:hAnsi="宋体" w:eastAsia="宋体" w:cs="宋体"/>
                <w:color w:val="000000"/>
                <w:sz w:val="24"/>
                <w:szCs w:val="24"/>
              </w:rPr>
            </w:pPr>
          </w:p>
        </w:tc>
      </w:tr>
      <w:tr>
        <w:tblPrEx>
          <w:tblCellMar>
            <w:top w:w="0" w:type="dxa"/>
            <w:left w:w="0" w:type="dxa"/>
            <w:bottom w:w="0" w:type="dxa"/>
            <w:right w:w="0" w:type="dxa"/>
          </w:tblCellMar>
        </w:tblPrEx>
        <w:trPr>
          <w:trHeight w:val="495" w:hRule="atLeast"/>
        </w:trPr>
        <w:tc>
          <w:tcPr>
            <w:tcW w:w="23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473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作业负责人、监护人员和作业人员经过有限空间作业安全培训</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宋体" w:hAnsi="宋体" w:eastAsia="宋体" w:cs="宋体"/>
                <w:color w:val="000000"/>
                <w:sz w:val="24"/>
                <w:szCs w:val="24"/>
              </w:rPr>
            </w:pPr>
          </w:p>
        </w:tc>
      </w:tr>
      <w:tr>
        <w:tblPrEx>
          <w:tblCellMar>
            <w:top w:w="0" w:type="dxa"/>
            <w:left w:w="0" w:type="dxa"/>
            <w:bottom w:w="0" w:type="dxa"/>
            <w:right w:w="0" w:type="dxa"/>
          </w:tblCellMar>
        </w:tblPrEx>
        <w:trPr>
          <w:trHeight w:val="495" w:hRule="atLeast"/>
        </w:trPr>
        <w:tc>
          <w:tcPr>
            <w:tcW w:w="23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4</w:t>
            </w:r>
          </w:p>
        </w:tc>
        <w:tc>
          <w:tcPr>
            <w:tcW w:w="473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作业人员清楚有限空间内存在的危害因素，佩戴好相应的防护用品</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宋体" w:hAnsi="宋体" w:eastAsia="宋体" w:cs="宋体"/>
                <w:color w:val="000000"/>
                <w:sz w:val="24"/>
                <w:szCs w:val="24"/>
              </w:rPr>
            </w:pPr>
          </w:p>
        </w:tc>
      </w:tr>
      <w:tr>
        <w:tblPrEx>
          <w:tblCellMar>
            <w:top w:w="0" w:type="dxa"/>
            <w:left w:w="0" w:type="dxa"/>
            <w:bottom w:w="0" w:type="dxa"/>
            <w:right w:w="0" w:type="dxa"/>
          </w:tblCellMar>
        </w:tblPrEx>
        <w:trPr>
          <w:trHeight w:val="495" w:hRule="atLeast"/>
        </w:trPr>
        <w:tc>
          <w:tcPr>
            <w:tcW w:w="23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473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有限空间内各气体浓度检测合格</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宋体" w:hAnsi="宋体" w:eastAsia="宋体" w:cs="宋体"/>
                <w:color w:val="000000"/>
                <w:sz w:val="24"/>
                <w:szCs w:val="24"/>
              </w:rPr>
            </w:pPr>
          </w:p>
        </w:tc>
      </w:tr>
      <w:tr>
        <w:tblPrEx>
          <w:tblCellMar>
            <w:top w:w="0" w:type="dxa"/>
            <w:left w:w="0" w:type="dxa"/>
            <w:bottom w:w="0" w:type="dxa"/>
            <w:right w:w="0" w:type="dxa"/>
          </w:tblCellMar>
        </w:tblPrEx>
        <w:trPr>
          <w:trHeight w:val="495" w:hRule="atLeast"/>
        </w:trPr>
        <w:tc>
          <w:tcPr>
            <w:tcW w:w="23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6</w:t>
            </w:r>
          </w:p>
        </w:tc>
        <w:tc>
          <w:tcPr>
            <w:tcW w:w="473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所有与有限空间相连的管线、阀门必须断开并按规定进行吹扫、置换</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宋体" w:hAnsi="宋体" w:eastAsia="宋体" w:cs="宋体"/>
                <w:color w:val="000000"/>
                <w:sz w:val="24"/>
                <w:szCs w:val="24"/>
              </w:rPr>
            </w:pPr>
          </w:p>
        </w:tc>
      </w:tr>
      <w:tr>
        <w:tblPrEx>
          <w:tblCellMar>
            <w:top w:w="0" w:type="dxa"/>
            <w:left w:w="0" w:type="dxa"/>
            <w:bottom w:w="0" w:type="dxa"/>
            <w:right w:w="0" w:type="dxa"/>
          </w:tblCellMar>
        </w:tblPrEx>
        <w:trPr>
          <w:trHeight w:val="600" w:hRule="atLeast"/>
        </w:trPr>
        <w:tc>
          <w:tcPr>
            <w:tcW w:w="23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7</w:t>
            </w:r>
          </w:p>
        </w:tc>
        <w:tc>
          <w:tcPr>
            <w:tcW w:w="473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打开设备通风口自然通风，必要时采用强制性通风或佩戴隔离式防毒面具</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宋体" w:hAnsi="宋体" w:eastAsia="宋体" w:cs="宋体"/>
                <w:color w:val="000000"/>
                <w:sz w:val="24"/>
                <w:szCs w:val="24"/>
              </w:rPr>
            </w:pPr>
          </w:p>
        </w:tc>
      </w:tr>
      <w:tr>
        <w:tblPrEx>
          <w:tblCellMar>
            <w:top w:w="0" w:type="dxa"/>
            <w:left w:w="0" w:type="dxa"/>
            <w:bottom w:w="0" w:type="dxa"/>
            <w:right w:w="0" w:type="dxa"/>
          </w:tblCellMar>
        </w:tblPrEx>
        <w:trPr>
          <w:trHeight w:val="495" w:hRule="atLeast"/>
        </w:trPr>
        <w:tc>
          <w:tcPr>
            <w:tcW w:w="23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8</w:t>
            </w:r>
          </w:p>
        </w:tc>
        <w:tc>
          <w:tcPr>
            <w:tcW w:w="473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有限空间内的照明使用安全电压和安全行灯</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left"/>
              <w:rPr>
                <w:rFonts w:ascii="宋体" w:hAnsi="宋体" w:eastAsia="宋体" w:cs="宋体"/>
                <w:color w:val="000000"/>
                <w:sz w:val="24"/>
                <w:szCs w:val="24"/>
              </w:rPr>
            </w:pPr>
          </w:p>
        </w:tc>
      </w:tr>
      <w:tr>
        <w:tblPrEx>
          <w:tblCellMar>
            <w:top w:w="0" w:type="dxa"/>
            <w:left w:w="0" w:type="dxa"/>
            <w:bottom w:w="0" w:type="dxa"/>
            <w:right w:w="0" w:type="dxa"/>
          </w:tblCellMar>
        </w:tblPrEx>
        <w:trPr>
          <w:trHeight w:val="495" w:hRule="atLeast"/>
        </w:trPr>
        <w:tc>
          <w:tcPr>
            <w:tcW w:w="23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9</w:t>
            </w:r>
          </w:p>
        </w:tc>
        <w:tc>
          <w:tcPr>
            <w:tcW w:w="473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带搅拌机的设备要切断电源，并悬挂“有人检修，禁止合闸”标示牌</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left"/>
              <w:rPr>
                <w:rFonts w:ascii="宋体" w:hAnsi="宋体" w:eastAsia="宋体" w:cs="宋体"/>
                <w:color w:val="000000"/>
                <w:sz w:val="24"/>
                <w:szCs w:val="24"/>
              </w:rPr>
            </w:pPr>
          </w:p>
        </w:tc>
      </w:tr>
      <w:tr>
        <w:tblPrEx>
          <w:tblCellMar>
            <w:top w:w="0" w:type="dxa"/>
            <w:left w:w="0" w:type="dxa"/>
            <w:bottom w:w="0" w:type="dxa"/>
            <w:right w:w="0" w:type="dxa"/>
          </w:tblCellMar>
        </w:tblPrEx>
        <w:trPr>
          <w:trHeight w:val="495" w:hRule="atLeast"/>
        </w:trPr>
        <w:tc>
          <w:tcPr>
            <w:tcW w:w="23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10</w:t>
            </w:r>
          </w:p>
        </w:tc>
        <w:tc>
          <w:tcPr>
            <w:tcW w:w="473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现场应配备防毒面具、灭火器、应急照明、安全绳等应急物资</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left"/>
              <w:rPr>
                <w:rFonts w:ascii="宋体" w:hAnsi="宋体" w:eastAsia="宋体" w:cs="宋体"/>
                <w:color w:val="000000"/>
                <w:sz w:val="24"/>
                <w:szCs w:val="24"/>
              </w:rPr>
            </w:pPr>
          </w:p>
        </w:tc>
      </w:tr>
      <w:tr>
        <w:tblPrEx>
          <w:tblCellMar>
            <w:top w:w="0" w:type="dxa"/>
            <w:left w:w="0" w:type="dxa"/>
            <w:bottom w:w="0" w:type="dxa"/>
            <w:right w:w="0" w:type="dxa"/>
          </w:tblCellMar>
        </w:tblPrEx>
        <w:trPr>
          <w:trHeight w:val="495" w:hRule="atLeast"/>
        </w:trPr>
        <w:tc>
          <w:tcPr>
            <w:tcW w:w="23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11</w:t>
            </w:r>
          </w:p>
        </w:tc>
        <w:tc>
          <w:tcPr>
            <w:tcW w:w="473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有限空间进出口通道保持畅通，不得有阻碍人员进出的障碍物</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left"/>
              <w:rPr>
                <w:rFonts w:ascii="宋体" w:hAnsi="宋体" w:eastAsia="宋体" w:cs="宋体"/>
                <w:color w:val="000000"/>
                <w:sz w:val="24"/>
                <w:szCs w:val="24"/>
              </w:rPr>
            </w:pPr>
          </w:p>
        </w:tc>
      </w:tr>
      <w:tr>
        <w:tblPrEx>
          <w:tblCellMar>
            <w:top w:w="0" w:type="dxa"/>
            <w:left w:w="0" w:type="dxa"/>
            <w:bottom w:w="0" w:type="dxa"/>
            <w:right w:w="0" w:type="dxa"/>
          </w:tblCellMar>
        </w:tblPrEx>
        <w:trPr>
          <w:trHeight w:val="1035" w:hRule="atLeast"/>
        </w:trPr>
        <w:tc>
          <w:tcPr>
            <w:tcW w:w="23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12</w:t>
            </w:r>
          </w:p>
        </w:tc>
        <w:tc>
          <w:tcPr>
            <w:tcW w:w="473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widowControl/>
              <w:jc w:val="left"/>
              <w:textAlignment w:val="top"/>
              <w:rPr>
                <w:rFonts w:ascii="宋体" w:hAnsi="宋体" w:eastAsia="宋体" w:cs="宋体"/>
                <w:color w:val="000000"/>
                <w:sz w:val="24"/>
                <w:szCs w:val="24"/>
              </w:rPr>
            </w:pPr>
            <w:r>
              <w:rPr>
                <w:rFonts w:hint="eastAsia" w:ascii="宋体" w:hAnsi="宋体" w:eastAsia="宋体" w:cs="宋体"/>
                <w:color w:val="000000"/>
                <w:kern w:val="0"/>
                <w:sz w:val="24"/>
                <w:szCs w:val="24"/>
                <w:lang w:bidi="ar"/>
              </w:rPr>
              <w:t>其他安全措施：</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4"/>
                <w:szCs w:val="24"/>
              </w:rPr>
            </w:pPr>
          </w:p>
        </w:tc>
      </w:tr>
      <w:tr>
        <w:tblPrEx>
          <w:tblCellMar>
            <w:top w:w="0" w:type="dxa"/>
            <w:left w:w="0" w:type="dxa"/>
            <w:bottom w:w="0" w:type="dxa"/>
            <w:right w:w="0" w:type="dxa"/>
          </w:tblCellMar>
        </w:tblPrEx>
        <w:trPr>
          <w:trHeight w:val="420" w:hRule="atLeast"/>
        </w:trPr>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作业现场负责人意见：</w:t>
            </w:r>
          </w:p>
        </w:tc>
        <w:tc>
          <w:tcPr>
            <w:tcW w:w="46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作业区域负责人意见：</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EHS意见：</w:t>
            </w:r>
          </w:p>
        </w:tc>
      </w:tr>
      <w:tr>
        <w:tblPrEx>
          <w:tblCellMar>
            <w:top w:w="0" w:type="dxa"/>
            <w:left w:w="0" w:type="dxa"/>
            <w:bottom w:w="0" w:type="dxa"/>
            <w:right w:w="0" w:type="dxa"/>
          </w:tblCellMar>
        </w:tblPrEx>
        <w:trPr>
          <w:trHeight w:val="1635" w:hRule="atLeast"/>
        </w:trPr>
        <w:tc>
          <w:tcPr>
            <w:tcW w:w="24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widowControl/>
              <w:jc w:val="left"/>
              <w:textAlignment w:val="bottom"/>
              <w:rPr>
                <w:rFonts w:ascii="宋体" w:hAnsi="宋体" w:eastAsia="宋体" w:cs="宋体"/>
                <w:color w:val="000000"/>
                <w:sz w:val="24"/>
                <w:szCs w:val="24"/>
              </w:rPr>
            </w:pPr>
            <w:r>
              <w:rPr>
                <w:rFonts w:hint="eastAsia" w:ascii="宋体" w:hAnsi="宋体" w:eastAsia="宋体" w:cs="宋体"/>
                <w:color w:val="000000"/>
                <w:kern w:val="0"/>
                <w:sz w:val="24"/>
                <w:szCs w:val="24"/>
                <w:lang w:bidi="ar"/>
              </w:rPr>
              <w:t xml:space="preserve">签字：                                            </w:t>
            </w:r>
          </w:p>
        </w:tc>
        <w:tc>
          <w:tcPr>
            <w:tcW w:w="46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widowControl/>
              <w:jc w:val="left"/>
              <w:textAlignment w:val="bottom"/>
              <w:rPr>
                <w:rFonts w:ascii="宋体" w:hAnsi="宋体" w:eastAsia="宋体" w:cs="宋体"/>
                <w:color w:val="000000"/>
                <w:sz w:val="24"/>
                <w:szCs w:val="24"/>
              </w:rPr>
            </w:pPr>
            <w:r>
              <w:rPr>
                <w:rFonts w:hint="eastAsia" w:ascii="宋体" w:hAnsi="宋体" w:eastAsia="宋体" w:cs="宋体"/>
                <w:color w:val="000000"/>
                <w:kern w:val="0"/>
                <w:sz w:val="24"/>
                <w:szCs w:val="24"/>
                <w:lang w:bidi="ar"/>
              </w:rPr>
              <w:t xml:space="preserve">签字：                                        </w:t>
            </w:r>
          </w:p>
        </w:tc>
        <w:tc>
          <w:tcPr>
            <w:tcW w:w="24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widowControl/>
              <w:jc w:val="left"/>
              <w:textAlignment w:val="bottom"/>
              <w:rPr>
                <w:rFonts w:ascii="宋体" w:hAnsi="宋体" w:eastAsia="宋体" w:cs="宋体"/>
                <w:color w:val="000000"/>
                <w:sz w:val="24"/>
                <w:szCs w:val="24"/>
              </w:rPr>
            </w:pPr>
            <w:r>
              <w:rPr>
                <w:rFonts w:hint="eastAsia" w:ascii="宋体" w:hAnsi="宋体" w:eastAsia="宋体" w:cs="宋体"/>
                <w:color w:val="000000"/>
                <w:kern w:val="0"/>
                <w:sz w:val="24"/>
                <w:szCs w:val="24"/>
                <w:lang w:bidi="ar"/>
              </w:rPr>
              <w:t xml:space="preserve">签字：                        </w:t>
            </w:r>
          </w:p>
        </w:tc>
      </w:tr>
      <w:tr>
        <w:trPr>
          <w:trHeight w:val="675" w:hRule="atLeast"/>
        </w:trPr>
        <w:tc>
          <w:tcPr>
            <w:tcW w:w="944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有限空间作业人员签字：</w:t>
            </w:r>
          </w:p>
        </w:tc>
      </w:tr>
      <w:tr>
        <w:tblPrEx>
          <w:tblCellMar>
            <w:top w:w="0" w:type="dxa"/>
            <w:left w:w="0" w:type="dxa"/>
            <w:bottom w:w="0" w:type="dxa"/>
            <w:right w:w="0" w:type="dxa"/>
          </w:tblCellMar>
        </w:tblPrEx>
        <w:trPr>
          <w:trHeight w:val="1080" w:hRule="atLeast"/>
        </w:trPr>
        <w:tc>
          <w:tcPr>
            <w:tcW w:w="944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说明：1、有限空间作业申请人应在作业前至EHS办理有限空间作业审批，对不符合有限空间作业审批规定申请，不得办理有限空间作业许可证；                                                                                                                                                      2、此表一式二份，第一联由EHS留存，第二联由作业单位留存并悬挂作业现场。</w:t>
            </w:r>
          </w:p>
        </w:tc>
      </w:tr>
    </w:tbl>
    <w:p>
      <w:pPr>
        <w:spacing w:line="360" w:lineRule="auto"/>
        <w:ind w:firstLine="879"/>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p>
      <w:pPr>
        <w:spacing w:line="360" w:lineRule="auto"/>
        <w:ind w:firstLine="879"/>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p>
      <w:pPr>
        <w:spacing w:line="360" w:lineRule="auto"/>
        <w:ind w:firstLine="879"/>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p>
      <w:pPr>
        <w:spacing w:line="360" w:lineRule="auto"/>
        <w:ind w:firstLine="879"/>
        <w:jc w:val="center"/>
        <w:rPr>
          <w:rFonts w:ascii="宋体" w:hAnsi="宋体" w:eastAsia="宋体" w:cs="宋体"/>
          <w:color w:val="262626" w:themeColor="text1" w:themeTint="D9"/>
          <w:sz w:val="24"/>
          <w:szCs w:val="24"/>
          <w14:textFill>
            <w14:solidFill>
              <w14:schemeClr w14:val="tx1">
                <w14:lumMod w14:val="85000"/>
                <w14:lumOff w14:val="15000"/>
              </w14:schemeClr>
            </w14:solidFill>
          </w14:textFill>
        </w:rPr>
      </w:pPr>
    </w:p>
    <w:tbl>
      <w:tblPr>
        <w:tblStyle w:val="17"/>
        <w:tblpPr w:leftFromText="180" w:rightFromText="180" w:vertAnchor="text" w:horzAnchor="page" w:tblpXSpec="center" w:tblpY="493"/>
        <w:tblOverlap w:val="never"/>
        <w:tblW w:w="10517" w:type="dxa"/>
        <w:tblInd w:w="0" w:type="dxa"/>
        <w:tblLayout w:type="autofit"/>
        <w:tblCellMar>
          <w:top w:w="0" w:type="dxa"/>
          <w:left w:w="0" w:type="dxa"/>
          <w:bottom w:w="0" w:type="dxa"/>
          <w:right w:w="0" w:type="dxa"/>
        </w:tblCellMar>
      </w:tblPr>
      <w:tblGrid>
        <w:gridCol w:w="866"/>
        <w:gridCol w:w="1676"/>
        <w:gridCol w:w="1676"/>
        <w:gridCol w:w="1676"/>
        <w:gridCol w:w="1676"/>
        <w:gridCol w:w="1676"/>
        <w:gridCol w:w="1271"/>
      </w:tblGrid>
      <w:tr>
        <w:tblPrEx>
          <w:tblCellMar>
            <w:top w:w="0" w:type="dxa"/>
            <w:left w:w="0" w:type="dxa"/>
            <w:bottom w:w="0" w:type="dxa"/>
            <w:right w:w="0" w:type="dxa"/>
          </w:tblCellMar>
        </w:tblPrEx>
        <w:trPr>
          <w:trHeight w:val="800" w:hRule="atLeast"/>
        </w:trPr>
        <w:tc>
          <w:tcPr>
            <w:tcW w:w="10517" w:type="dxa"/>
            <w:gridSpan w:val="7"/>
            <w:tcBorders>
              <w:top w:val="nil"/>
              <w:left w:val="nil"/>
              <w:bottom w:val="nil"/>
              <w:right w:val="nil"/>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kern w:val="0"/>
                <w:sz w:val="32"/>
                <w:szCs w:val="32"/>
                <w:lang w:bidi="ar"/>
              </w:rPr>
            </w:pPr>
          </w:p>
          <w:p>
            <w:pPr>
              <w:widowControl/>
              <w:jc w:val="center"/>
              <w:textAlignment w:val="center"/>
              <w:rPr>
                <w:rFonts w:ascii="宋体" w:hAnsi="宋体" w:eastAsia="宋体" w:cs="宋体"/>
                <w:color w:val="000000"/>
                <w:kern w:val="0"/>
                <w:sz w:val="32"/>
                <w:szCs w:val="32"/>
                <w:lang w:bidi="ar"/>
              </w:rPr>
            </w:pPr>
          </w:p>
          <w:p>
            <w:pPr>
              <w:widowControl/>
              <w:jc w:val="center"/>
              <w:textAlignment w:val="center"/>
              <w:rPr>
                <w:rFonts w:ascii="宋体" w:hAnsi="宋体" w:eastAsia="宋体" w:cs="宋体"/>
                <w:color w:val="000000"/>
                <w:kern w:val="0"/>
                <w:sz w:val="32"/>
                <w:szCs w:val="32"/>
                <w:lang w:bidi="ar"/>
              </w:rPr>
            </w:pPr>
          </w:p>
          <w:p>
            <w:pPr>
              <w:widowControl/>
              <w:jc w:val="center"/>
              <w:textAlignment w:val="center"/>
              <w:rPr>
                <w:rFonts w:ascii="宋体" w:hAnsi="宋体" w:eastAsia="宋体" w:cs="宋体"/>
                <w:color w:val="000000"/>
                <w:kern w:val="0"/>
                <w:sz w:val="32"/>
                <w:szCs w:val="32"/>
                <w:lang w:bidi="ar"/>
              </w:rPr>
            </w:pPr>
          </w:p>
          <w:p>
            <w:pPr>
              <w:widowControl/>
              <w:jc w:val="center"/>
              <w:textAlignment w:val="center"/>
              <w:rPr>
                <w:rFonts w:ascii="宋体" w:hAnsi="宋体" w:eastAsia="宋体" w:cs="宋体"/>
                <w:color w:val="000000"/>
                <w:kern w:val="0"/>
                <w:sz w:val="32"/>
                <w:szCs w:val="32"/>
                <w:lang w:bidi="ar"/>
              </w:rPr>
            </w:pPr>
          </w:p>
          <w:p>
            <w:pPr>
              <w:widowControl/>
              <w:jc w:val="center"/>
              <w:textAlignment w:val="center"/>
              <w:rPr>
                <w:rFonts w:ascii="宋体" w:hAnsi="宋体" w:eastAsia="宋体" w:cs="宋体"/>
                <w:color w:val="000000"/>
                <w:kern w:val="0"/>
                <w:sz w:val="32"/>
                <w:szCs w:val="32"/>
                <w:lang w:bidi="ar"/>
              </w:rPr>
            </w:pPr>
          </w:p>
          <w:p>
            <w:pPr>
              <w:widowControl/>
              <w:jc w:val="center"/>
              <w:textAlignment w:val="center"/>
              <w:rPr>
                <w:rFonts w:ascii="宋体" w:hAnsi="宋体" w:eastAsia="宋体" w:cs="宋体"/>
                <w:color w:val="000000"/>
                <w:kern w:val="0"/>
                <w:sz w:val="32"/>
                <w:szCs w:val="32"/>
                <w:lang w:bidi="ar"/>
              </w:rPr>
            </w:pPr>
          </w:p>
          <w:p>
            <w:pPr>
              <w:widowControl/>
              <w:jc w:val="center"/>
              <w:textAlignment w:val="center"/>
              <w:rPr>
                <w:rFonts w:ascii="宋体" w:hAnsi="宋体" w:eastAsia="宋体" w:cs="宋体"/>
                <w:color w:val="000000"/>
                <w:kern w:val="0"/>
                <w:sz w:val="32"/>
                <w:szCs w:val="32"/>
                <w:lang w:bidi="ar"/>
              </w:rPr>
            </w:pPr>
          </w:p>
          <w:p>
            <w:pPr>
              <w:widowControl/>
              <w:jc w:val="center"/>
              <w:textAlignment w:val="center"/>
              <w:rPr>
                <w:rFonts w:ascii="宋体" w:hAnsi="宋体" w:eastAsia="宋体" w:cs="宋体"/>
                <w:color w:val="000000"/>
                <w:kern w:val="0"/>
                <w:sz w:val="32"/>
                <w:szCs w:val="32"/>
                <w:lang w:bidi="ar"/>
              </w:rPr>
            </w:pPr>
          </w:p>
          <w:p>
            <w:pPr>
              <w:widowControl/>
              <w:jc w:val="center"/>
              <w:textAlignment w:val="center"/>
              <w:rPr>
                <w:rFonts w:ascii="宋体" w:hAnsi="宋体" w:eastAsia="宋体" w:cs="宋体"/>
                <w:color w:val="000000"/>
                <w:kern w:val="0"/>
                <w:sz w:val="32"/>
                <w:szCs w:val="32"/>
                <w:lang w:bidi="ar"/>
              </w:rPr>
            </w:pPr>
          </w:p>
          <w:p>
            <w:pPr>
              <w:widowControl/>
              <w:jc w:val="center"/>
              <w:textAlignment w:val="center"/>
              <w:rPr>
                <w:rFonts w:ascii="宋体" w:hAnsi="宋体" w:eastAsia="宋体" w:cs="宋体"/>
                <w:color w:val="000000"/>
                <w:kern w:val="0"/>
                <w:sz w:val="32"/>
                <w:szCs w:val="32"/>
                <w:lang w:bidi="ar"/>
              </w:rPr>
            </w:pPr>
          </w:p>
          <w:p>
            <w:pPr>
              <w:widowControl/>
              <w:jc w:val="center"/>
              <w:textAlignment w:val="center"/>
              <w:rPr>
                <w:rFonts w:ascii="宋体" w:hAnsi="宋体" w:eastAsia="宋体" w:cs="宋体"/>
                <w:color w:val="000000"/>
                <w:kern w:val="0"/>
                <w:sz w:val="32"/>
                <w:szCs w:val="32"/>
                <w:lang w:bidi="ar"/>
              </w:rPr>
            </w:pPr>
          </w:p>
          <w:p>
            <w:pPr>
              <w:widowControl/>
              <w:textAlignment w:val="center"/>
              <w:rPr>
                <w:rFonts w:ascii="宋体" w:hAnsi="宋体" w:eastAsia="宋体" w:cs="宋体"/>
                <w:color w:val="000000"/>
                <w:kern w:val="0"/>
                <w:sz w:val="32"/>
                <w:szCs w:val="32"/>
                <w:lang w:bidi="ar"/>
              </w:rPr>
            </w:pPr>
          </w:p>
          <w:p>
            <w:pPr>
              <w:widowControl/>
              <w:jc w:val="center"/>
              <w:textAlignment w:val="center"/>
              <w:rPr>
                <w:rFonts w:ascii="宋体" w:hAnsi="宋体" w:eastAsia="宋体" w:cs="宋体"/>
                <w:b/>
                <w:bCs/>
                <w:color w:val="000000"/>
                <w:kern w:val="0"/>
                <w:sz w:val="32"/>
                <w:szCs w:val="32"/>
                <w:lang w:bidi="ar"/>
              </w:rPr>
            </w:pPr>
            <w:r>
              <w:rPr>
                <w:rFonts w:hint="eastAsia" w:ascii="宋体" w:hAnsi="宋体" w:eastAsia="宋体" w:cs="宋体"/>
                <w:b/>
                <w:bCs/>
                <w:color w:val="000000"/>
                <w:kern w:val="0"/>
                <w:sz w:val="32"/>
                <w:szCs w:val="32"/>
                <w:lang w:bidi="ar"/>
              </w:rPr>
              <w:t>09、有限空间气体检测记录</w:t>
            </w:r>
          </w:p>
          <w:p>
            <w:pPr>
              <w:widowControl/>
              <w:jc w:val="center"/>
              <w:textAlignment w:val="center"/>
              <w:rPr>
                <w:rFonts w:ascii="宋体" w:hAnsi="宋体" w:eastAsia="宋体" w:cs="宋体"/>
                <w:b/>
                <w:bCs/>
                <w:color w:val="000000"/>
                <w:kern w:val="0"/>
                <w:sz w:val="32"/>
                <w:szCs w:val="32"/>
                <w:lang w:bidi="ar"/>
              </w:rPr>
            </w:pPr>
          </w:p>
        </w:tc>
      </w:tr>
      <w:tr>
        <w:tblPrEx>
          <w:tblCellMar>
            <w:top w:w="0" w:type="dxa"/>
            <w:left w:w="0" w:type="dxa"/>
            <w:bottom w:w="0" w:type="dxa"/>
            <w:right w:w="0" w:type="dxa"/>
          </w:tblCellMar>
        </w:tblPrEx>
        <w:trPr>
          <w:trHeight w:val="6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工作内容</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作业单位</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检测时间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检测部位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气体种类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检测数值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是否超标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检测人</w:t>
            </w:r>
          </w:p>
        </w:tc>
      </w:tr>
      <w:tr>
        <w:tblPrEx>
          <w:tblCellMar>
            <w:top w:w="0" w:type="dxa"/>
            <w:left w:w="0" w:type="dxa"/>
            <w:bottom w:w="0" w:type="dxa"/>
            <w:right w:w="0"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rPr>
            </w:pPr>
          </w:p>
        </w:tc>
      </w:tr>
    </w:tbl>
    <w:p>
      <w:pPr>
        <w:spacing w:line="360" w:lineRule="auto"/>
        <w:ind w:firstLine="879"/>
        <w:rPr>
          <w:rFonts w:hint="eastAsia" w:ascii="宋体" w:hAnsi="宋体" w:eastAsia="宋体" w:cs="宋体"/>
          <w:color w:val="262626" w:themeColor="text1" w:themeTint="D9"/>
          <w:sz w:val="24"/>
          <w:szCs w:val="24"/>
          <w14:textFill>
            <w14:solidFill>
              <w14:schemeClr w14:val="tx1">
                <w14:lumMod w14:val="85000"/>
                <w14:lumOff w14:val="15000"/>
              </w14:schemeClr>
            </w14:solidFill>
          </w14:textFill>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A1384B"/>
    <w:multiLevelType w:val="singleLevel"/>
    <w:tmpl w:val="03A1384B"/>
    <w:lvl w:ilvl="0" w:tentative="0">
      <w:start w:val="8"/>
      <w:numFmt w:val="decimal"/>
      <w:suff w:val="nothing"/>
      <w:lvlText w:val="%1、"/>
      <w:lvlJc w:val="left"/>
    </w:lvl>
  </w:abstractNum>
  <w:abstractNum w:abstractNumId="1">
    <w:nsid w:val="09DE38B9"/>
    <w:multiLevelType w:val="multilevel"/>
    <w:tmpl w:val="09DE38B9"/>
    <w:lvl w:ilvl="0" w:tentative="0">
      <w:start w:val="1"/>
      <w:numFmt w:val="bullet"/>
      <w:lvlText w:val=""/>
      <w:lvlJc w:val="left"/>
      <w:pPr>
        <w:ind w:left="881" w:hanging="420"/>
      </w:pPr>
      <w:rPr>
        <w:rFonts w:hint="default" w:ascii="Wingdings" w:hAnsi="Wingdings"/>
      </w:rPr>
    </w:lvl>
    <w:lvl w:ilvl="1" w:tentative="0">
      <w:start w:val="1"/>
      <w:numFmt w:val="bullet"/>
      <w:lvlText w:val=""/>
      <w:lvlJc w:val="left"/>
      <w:pPr>
        <w:ind w:left="1301" w:hanging="420"/>
      </w:pPr>
      <w:rPr>
        <w:rFonts w:hint="default" w:ascii="Wingdings" w:hAnsi="Wingdings"/>
      </w:rPr>
    </w:lvl>
    <w:lvl w:ilvl="2" w:tentative="0">
      <w:start w:val="1"/>
      <w:numFmt w:val="bullet"/>
      <w:lvlText w:val=""/>
      <w:lvlJc w:val="left"/>
      <w:pPr>
        <w:ind w:left="1721" w:hanging="420"/>
      </w:pPr>
      <w:rPr>
        <w:rFonts w:hint="default" w:ascii="Wingdings" w:hAnsi="Wingdings"/>
      </w:rPr>
    </w:lvl>
    <w:lvl w:ilvl="3" w:tentative="0">
      <w:start w:val="1"/>
      <w:numFmt w:val="bullet"/>
      <w:lvlText w:val=""/>
      <w:lvlJc w:val="left"/>
      <w:pPr>
        <w:ind w:left="2141" w:hanging="420"/>
      </w:pPr>
      <w:rPr>
        <w:rFonts w:hint="default" w:ascii="Wingdings" w:hAnsi="Wingdings"/>
      </w:rPr>
    </w:lvl>
    <w:lvl w:ilvl="4" w:tentative="0">
      <w:start w:val="1"/>
      <w:numFmt w:val="bullet"/>
      <w:lvlText w:val=""/>
      <w:lvlJc w:val="left"/>
      <w:pPr>
        <w:ind w:left="2561" w:hanging="420"/>
      </w:pPr>
      <w:rPr>
        <w:rFonts w:hint="default" w:ascii="Wingdings" w:hAnsi="Wingdings"/>
      </w:rPr>
    </w:lvl>
    <w:lvl w:ilvl="5" w:tentative="0">
      <w:start w:val="1"/>
      <w:numFmt w:val="bullet"/>
      <w:lvlText w:val=""/>
      <w:lvlJc w:val="left"/>
      <w:pPr>
        <w:ind w:left="2981" w:hanging="420"/>
      </w:pPr>
      <w:rPr>
        <w:rFonts w:hint="default" w:ascii="Wingdings" w:hAnsi="Wingdings"/>
      </w:rPr>
    </w:lvl>
    <w:lvl w:ilvl="6" w:tentative="0">
      <w:start w:val="1"/>
      <w:numFmt w:val="bullet"/>
      <w:lvlText w:val=""/>
      <w:lvlJc w:val="left"/>
      <w:pPr>
        <w:ind w:left="3401" w:hanging="420"/>
      </w:pPr>
      <w:rPr>
        <w:rFonts w:hint="default" w:ascii="Wingdings" w:hAnsi="Wingdings"/>
      </w:rPr>
    </w:lvl>
    <w:lvl w:ilvl="7" w:tentative="0">
      <w:start w:val="1"/>
      <w:numFmt w:val="bullet"/>
      <w:lvlText w:val=""/>
      <w:lvlJc w:val="left"/>
      <w:pPr>
        <w:ind w:left="3821" w:hanging="420"/>
      </w:pPr>
      <w:rPr>
        <w:rFonts w:hint="default" w:ascii="Wingdings" w:hAnsi="Wingdings"/>
      </w:rPr>
    </w:lvl>
    <w:lvl w:ilvl="8" w:tentative="0">
      <w:start w:val="1"/>
      <w:numFmt w:val="bullet"/>
      <w:lvlText w:val=""/>
      <w:lvlJc w:val="left"/>
      <w:pPr>
        <w:ind w:left="4241" w:hanging="420"/>
      </w:pPr>
      <w:rPr>
        <w:rFonts w:hint="default" w:ascii="Wingdings" w:hAnsi="Wingdings"/>
      </w:rPr>
    </w:lvl>
  </w:abstractNum>
  <w:abstractNum w:abstractNumId="2">
    <w:nsid w:val="0AE367E9"/>
    <w:multiLevelType w:val="multilevel"/>
    <w:tmpl w:val="0AE367E9"/>
    <w:lvl w:ilvl="0" w:tentative="0">
      <w:start w:val="1"/>
      <w:numFmt w:val="none"/>
      <w:pStyle w:val="35"/>
      <w:suff w:val="nothing"/>
      <w:lvlText w:val="%1示例："/>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3">
    <w:nsid w:val="118C57EE"/>
    <w:multiLevelType w:val="multilevel"/>
    <w:tmpl w:val="118C57EE"/>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
    <w:nsid w:val="1DBF583A"/>
    <w:multiLevelType w:val="multilevel"/>
    <w:tmpl w:val="1DBF583A"/>
    <w:lvl w:ilvl="0" w:tentative="0">
      <w:start w:val="1"/>
      <w:numFmt w:val="decimal"/>
      <w:pStyle w:val="39"/>
      <w:suff w:val="nothing"/>
      <w:lvlText w:val="注%1："/>
      <w:lvlJc w:val="left"/>
      <w:pPr>
        <w:ind w:left="811" w:hanging="448"/>
      </w:pPr>
      <w:rPr>
        <w:rFonts w:hint="eastAsia" w:ascii="黑体" w:eastAsia="黑体"/>
        <w:b w:val="0"/>
        <w:i w:val="0"/>
        <w:sz w:val="18"/>
        <w:szCs w:val="18"/>
        <w:vertAlign w:val="baseline"/>
      </w:rPr>
    </w:lvl>
    <w:lvl w:ilvl="1" w:tentative="0">
      <w:start w:val="1"/>
      <w:numFmt w:val="lowerLetter"/>
      <w:lvlText w:val="%2)"/>
      <w:lvlJc w:val="left"/>
      <w:pPr>
        <w:tabs>
          <w:tab w:val="left" w:pos="180"/>
        </w:tabs>
        <w:ind w:left="1172" w:hanging="629"/>
      </w:pPr>
      <w:rPr>
        <w:rFonts w:hint="eastAsia"/>
        <w:vertAlign w:val="baseline"/>
      </w:rPr>
    </w:lvl>
    <w:lvl w:ilvl="2" w:tentative="0">
      <w:start w:val="1"/>
      <w:numFmt w:val="lowerRoman"/>
      <w:lvlText w:val="%3."/>
      <w:lvlJc w:val="right"/>
      <w:pPr>
        <w:tabs>
          <w:tab w:val="left" w:pos="180"/>
        </w:tabs>
        <w:ind w:left="1172" w:hanging="629"/>
      </w:pPr>
      <w:rPr>
        <w:rFonts w:hint="eastAsia"/>
        <w:vertAlign w:val="baseline"/>
      </w:rPr>
    </w:lvl>
    <w:lvl w:ilvl="3" w:tentative="0">
      <w:start w:val="1"/>
      <w:numFmt w:val="decimal"/>
      <w:lvlText w:val="%4."/>
      <w:lvlJc w:val="left"/>
      <w:pPr>
        <w:tabs>
          <w:tab w:val="left" w:pos="180"/>
        </w:tabs>
        <w:ind w:left="1172" w:hanging="629"/>
      </w:pPr>
      <w:rPr>
        <w:rFonts w:hint="eastAsia"/>
        <w:vertAlign w:val="baseline"/>
      </w:rPr>
    </w:lvl>
    <w:lvl w:ilvl="4" w:tentative="0">
      <w:start w:val="1"/>
      <w:numFmt w:val="lowerLetter"/>
      <w:lvlText w:val="%5)"/>
      <w:lvlJc w:val="left"/>
      <w:pPr>
        <w:tabs>
          <w:tab w:val="left" w:pos="180"/>
        </w:tabs>
        <w:ind w:left="1172" w:hanging="629"/>
      </w:pPr>
      <w:rPr>
        <w:rFonts w:hint="eastAsia"/>
        <w:vertAlign w:val="baseline"/>
      </w:rPr>
    </w:lvl>
    <w:lvl w:ilvl="5" w:tentative="0">
      <w:start w:val="1"/>
      <w:numFmt w:val="lowerRoman"/>
      <w:lvlText w:val="%6."/>
      <w:lvlJc w:val="right"/>
      <w:pPr>
        <w:tabs>
          <w:tab w:val="left" w:pos="180"/>
        </w:tabs>
        <w:ind w:left="1172" w:hanging="629"/>
      </w:pPr>
      <w:rPr>
        <w:rFonts w:hint="eastAsia"/>
        <w:vertAlign w:val="baseline"/>
      </w:rPr>
    </w:lvl>
    <w:lvl w:ilvl="6" w:tentative="0">
      <w:start w:val="1"/>
      <w:numFmt w:val="decimal"/>
      <w:lvlText w:val="%7."/>
      <w:lvlJc w:val="left"/>
      <w:pPr>
        <w:tabs>
          <w:tab w:val="left" w:pos="180"/>
        </w:tabs>
        <w:ind w:left="1172" w:hanging="629"/>
      </w:pPr>
      <w:rPr>
        <w:rFonts w:hint="eastAsia"/>
        <w:vertAlign w:val="baseline"/>
      </w:rPr>
    </w:lvl>
    <w:lvl w:ilvl="7" w:tentative="0">
      <w:start w:val="1"/>
      <w:numFmt w:val="lowerLetter"/>
      <w:lvlText w:val="%8)"/>
      <w:lvlJc w:val="left"/>
      <w:pPr>
        <w:tabs>
          <w:tab w:val="left" w:pos="180"/>
        </w:tabs>
        <w:ind w:left="1172" w:hanging="629"/>
      </w:pPr>
      <w:rPr>
        <w:rFonts w:hint="eastAsia"/>
        <w:vertAlign w:val="baseline"/>
      </w:rPr>
    </w:lvl>
    <w:lvl w:ilvl="8" w:tentative="0">
      <w:start w:val="1"/>
      <w:numFmt w:val="lowerRoman"/>
      <w:lvlText w:val="%9."/>
      <w:lvlJc w:val="right"/>
      <w:pPr>
        <w:tabs>
          <w:tab w:val="left" w:pos="180"/>
        </w:tabs>
        <w:ind w:left="1172" w:hanging="629"/>
      </w:pPr>
      <w:rPr>
        <w:rFonts w:hint="eastAsia"/>
        <w:vertAlign w:val="baseline"/>
      </w:rPr>
    </w:lvl>
  </w:abstractNum>
  <w:abstractNum w:abstractNumId="5">
    <w:nsid w:val="1FC91163"/>
    <w:multiLevelType w:val="multilevel"/>
    <w:tmpl w:val="1FC91163"/>
    <w:lvl w:ilvl="0" w:tentative="0">
      <w:start w:val="1"/>
      <w:numFmt w:val="decimal"/>
      <w:pStyle w:val="30"/>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29"/>
      <w:suff w:val="nothing"/>
      <w:lvlText w:val="%1.%2　"/>
      <w:lvlJc w:val="left"/>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14:shadow w14:blurRad="0" w14:dist="0" w14:dir="0" w14:sx="0" w14:sy="0" w14:kx="0" w14:ky="0" w14:algn="none">
          <w14:srgbClr w14:val="000000"/>
        </w14:shadow>
      </w:rPr>
    </w:lvl>
    <w:lvl w:ilvl="2" w:tentative="0">
      <w:start w:val="1"/>
      <w:numFmt w:val="decimal"/>
      <w:pStyle w:val="31"/>
      <w:suff w:val="nothing"/>
      <w:lvlText w:val="%1.%2.%3　"/>
      <w:lvlJc w:val="left"/>
      <w:pPr>
        <w:ind w:left="0" w:firstLine="0"/>
      </w:pPr>
      <w:rPr>
        <w:rFonts w:hint="eastAsia" w:ascii="黑体" w:hAnsi="Times New Roman" w:eastAsia="黑体"/>
        <w:b w:val="0"/>
        <w:i w:val="0"/>
        <w:sz w:val="21"/>
      </w:rPr>
    </w:lvl>
    <w:lvl w:ilvl="3" w:tentative="0">
      <w:start w:val="1"/>
      <w:numFmt w:val="decimal"/>
      <w:pStyle w:val="32"/>
      <w:suff w:val="nothing"/>
      <w:lvlText w:val="%1.%2.%3.%4　"/>
      <w:lvlJc w:val="left"/>
      <w:pPr>
        <w:ind w:left="0" w:firstLine="0"/>
      </w:pPr>
      <w:rPr>
        <w:rFonts w:hint="eastAsia" w:ascii="黑体" w:hAnsi="Times New Roman" w:eastAsia="黑体"/>
        <w:b w:val="0"/>
        <w:i w:val="0"/>
        <w:sz w:val="21"/>
      </w:rPr>
    </w:lvl>
    <w:lvl w:ilvl="4" w:tentative="0">
      <w:start w:val="1"/>
      <w:numFmt w:val="decimal"/>
      <w:pStyle w:val="33"/>
      <w:suff w:val="nothing"/>
      <w:lvlText w:val="%1.%2.%3.%4.%5　"/>
      <w:lvlJc w:val="left"/>
      <w:pPr>
        <w:ind w:left="0" w:firstLine="0"/>
      </w:pPr>
      <w:rPr>
        <w:rFonts w:hint="eastAsia" w:ascii="黑体" w:hAnsi="Times New Roman" w:eastAsia="黑体"/>
        <w:b w:val="0"/>
        <w:i w:val="0"/>
        <w:sz w:val="21"/>
      </w:rPr>
    </w:lvl>
    <w:lvl w:ilvl="5" w:tentative="0">
      <w:start w:val="1"/>
      <w:numFmt w:val="decimal"/>
      <w:pStyle w:val="34"/>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6">
    <w:nsid w:val="31792AA7"/>
    <w:multiLevelType w:val="multilevel"/>
    <w:tmpl w:val="31792AA7"/>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7">
    <w:nsid w:val="3C386477"/>
    <w:multiLevelType w:val="multilevel"/>
    <w:tmpl w:val="3C386477"/>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8">
    <w:nsid w:val="3D133097"/>
    <w:multiLevelType w:val="multilevel"/>
    <w:tmpl w:val="3D133097"/>
    <w:lvl w:ilvl="0" w:tentative="0">
      <w:start w:val="1"/>
      <w:numFmt w:val="bullet"/>
      <w:lvlText w:val=""/>
      <w:lvlJc w:val="left"/>
      <w:pPr>
        <w:ind w:left="905" w:hanging="420"/>
      </w:pPr>
      <w:rPr>
        <w:rFonts w:hint="default" w:ascii="Wingdings" w:hAnsi="Wingdings"/>
      </w:rPr>
    </w:lvl>
    <w:lvl w:ilvl="1" w:tentative="0">
      <w:start w:val="1"/>
      <w:numFmt w:val="bullet"/>
      <w:lvlText w:val=""/>
      <w:lvlJc w:val="left"/>
      <w:pPr>
        <w:ind w:left="1325" w:hanging="420"/>
      </w:pPr>
      <w:rPr>
        <w:rFonts w:hint="default" w:ascii="Wingdings" w:hAnsi="Wingdings"/>
      </w:rPr>
    </w:lvl>
    <w:lvl w:ilvl="2" w:tentative="0">
      <w:start w:val="1"/>
      <w:numFmt w:val="bullet"/>
      <w:lvlText w:val=""/>
      <w:lvlJc w:val="left"/>
      <w:pPr>
        <w:ind w:left="1745" w:hanging="420"/>
      </w:pPr>
      <w:rPr>
        <w:rFonts w:hint="default" w:ascii="Wingdings" w:hAnsi="Wingdings"/>
      </w:rPr>
    </w:lvl>
    <w:lvl w:ilvl="3" w:tentative="0">
      <w:start w:val="1"/>
      <w:numFmt w:val="bullet"/>
      <w:lvlText w:val=""/>
      <w:lvlJc w:val="left"/>
      <w:pPr>
        <w:ind w:left="2165" w:hanging="420"/>
      </w:pPr>
      <w:rPr>
        <w:rFonts w:hint="default" w:ascii="Wingdings" w:hAnsi="Wingdings"/>
      </w:rPr>
    </w:lvl>
    <w:lvl w:ilvl="4" w:tentative="0">
      <w:start w:val="1"/>
      <w:numFmt w:val="bullet"/>
      <w:lvlText w:val=""/>
      <w:lvlJc w:val="left"/>
      <w:pPr>
        <w:ind w:left="2585" w:hanging="420"/>
      </w:pPr>
      <w:rPr>
        <w:rFonts w:hint="default" w:ascii="Wingdings" w:hAnsi="Wingdings"/>
      </w:rPr>
    </w:lvl>
    <w:lvl w:ilvl="5" w:tentative="0">
      <w:start w:val="1"/>
      <w:numFmt w:val="bullet"/>
      <w:lvlText w:val=""/>
      <w:lvlJc w:val="left"/>
      <w:pPr>
        <w:ind w:left="3005" w:hanging="420"/>
      </w:pPr>
      <w:rPr>
        <w:rFonts w:hint="default" w:ascii="Wingdings" w:hAnsi="Wingdings"/>
      </w:rPr>
    </w:lvl>
    <w:lvl w:ilvl="6" w:tentative="0">
      <w:start w:val="1"/>
      <w:numFmt w:val="bullet"/>
      <w:lvlText w:val=""/>
      <w:lvlJc w:val="left"/>
      <w:pPr>
        <w:ind w:left="3425" w:hanging="420"/>
      </w:pPr>
      <w:rPr>
        <w:rFonts w:hint="default" w:ascii="Wingdings" w:hAnsi="Wingdings"/>
      </w:rPr>
    </w:lvl>
    <w:lvl w:ilvl="7" w:tentative="0">
      <w:start w:val="1"/>
      <w:numFmt w:val="bullet"/>
      <w:lvlText w:val=""/>
      <w:lvlJc w:val="left"/>
      <w:pPr>
        <w:ind w:left="3845" w:hanging="420"/>
      </w:pPr>
      <w:rPr>
        <w:rFonts w:hint="default" w:ascii="Wingdings" w:hAnsi="Wingdings"/>
      </w:rPr>
    </w:lvl>
    <w:lvl w:ilvl="8" w:tentative="0">
      <w:start w:val="1"/>
      <w:numFmt w:val="bullet"/>
      <w:lvlText w:val=""/>
      <w:lvlJc w:val="left"/>
      <w:pPr>
        <w:ind w:left="4265" w:hanging="420"/>
      </w:pPr>
      <w:rPr>
        <w:rFonts w:hint="default" w:ascii="Wingdings" w:hAnsi="Wingdings"/>
      </w:rPr>
    </w:lvl>
  </w:abstractNum>
  <w:abstractNum w:abstractNumId="9">
    <w:nsid w:val="3D5D4773"/>
    <w:multiLevelType w:val="multilevel"/>
    <w:tmpl w:val="3D5D4773"/>
    <w:lvl w:ilvl="0" w:tentative="0">
      <w:start w:val="1"/>
      <w:numFmt w:val="decimal"/>
      <w:lvlText w:val="%1)"/>
      <w:lvlJc w:val="left"/>
      <w:pPr>
        <w:ind w:left="1400" w:hanging="420"/>
      </w:pPr>
    </w:lvl>
    <w:lvl w:ilvl="1" w:tentative="0">
      <w:start w:val="1"/>
      <w:numFmt w:val="lowerLetter"/>
      <w:pStyle w:val="41"/>
      <w:lvlText w:val="%2)"/>
      <w:lvlJc w:val="left"/>
      <w:pPr>
        <w:ind w:left="1820" w:hanging="420"/>
      </w:pPr>
    </w:lvl>
    <w:lvl w:ilvl="2" w:tentative="0">
      <w:start w:val="1"/>
      <w:numFmt w:val="lowerRoman"/>
      <w:pStyle w:val="42"/>
      <w:lvlText w:val="%3."/>
      <w:lvlJc w:val="right"/>
      <w:pPr>
        <w:ind w:left="2240" w:hanging="420"/>
      </w:pPr>
    </w:lvl>
    <w:lvl w:ilvl="3" w:tentative="0">
      <w:start w:val="1"/>
      <w:numFmt w:val="decimal"/>
      <w:lvlText w:val="%4."/>
      <w:lvlJc w:val="left"/>
      <w:pPr>
        <w:ind w:left="2660" w:hanging="420"/>
      </w:pPr>
    </w:lvl>
    <w:lvl w:ilvl="4" w:tentative="0">
      <w:start w:val="1"/>
      <w:numFmt w:val="lowerLetter"/>
      <w:lvlText w:val="%5)"/>
      <w:lvlJc w:val="left"/>
      <w:pPr>
        <w:ind w:left="3080" w:hanging="420"/>
      </w:pPr>
    </w:lvl>
    <w:lvl w:ilvl="5" w:tentative="0">
      <w:start w:val="1"/>
      <w:numFmt w:val="lowerRoman"/>
      <w:lvlText w:val="%6."/>
      <w:lvlJc w:val="right"/>
      <w:pPr>
        <w:ind w:left="3500" w:hanging="420"/>
      </w:pPr>
    </w:lvl>
    <w:lvl w:ilvl="6" w:tentative="0">
      <w:start w:val="1"/>
      <w:numFmt w:val="decimal"/>
      <w:lvlText w:val="%7."/>
      <w:lvlJc w:val="left"/>
      <w:pPr>
        <w:ind w:left="3920" w:hanging="420"/>
      </w:pPr>
    </w:lvl>
    <w:lvl w:ilvl="7" w:tentative="0">
      <w:start w:val="1"/>
      <w:numFmt w:val="lowerLetter"/>
      <w:lvlText w:val="%8)"/>
      <w:lvlJc w:val="left"/>
      <w:pPr>
        <w:ind w:left="4340" w:hanging="420"/>
      </w:pPr>
    </w:lvl>
    <w:lvl w:ilvl="8" w:tentative="0">
      <w:start w:val="1"/>
      <w:numFmt w:val="lowerRoman"/>
      <w:lvlText w:val="%9."/>
      <w:lvlJc w:val="right"/>
      <w:pPr>
        <w:ind w:left="4760" w:hanging="420"/>
      </w:pPr>
    </w:lvl>
  </w:abstractNum>
  <w:abstractNum w:abstractNumId="10">
    <w:nsid w:val="44C50F90"/>
    <w:multiLevelType w:val="multilevel"/>
    <w:tmpl w:val="44C50F90"/>
    <w:lvl w:ilvl="0" w:tentative="0">
      <w:start w:val="1"/>
      <w:numFmt w:val="lowerLetter"/>
      <w:pStyle w:val="37"/>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pStyle w:val="36"/>
      <w:lvlText w:val="%2)"/>
      <w:lvlJc w:val="left"/>
      <w:pPr>
        <w:tabs>
          <w:tab w:val="left" w:pos="1259"/>
        </w:tabs>
        <w:ind w:left="1259" w:hanging="420"/>
      </w:pPr>
      <w:rPr>
        <w:rFonts w:hint="eastAsia" w:ascii="宋体" w:hAnsi="宋体" w:eastAsia="宋体"/>
        <w:b w:val="0"/>
        <w:i w:val="0"/>
        <w:sz w:val="20"/>
      </w:rPr>
    </w:lvl>
    <w:lvl w:ilvl="2" w:tentative="0">
      <w:start w:val="1"/>
      <w:numFmt w:val="decimal"/>
      <w:pStyle w:val="38"/>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rPr>
    </w:lvl>
    <w:lvl w:ilvl="4" w:tentative="0">
      <w:start w:val="1"/>
      <w:numFmt w:val="lowerLetter"/>
      <w:lvlText w:val="%5)"/>
      <w:lvlJc w:val="left"/>
      <w:pPr>
        <w:tabs>
          <w:tab w:val="left" w:pos="2517"/>
        </w:tabs>
        <w:ind w:left="2517" w:hanging="419"/>
      </w:pPr>
      <w:rPr>
        <w:rFonts w:hint="eastAsia"/>
      </w:rPr>
    </w:lvl>
    <w:lvl w:ilvl="5" w:tentative="0">
      <w:start w:val="1"/>
      <w:numFmt w:val="lowerRoman"/>
      <w:lvlText w:val="%6."/>
      <w:lvlJc w:val="right"/>
      <w:pPr>
        <w:tabs>
          <w:tab w:val="left" w:pos="2942"/>
        </w:tabs>
        <w:ind w:left="2937" w:hanging="420"/>
      </w:pPr>
      <w:rPr>
        <w:rFonts w:hint="eastAsia"/>
      </w:rPr>
    </w:lvl>
    <w:lvl w:ilvl="6" w:tentative="0">
      <w:start w:val="1"/>
      <w:numFmt w:val="decimal"/>
      <w:lvlText w:val="%7."/>
      <w:lvlJc w:val="left"/>
      <w:pPr>
        <w:tabs>
          <w:tab w:val="left" w:pos="3362"/>
        </w:tabs>
        <w:ind w:left="3356" w:hanging="414"/>
      </w:pPr>
      <w:rPr>
        <w:rFonts w:hint="eastAsia"/>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abstractNum w:abstractNumId="11">
    <w:nsid w:val="49051956"/>
    <w:multiLevelType w:val="multilevel"/>
    <w:tmpl w:val="49051956"/>
    <w:lvl w:ilvl="0" w:tentative="0">
      <w:start w:val="1"/>
      <w:numFmt w:val="bullet"/>
      <w:lvlText w:val=""/>
      <w:lvlJc w:val="left"/>
      <w:pPr>
        <w:ind w:left="495" w:hanging="420"/>
      </w:pPr>
      <w:rPr>
        <w:rFonts w:hint="default" w:ascii="Wingdings" w:hAnsi="Wingdings"/>
      </w:rPr>
    </w:lvl>
    <w:lvl w:ilvl="1" w:tentative="0">
      <w:start w:val="1"/>
      <w:numFmt w:val="bullet"/>
      <w:lvlText w:val=""/>
      <w:lvlJc w:val="left"/>
      <w:pPr>
        <w:ind w:left="915" w:hanging="420"/>
      </w:pPr>
      <w:rPr>
        <w:rFonts w:hint="default" w:ascii="Wingdings" w:hAnsi="Wingdings"/>
      </w:rPr>
    </w:lvl>
    <w:lvl w:ilvl="2" w:tentative="0">
      <w:start w:val="1"/>
      <w:numFmt w:val="bullet"/>
      <w:lvlText w:val=""/>
      <w:lvlJc w:val="left"/>
      <w:pPr>
        <w:ind w:left="1335" w:hanging="420"/>
      </w:pPr>
      <w:rPr>
        <w:rFonts w:hint="default" w:ascii="Wingdings" w:hAnsi="Wingdings"/>
      </w:rPr>
    </w:lvl>
    <w:lvl w:ilvl="3" w:tentative="0">
      <w:start w:val="1"/>
      <w:numFmt w:val="bullet"/>
      <w:lvlText w:val=""/>
      <w:lvlJc w:val="left"/>
      <w:pPr>
        <w:ind w:left="1755" w:hanging="420"/>
      </w:pPr>
      <w:rPr>
        <w:rFonts w:hint="default" w:ascii="Wingdings" w:hAnsi="Wingdings"/>
      </w:rPr>
    </w:lvl>
    <w:lvl w:ilvl="4" w:tentative="0">
      <w:start w:val="1"/>
      <w:numFmt w:val="bullet"/>
      <w:lvlText w:val=""/>
      <w:lvlJc w:val="left"/>
      <w:pPr>
        <w:ind w:left="2175" w:hanging="420"/>
      </w:pPr>
      <w:rPr>
        <w:rFonts w:hint="default" w:ascii="Wingdings" w:hAnsi="Wingdings"/>
      </w:rPr>
    </w:lvl>
    <w:lvl w:ilvl="5" w:tentative="0">
      <w:start w:val="1"/>
      <w:numFmt w:val="bullet"/>
      <w:lvlText w:val=""/>
      <w:lvlJc w:val="left"/>
      <w:pPr>
        <w:ind w:left="2595" w:hanging="420"/>
      </w:pPr>
      <w:rPr>
        <w:rFonts w:hint="default" w:ascii="Wingdings" w:hAnsi="Wingdings"/>
      </w:rPr>
    </w:lvl>
    <w:lvl w:ilvl="6" w:tentative="0">
      <w:start w:val="1"/>
      <w:numFmt w:val="bullet"/>
      <w:lvlText w:val=""/>
      <w:lvlJc w:val="left"/>
      <w:pPr>
        <w:ind w:left="3015" w:hanging="420"/>
      </w:pPr>
      <w:rPr>
        <w:rFonts w:hint="default" w:ascii="Wingdings" w:hAnsi="Wingdings"/>
      </w:rPr>
    </w:lvl>
    <w:lvl w:ilvl="7" w:tentative="0">
      <w:start w:val="1"/>
      <w:numFmt w:val="bullet"/>
      <w:lvlText w:val=""/>
      <w:lvlJc w:val="left"/>
      <w:pPr>
        <w:ind w:left="3435" w:hanging="420"/>
      </w:pPr>
      <w:rPr>
        <w:rFonts w:hint="default" w:ascii="Wingdings" w:hAnsi="Wingdings"/>
      </w:rPr>
    </w:lvl>
    <w:lvl w:ilvl="8" w:tentative="0">
      <w:start w:val="1"/>
      <w:numFmt w:val="bullet"/>
      <w:lvlText w:val=""/>
      <w:lvlJc w:val="left"/>
      <w:pPr>
        <w:ind w:left="3855" w:hanging="420"/>
      </w:pPr>
      <w:rPr>
        <w:rFonts w:hint="default" w:ascii="Wingdings" w:hAnsi="Wingdings"/>
      </w:rPr>
    </w:lvl>
  </w:abstractNum>
  <w:abstractNum w:abstractNumId="12">
    <w:nsid w:val="554F0B1B"/>
    <w:multiLevelType w:val="singleLevel"/>
    <w:tmpl w:val="554F0B1B"/>
    <w:lvl w:ilvl="0" w:tentative="0">
      <w:start w:val="1"/>
      <w:numFmt w:val="bullet"/>
      <w:lvlText w:val=""/>
      <w:lvlJc w:val="left"/>
      <w:pPr>
        <w:ind w:left="420" w:hanging="420"/>
      </w:pPr>
      <w:rPr>
        <w:rFonts w:hint="default" w:ascii="Wingdings" w:hAnsi="Wingdings"/>
      </w:rPr>
    </w:lvl>
  </w:abstractNum>
  <w:abstractNum w:abstractNumId="13">
    <w:nsid w:val="554F0BF6"/>
    <w:multiLevelType w:val="singleLevel"/>
    <w:tmpl w:val="554F0BF6"/>
    <w:lvl w:ilvl="0" w:tentative="0">
      <w:start w:val="1"/>
      <w:numFmt w:val="decimal"/>
      <w:suff w:val="nothing"/>
      <w:lvlText w:val="（%1）"/>
      <w:lvlJc w:val="left"/>
    </w:lvl>
  </w:abstractNum>
  <w:abstractNum w:abstractNumId="14">
    <w:nsid w:val="554F0C1D"/>
    <w:multiLevelType w:val="singleLevel"/>
    <w:tmpl w:val="554F0C1D"/>
    <w:lvl w:ilvl="0" w:tentative="0">
      <w:start w:val="1"/>
      <w:numFmt w:val="decimal"/>
      <w:suff w:val="nothing"/>
      <w:lvlText w:val="（%1）"/>
      <w:lvlJc w:val="left"/>
    </w:lvl>
  </w:abstractNum>
  <w:abstractNum w:abstractNumId="15">
    <w:nsid w:val="554F0C71"/>
    <w:multiLevelType w:val="singleLevel"/>
    <w:tmpl w:val="554F0C71"/>
    <w:lvl w:ilvl="0" w:tentative="0">
      <w:start w:val="1"/>
      <w:numFmt w:val="decimal"/>
      <w:suff w:val="nothing"/>
      <w:lvlText w:val="（%1）"/>
      <w:lvlJc w:val="left"/>
    </w:lvl>
  </w:abstractNum>
  <w:abstractNum w:abstractNumId="16">
    <w:nsid w:val="55507637"/>
    <w:multiLevelType w:val="singleLevel"/>
    <w:tmpl w:val="55507637"/>
    <w:lvl w:ilvl="0" w:tentative="0">
      <w:start w:val="5"/>
      <w:numFmt w:val="chineseCounting"/>
      <w:suff w:val="nothing"/>
      <w:lvlText w:val="%1、"/>
      <w:lvlJc w:val="left"/>
    </w:lvl>
  </w:abstractNum>
  <w:abstractNum w:abstractNumId="17">
    <w:nsid w:val="5CFA23D4"/>
    <w:multiLevelType w:val="multilevel"/>
    <w:tmpl w:val="5CFA23D4"/>
    <w:lvl w:ilvl="0" w:tentative="0">
      <w:start w:val="1"/>
      <w:numFmt w:val="bullet"/>
      <w:lvlText w:val=""/>
      <w:lvlJc w:val="left"/>
      <w:pPr>
        <w:ind w:left="845" w:hanging="420"/>
      </w:pPr>
      <w:rPr>
        <w:rFonts w:hint="default" w:ascii="Wingdings" w:hAnsi="Wingdings"/>
      </w:rPr>
    </w:lvl>
    <w:lvl w:ilvl="1" w:tentative="0">
      <w:start w:val="1"/>
      <w:numFmt w:val="bullet"/>
      <w:lvlText w:val=""/>
      <w:lvlJc w:val="left"/>
      <w:pPr>
        <w:ind w:left="1265" w:hanging="420"/>
      </w:pPr>
      <w:rPr>
        <w:rFonts w:hint="default" w:ascii="Wingdings" w:hAnsi="Wingdings"/>
      </w:rPr>
    </w:lvl>
    <w:lvl w:ilvl="2" w:tentative="0">
      <w:start w:val="1"/>
      <w:numFmt w:val="bullet"/>
      <w:lvlText w:val=""/>
      <w:lvlJc w:val="left"/>
      <w:pPr>
        <w:ind w:left="1685" w:hanging="420"/>
      </w:pPr>
      <w:rPr>
        <w:rFonts w:hint="default" w:ascii="Wingdings" w:hAnsi="Wingdings"/>
      </w:rPr>
    </w:lvl>
    <w:lvl w:ilvl="3" w:tentative="0">
      <w:start w:val="1"/>
      <w:numFmt w:val="bullet"/>
      <w:lvlText w:val=""/>
      <w:lvlJc w:val="left"/>
      <w:pPr>
        <w:ind w:left="2105" w:hanging="420"/>
      </w:pPr>
      <w:rPr>
        <w:rFonts w:hint="default" w:ascii="Wingdings" w:hAnsi="Wingdings"/>
      </w:rPr>
    </w:lvl>
    <w:lvl w:ilvl="4" w:tentative="0">
      <w:start w:val="1"/>
      <w:numFmt w:val="bullet"/>
      <w:lvlText w:val=""/>
      <w:lvlJc w:val="left"/>
      <w:pPr>
        <w:ind w:left="2525" w:hanging="420"/>
      </w:pPr>
      <w:rPr>
        <w:rFonts w:hint="default" w:ascii="Wingdings" w:hAnsi="Wingdings"/>
      </w:rPr>
    </w:lvl>
    <w:lvl w:ilvl="5" w:tentative="0">
      <w:start w:val="1"/>
      <w:numFmt w:val="bullet"/>
      <w:lvlText w:val=""/>
      <w:lvlJc w:val="left"/>
      <w:pPr>
        <w:ind w:left="2945" w:hanging="420"/>
      </w:pPr>
      <w:rPr>
        <w:rFonts w:hint="default" w:ascii="Wingdings" w:hAnsi="Wingdings"/>
      </w:rPr>
    </w:lvl>
    <w:lvl w:ilvl="6" w:tentative="0">
      <w:start w:val="1"/>
      <w:numFmt w:val="bullet"/>
      <w:lvlText w:val=""/>
      <w:lvlJc w:val="left"/>
      <w:pPr>
        <w:ind w:left="3365" w:hanging="420"/>
      </w:pPr>
      <w:rPr>
        <w:rFonts w:hint="default" w:ascii="Wingdings" w:hAnsi="Wingdings"/>
      </w:rPr>
    </w:lvl>
    <w:lvl w:ilvl="7" w:tentative="0">
      <w:start w:val="1"/>
      <w:numFmt w:val="bullet"/>
      <w:lvlText w:val=""/>
      <w:lvlJc w:val="left"/>
      <w:pPr>
        <w:ind w:left="3785" w:hanging="420"/>
      </w:pPr>
      <w:rPr>
        <w:rFonts w:hint="default" w:ascii="Wingdings" w:hAnsi="Wingdings"/>
      </w:rPr>
    </w:lvl>
    <w:lvl w:ilvl="8" w:tentative="0">
      <w:start w:val="1"/>
      <w:numFmt w:val="bullet"/>
      <w:lvlText w:val=""/>
      <w:lvlJc w:val="left"/>
      <w:pPr>
        <w:ind w:left="4205" w:hanging="420"/>
      </w:pPr>
      <w:rPr>
        <w:rFonts w:hint="default" w:ascii="Wingdings" w:hAnsi="Wingdings"/>
      </w:rPr>
    </w:lvl>
  </w:abstractNum>
  <w:abstractNum w:abstractNumId="18">
    <w:nsid w:val="5ECA2C05"/>
    <w:multiLevelType w:val="multilevel"/>
    <w:tmpl w:val="5ECA2C05"/>
    <w:lvl w:ilvl="0" w:tentative="0">
      <w:start w:val="1"/>
      <w:numFmt w:val="decimalEnclosedCircle"/>
      <w:lvlText w:val="%1"/>
      <w:lvlJc w:val="left"/>
      <w:pPr>
        <w:ind w:left="667" w:hanging="360"/>
      </w:pPr>
      <w:rPr>
        <w:rFonts w:hint="default"/>
      </w:rPr>
    </w:lvl>
    <w:lvl w:ilvl="1" w:tentative="0">
      <w:start w:val="1"/>
      <w:numFmt w:val="lowerLetter"/>
      <w:lvlText w:val="%2)"/>
      <w:lvlJc w:val="left"/>
      <w:pPr>
        <w:ind w:left="1147" w:hanging="420"/>
      </w:pPr>
    </w:lvl>
    <w:lvl w:ilvl="2" w:tentative="0">
      <w:start w:val="1"/>
      <w:numFmt w:val="lowerRoman"/>
      <w:lvlText w:val="%3."/>
      <w:lvlJc w:val="right"/>
      <w:pPr>
        <w:ind w:left="1567" w:hanging="420"/>
      </w:pPr>
    </w:lvl>
    <w:lvl w:ilvl="3" w:tentative="0">
      <w:start w:val="1"/>
      <w:numFmt w:val="decimal"/>
      <w:lvlText w:val="%4."/>
      <w:lvlJc w:val="left"/>
      <w:pPr>
        <w:ind w:left="1987" w:hanging="420"/>
      </w:pPr>
    </w:lvl>
    <w:lvl w:ilvl="4" w:tentative="0">
      <w:start w:val="1"/>
      <w:numFmt w:val="lowerLetter"/>
      <w:lvlText w:val="%5)"/>
      <w:lvlJc w:val="left"/>
      <w:pPr>
        <w:ind w:left="2407" w:hanging="420"/>
      </w:pPr>
    </w:lvl>
    <w:lvl w:ilvl="5" w:tentative="0">
      <w:start w:val="1"/>
      <w:numFmt w:val="lowerRoman"/>
      <w:lvlText w:val="%6."/>
      <w:lvlJc w:val="right"/>
      <w:pPr>
        <w:ind w:left="2827" w:hanging="420"/>
      </w:pPr>
    </w:lvl>
    <w:lvl w:ilvl="6" w:tentative="0">
      <w:start w:val="1"/>
      <w:numFmt w:val="decimal"/>
      <w:lvlText w:val="%7."/>
      <w:lvlJc w:val="left"/>
      <w:pPr>
        <w:ind w:left="3247" w:hanging="420"/>
      </w:pPr>
    </w:lvl>
    <w:lvl w:ilvl="7" w:tentative="0">
      <w:start w:val="1"/>
      <w:numFmt w:val="lowerLetter"/>
      <w:lvlText w:val="%8)"/>
      <w:lvlJc w:val="left"/>
      <w:pPr>
        <w:ind w:left="3667" w:hanging="420"/>
      </w:pPr>
    </w:lvl>
    <w:lvl w:ilvl="8" w:tentative="0">
      <w:start w:val="1"/>
      <w:numFmt w:val="lowerRoman"/>
      <w:lvlText w:val="%9."/>
      <w:lvlJc w:val="right"/>
      <w:pPr>
        <w:ind w:left="4087" w:hanging="420"/>
      </w:pPr>
    </w:lvl>
  </w:abstractNum>
  <w:abstractNum w:abstractNumId="19">
    <w:nsid w:val="657D3FBC"/>
    <w:multiLevelType w:val="multilevel"/>
    <w:tmpl w:val="657D3FBC"/>
    <w:lvl w:ilvl="0" w:tentative="0">
      <w:start w:val="1"/>
      <w:numFmt w:val="upperLetter"/>
      <w:pStyle w:val="43"/>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48"/>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49"/>
      <w:suff w:val="nothing"/>
      <w:lvlText w:val="%1.%2.%3　"/>
      <w:lvlJc w:val="left"/>
      <w:pPr>
        <w:ind w:left="0" w:firstLine="0"/>
      </w:pPr>
      <w:rPr>
        <w:rFonts w:hint="eastAsia" w:ascii="黑体" w:hAnsi="Times New Roman" w:eastAsia="黑体"/>
        <w:b w:val="0"/>
        <w:i w:val="0"/>
        <w:sz w:val="21"/>
      </w:rPr>
    </w:lvl>
    <w:lvl w:ilvl="3" w:tentative="0">
      <w:start w:val="1"/>
      <w:numFmt w:val="decimal"/>
      <w:pStyle w:val="44"/>
      <w:suff w:val="nothing"/>
      <w:lvlText w:val="%1.%2.%3.%4　"/>
      <w:lvlJc w:val="left"/>
      <w:pPr>
        <w:ind w:left="0" w:firstLine="0"/>
      </w:pPr>
      <w:rPr>
        <w:rFonts w:hint="eastAsia" w:ascii="黑体" w:hAnsi="Times New Roman" w:eastAsia="黑体"/>
        <w:b w:val="0"/>
        <w:i w:val="0"/>
        <w:sz w:val="21"/>
      </w:rPr>
    </w:lvl>
    <w:lvl w:ilvl="4" w:tentative="0">
      <w:start w:val="1"/>
      <w:numFmt w:val="decimal"/>
      <w:pStyle w:val="45"/>
      <w:suff w:val="nothing"/>
      <w:lvlText w:val="%1.%2.%3.%4.%5　"/>
      <w:lvlJc w:val="left"/>
      <w:pPr>
        <w:ind w:left="0" w:firstLine="0"/>
      </w:pPr>
      <w:rPr>
        <w:rFonts w:hint="eastAsia" w:ascii="黑体" w:hAnsi="Times New Roman" w:eastAsia="黑体"/>
        <w:b w:val="0"/>
        <w:i w:val="0"/>
        <w:sz w:val="21"/>
      </w:rPr>
    </w:lvl>
    <w:lvl w:ilvl="5" w:tentative="0">
      <w:start w:val="1"/>
      <w:numFmt w:val="decimal"/>
      <w:pStyle w:val="46"/>
      <w:suff w:val="nothing"/>
      <w:lvlText w:val="%1.%2.%3.%4.%5.%6　"/>
      <w:lvlJc w:val="left"/>
      <w:pPr>
        <w:ind w:left="0" w:firstLine="0"/>
      </w:pPr>
      <w:rPr>
        <w:rFonts w:hint="eastAsia" w:ascii="黑体" w:hAnsi="Times New Roman" w:eastAsia="黑体"/>
        <w:b w:val="0"/>
        <w:i w:val="0"/>
        <w:sz w:val="21"/>
      </w:rPr>
    </w:lvl>
    <w:lvl w:ilvl="6" w:tentative="0">
      <w:start w:val="1"/>
      <w:numFmt w:val="decimal"/>
      <w:pStyle w:val="47"/>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0">
    <w:nsid w:val="7D684812"/>
    <w:multiLevelType w:val="multilevel"/>
    <w:tmpl w:val="7D684812"/>
    <w:lvl w:ilvl="0" w:tentative="0">
      <w:start w:val="1"/>
      <w:numFmt w:val="decimalEnclosedCircle"/>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5"/>
  </w:num>
  <w:num w:numId="2">
    <w:abstractNumId w:val="2"/>
  </w:num>
  <w:num w:numId="3">
    <w:abstractNumId w:val="10"/>
  </w:num>
  <w:num w:numId="4">
    <w:abstractNumId w:val="4"/>
  </w:num>
  <w:num w:numId="5">
    <w:abstractNumId w:val="9"/>
  </w:num>
  <w:num w:numId="6">
    <w:abstractNumId w:val="19"/>
  </w:num>
  <w:num w:numId="7">
    <w:abstractNumId w:val="0"/>
  </w:num>
  <w:num w:numId="8">
    <w:abstractNumId w:val="18"/>
  </w:num>
  <w:num w:numId="9">
    <w:abstractNumId w:val="20"/>
  </w:num>
  <w:num w:numId="10">
    <w:abstractNumId w:val="1"/>
  </w:num>
  <w:num w:numId="11">
    <w:abstractNumId w:val="17"/>
  </w:num>
  <w:num w:numId="12">
    <w:abstractNumId w:val="3"/>
  </w:num>
  <w:num w:numId="13">
    <w:abstractNumId w:val="8"/>
  </w:num>
  <w:num w:numId="14">
    <w:abstractNumId w:val="7"/>
  </w:num>
  <w:num w:numId="15">
    <w:abstractNumId w:val="6"/>
  </w:num>
  <w:num w:numId="16">
    <w:abstractNumId w:val="12"/>
  </w:num>
  <w:num w:numId="17">
    <w:abstractNumId w:val="13"/>
  </w:num>
  <w:num w:numId="18">
    <w:abstractNumId w:val="11"/>
  </w:num>
  <w:num w:numId="19">
    <w:abstractNumId w:val="14"/>
  </w:num>
  <w:num w:numId="20">
    <w:abstractNumId w:val="15"/>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A03"/>
    <w:rsid w:val="000830A7"/>
    <w:rsid w:val="00093C51"/>
    <w:rsid w:val="000F4EBA"/>
    <w:rsid w:val="00142E2B"/>
    <w:rsid w:val="001549E4"/>
    <w:rsid w:val="001937CE"/>
    <w:rsid w:val="001B0ECF"/>
    <w:rsid w:val="00205A03"/>
    <w:rsid w:val="0021179B"/>
    <w:rsid w:val="00211DE3"/>
    <w:rsid w:val="00224779"/>
    <w:rsid w:val="002479BC"/>
    <w:rsid w:val="00261796"/>
    <w:rsid w:val="002878C8"/>
    <w:rsid w:val="002B7549"/>
    <w:rsid w:val="004C4A4B"/>
    <w:rsid w:val="00510310"/>
    <w:rsid w:val="00527604"/>
    <w:rsid w:val="005840E6"/>
    <w:rsid w:val="005944F1"/>
    <w:rsid w:val="005E2D3E"/>
    <w:rsid w:val="006930AF"/>
    <w:rsid w:val="006C5030"/>
    <w:rsid w:val="007647F9"/>
    <w:rsid w:val="007A4616"/>
    <w:rsid w:val="007E4CED"/>
    <w:rsid w:val="00800006"/>
    <w:rsid w:val="00847CD1"/>
    <w:rsid w:val="008F68A5"/>
    <w:rsid w:val="0094256C"/>
    <w:rsid w:val="00965E44"/>
    <w:rsid w:val="009669B8"/>
    <w:rsid w:val="009875D8"/>
    <w:rsid w:val="009E6196"/>
    <w:rsid w:val="00A10256"/>
    <w:rsid w:val="00A7417E"/>
    <w:rsid w:val="00A8469C"/>
    <w:rsid w:val="00A855BF"/>
    <w:rsid w:val="00AA1E2C"/>
    <w:rsid w:val="00AF09D7"/>
    <w:rsid w:val="00B40D08"/>
    <w:rsid w:val="00BB5666"/>
    <w:rsid w:val="00C11FF2"/>
    <w:rsid w:val="00C953C9"/>
    <w:rsid w:val="00CA0D68"/>
    <w:rsid w:val="00CF6DB3"/>
    <w:rsid w:val="00DC1B0E"/>
    <w:rsid w:val="00DF652C"/>
    <w:rsid w:val="00E4308A"/>
    <w:rsid w:val="00E64857"/>
    <w:rsid w:val="00E92195"/>
    <w:rsid w:val="00FE3D0D"/>
    <w:rsid w:val="1081646B"/>
    <w:rsid w:val="38B7125E"/>
    <w:rsid w:val="3A2B20D0"/>
    <w:rsid w:val="44EC7FAB"/>
    <w:rsid w:val="692E59AE"/>
    <w:rsid w:val="6B9144EA"/>
    <w:rsid w:val="6C7F7B70"/>
    <w:rsid w:val="7A4314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1"/>
    <w:unhideWhenUsed/>
    <w:qFormat/>
    <w:uiPriority w:val="9"/>
    <w:pPr>
      <w:keepNext/>
      <w:keepLines/>
      <w:snapToGrid w:val="0"/>
      <w:spacing w:before="260" w:after="260" w:line="416" w:lineRule="auto"/>
      <w:ind w:firstLine="200" w:firstLineChars="200"/>
      <w:outlineLvl w:val="1"/>
    </w:pPr>
    <w:rPr>
      <w:rFonts w:ascii="Cambria" w:hAnsi="Cambria" w:eastAsia="宋体" w:cs="Times New Roman"/>
      <w:b/>
      <w:bCs/>
      <w:sz w:val="32"/>
      <w:szCs w:val="32"/>
    </w:rPr>
  </w:style>
  <w:style w:type="paragraph" w:styleId="4">
    <w:name w:val="heading 3"/>
    <w:basedOn w:val="1"/>
    <w:next w:val="1"/>
    <w:link w:val="22"/>
    <w:unhideWhenUsed/>
    <w:qFormat/>
    <w:uiPriority w:val="9"/>
    <w:pPr>
      <w:keepNext/>
      <w:keepLines/>
      <w:snapToGrid w:val="0"/>
      <w:spacing w:before="260" w:after="260" w:line="360" w:lineRule="auto"/>
      <w:ind w:firstLine="200" w:firstLineChars="200"/>
      <w:jc w:val="center"/>
      <w:outlineLvl w:val="2"/>
    </w:pPr>
    <w:rPr>
      <w:rFonts w:ascii="Calibri" w:hAnsi="Calibri" w:eastAsia="宋体" w:cs="Times New Roman"/>
      <w:b/>
      <w:bCs/>
      <w:sz w:val="32"/>
      <w:szCs w:val="32"/>
    </w:rPr>
  </w:style>
  <w:style w:type="paragraph" w:styleId="5">
    <w:name w:val="heading 4"/>
    <w:basedOn w:val="1"/>
    <w:next w:val="1"/>
    <w:link w:val="25"/>
    <w:unhideWhenUsed/>
    <w:qFormat/>
    <w:uiPriority w:val="9"/>
    <w:pPr>
      <w:keepNext/>
      <w:keepLines/>
      <w:snapToGrid w:val="0"/>
      <w:spacing w:before="280" w:after="290" w:line="360" w:lineRule="auto"/>
      <w:ind w:firstLine="200" w:firstLineChars="200"/>
      <w:outlineLvl w:val="3"/>
    </w:pPr>
    <w:rPr>
      <w:rFonts w:ascii="Cambria" w:hAnsi="Cambria" w:eastAsia="宋体" w:cs="Times New Roman"/>
      <w:b/>
      <w:bCs/>
      <w:sz w:val="28"/>
      <w:szCs w:val="28"/>
    </w:rPr>
  </w:style>
  <w:style w:type="paragraph" w:styleId="6">
    <w:name w:val="heading 5"/>
    <w:basedOn w:val="1"/>
    <w:next w:val="1"/>
    <w:link w:val="26"/>
    <w:unhideWhenUsed/>
    <w:qFormat/>
    <w:uiPriority w:val="9"/>
    <w:pPr>
      <w:keepNext/>
      <w:keepLines/>
      <w:snapToGrid w:val="0"/>
      <w:spacing w:before="280" w:after="290" w:line="312" w:lineRule="auto"/>
      <w:outlineLvl w:val="4"/>
    </w:pPr>
    <w:rPr>
      <w:rFonts w:ascii="Calibri" w:hAnsi="Calibri" w:eastAsia="宋体" w:cs="Times New Roman"/>
      <w:bCs/>
      <w:sz w:val="30"/>
      <w:szCs w:val="28"/>
    </w:rPr>
  </w:style>
  <w:style w:type="character" w:default="1" w:styleId="19">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7">
    <w:name w:val="Normal Indent"/>
    <w:basedOn w:val="1"/>
    <w:link w:val="52"/>
    <w:qFormat/>
    <w:uiPriority w:val="0"/>
    <w:pPr>
      <w:spacing w:line="440" w:lineRule="exact"/>
      <w:ind w:firstLine="200" w:firstLineChars="200"/>
    </w:pPr>
    <w:rPr>
      <w:rFonts w:ascii="Times New Roman" w:hAnsi="Times New Roman" w:eastAsia="仿宋_GB2312" w:cs="Times New Roman"/>
      <w:sz w:val="28"/>
      <w:szCs w:val="20"/>
      <w:lang w:val="zh-CN"/>
    </w:rPr>
  </w:style>
  <w:style w:type="paragraph" w:styleId="8">
    <w:name w:val="Body Text"/>
    <w:basedOn w:val="1"/>
    <w:link w:val="51"/>
    <w:qFormat/>
    <w:uiPriority w:val="0"/>
    <w:pPr>
      <w:widowControl/>
      <w:spacing w:before="100" w:beforeAutospacing="1" w:after="100" w:afterAutospacing="1"/>
      <w:jc w:val="left"/>
    </w:pPr>
    <w:rPr>
      <w:rFonts w:ascii="宋体" w:hAnsi="宋体" w:eastAsia="宋体" w:cs="Times New Roman"/>
      <w:kern w:val="0"/>
      <w:sz w:val="24"/>
      <w:szCs w:val="24"/>
      <w:lang w:val="zh-CN"/>
    </w:rPr>
  </w:style>
  <w:style w:type="paragraph" w:styleId="9">
    <w:name w:val="toc 3"/>
    <w:basedOn w:val="1"/>
    <w:next w:val="1"/>
    <w:unhideWhenUsed/>
    <w:qFormat/>
    <w:uiPriority w:val="39"/>
    <w:pPr>
      <w:tabs>
        <w:tab w:val="right" w:leader="dot" w:pos="8296"/>
      </w:tabs>
      <w:snapToGrid w:val="0"/>
      <w:ind w:right="397"/>
      <w:jc w:val="left"/>
    </w:pPr>
    <w:rPr>
      <w:rFonts w:ascii="Calibri" w:hAnsi="Calibri" w:eastAsia="宋体" w:cs="Times New Roman"/>
      <w:sz w:val="28"/>
      <w:szCs w:val="32"/>
    </w:rPr>
  </w:style>
  <w:style w:type="paragraph" w:styleId="10">
    <w:name w:val="Plain Text"/>
    <w:basedOn w:val="1"/>
    <w:link w:val="50"/>
    <w:qFormat/>
    <w:uiPriority w:val="0"/>
    <w:rPr>
      <w:rFonts w:ascii="宋体" w:hAnsi="Courier New" w:eastAsia="宋体" w:cs="Times New Roman"/>
      <w:szCs w:val="20"/>
    </w:rPr>
  </w:style>
  <w:style w:type="paragraph" w:styleId="11">
    <w:name w:val="Balloon Text"/>
    <w:basedOn w:val="1"/>
    <w:link w:val="55"/>
    <w:semiHidden/>
    <w:unhideWhenUsed/>
    <w:qFormat/>
    <w:uiPriority w:val="99"/>
    <w:rPr>
      <w:sz w:val="18"/>
      <w:szCs w:val="18"/>
    </w:rPr>
  </w:style>
  <w:style w:type="paragraph" w:styleId="12">
    <w:name w:val="footer"/>
    <w:basedOn w:val="1"/>
    <w:link w:val="24"/>
    <w:unhideWhenUsed/>
    <w:qFormat/>
    <w:uiPriority w:val="99"/>
    <w:pPr>
      <w:tabs>
        <w:tab w:val="center" w:pos="4153"/>
        <w:tab w:val="right" w:pos="8306"/>
      </w:tabs>
      <w:snapToGrid w:val="0"/>
      <w:jc w:val="left"/>
    </w:pPr>
    <w:rPr>
      <w:sz w:val="18"/>
      <w:szCs w:val="18"/>
    </w:rPr>
  </w:style>
  <w:style w:type="paragraph" w:styleId="13">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snapToGrid w:val="0"/>
      <w:spacing w:line="288" w:lineRule="auto"/>
      <w:ind w:firstLine="200" w:firstLineChars="200"/>
    </w:pPr>
    <w:rPr>
      <w:rFonts w:ascii="Calibri" w:hAnsi="Calibri" w:eastAsia="宋体" w:cs="Times New Roman"/>
      <w:sz w:val="28"/>
    </w:rPr>
  </w:style>
  <w:style w:type="paragraph" w:styleId="15">
    <w:name w:val="toc 4"/>
    <w:basedOn w:val="1"/>
    <w:next w:val="1"/>
    <w:unhideWhenUsed/>
    <w:qFormat/>
    <w:uiPriority w:val="39"/>
    <w:pPr>
      <w:tabs>
        <w:tab w:val="right" w:leader="dot" w:pos="8296"/>
      </w:tabs>
      <w:snapToGrid w:val="0"/>
      <w:spacing w:line="360" w:lineRule="exact"/>
      <w:ind w:firstLine="480" w:firstLineChars="200"/>
    </w:pPr>
    <w:rPr>
      <w:rFonts w:ascii="Calibri" w:hAnsi="Calibri" w:eastAsia="宋体" w:cs="Times New Roman"/>
      <w:sz w:val="28"/>
    </w:rPr>
  </w:style>
  <w:style w:type="paragraph" w:styleId="1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8">
    <w:name w:val="Table Grid"/>
    <w:basedOn w:val="1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Hyperlink"/>
    <w:basedOn w:val="19"/>
    <w:unhideWhenUsed/>
    <w:qFormat/>
    <w:uiPriority w:val="99"/>
    <w:rPr>
      <w:color w:val="0000FF"/>
      <w:sz w:val="24"/>
      <w:u w:val="single"/>
    </w:rPr>
  </w:style>
  <w:style w:type="character" w:customStyle="1" w:styleId="21">
    <w:name w:val="标题 2 字符"/>
    <w:basedOn w:val="19"/>
    <w:link w:val="3"/>
    <w:qFormat/>
    <w:uiPriority w:val="9"/>
    <w:rPr>
      <w:rFonts w:ascii="Cambria" w:hAnsi="Cambria" w:eastAsia="宋体" w:cs="Times New Roman"/>
      <w:b/>
      <w:bCs/>
      <w:sz w:val="32"/>
      <w:szCs w:val="32"/>
    </w:rPr>
  </w:style>
  <w:style w:type="character" w:customStyle="1" w:styleId="22">
    <w:name w:val="标题 3 字符"/>
    <w:basedOn w:val="19"/>
    <w:link w:val="4"/>
    <w:qFormat/>
    <w:uiPriority w:val="9"/>
    <w:rPr>
      <w:rFonts w:ascii="Calibri" w:hAnsi="Calibri" w:eastAsia="宋体" w:cs="Times New Roman"/>
      <w:b/>
      <w:bCs/>
      <w:sz w:val="32"/>
      <w:szCs w:val="32"/>
    </w:rPr>
  </w:style>
  <w:style w:type="character" w:customStyle="1" w:styleId="23">
    <w:name w:val="页眉 字符"/>
    <w:basedOn w:val="19"/>
    <w:link w:val="13"/>
    <w:qFormat/>
    <w:uiPriority w:val="99"/>
    <w:rPr>
      <w:sz w:val="18"/>
      <w:szCs w:val="18"/>
    </w:rPr>
  </w:style>
  <w:style w:type="character" w:customStyle="1" w:styleId="24">
    <w:name w:val="页脚 字符"/>
    <w:basedOn w:val="19"/>
    <w:link w:val="12"/>
    <w:qFormat/>
    <w:uiPriority w:val="99"/>
    <w:rPr>
      <w:sz w:val="18"/>
      <w:szCs w:val="18"/>
    </w:rPr>
  </w:style>
  <w:style w:type="character" w:customStyle="1" w:styleId="25">
    <w:name w:val="标题 4 字符"/>
    <w:basedOn w:val="19"/>
    <w:link w:val="5"/>
    <w:qFormat/>
    <w:uiPriority w:val="9"/>
    <w:rPr>
      <w:rFonts w:ascii="Cambria" w:hAnsi="Cambria" w:eastAsia="宋体" w:cs="Times New Roman"/>
      <w:b/>
      <w:bCs/>
      <w:sz w:val="28"/>
      <w:szCs w:val="28"/>
    </w:rPr>
  </w:style>
  <w:style w:type="character" w:customStyle="1" w:styleId="26">
    <w:name w:val="标题 5 字符"/>
    <w:basedOn w:val="19"/>
    <w:link w:val="6"/>
    <w:qFormat/>
    <w:uiPriority w:val="9"/>
    <w:rPr>
      <w:rFonts w:ascii="Calibri" w:hAnsi="Calibri" w:eastAsia="宋体" w:cs="Times New Roman"/>
      <w:bCs/>
      <w:sz w:val="30"/>
      <w:szCs w:val="28"/>
    </w:rPr>
  </w:style>
  <w:style w:type="paragraph" w:customStyle="1" w:styleId="27">
    <w:name w:val="段"/>
    <w:link w:val="28"/>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8">
    <w:name w:val="段 Char"/>
    <w:basedOn w:val="19"/>
    <w:link w:val="27"/>
    <w:qFormat/>
    <w:uiPriority w:val="0"/>
    <w:rPr>
      <w:rFonts w:ascii="宋体" w:hAnsi="Times New Roman" w:eastAsia="宋体" w:cs="Times New Roman"/>
      <w:kern w:val="0"/>
      <w:szCs w:val="20"/>
    </w:rPr>
  </w:style>
  <w:style w:type="paragraph" w:customStyle="1" w:styleId="29">
    <w:name w:val="一级条标题"/>
    <w:next w:val="27"/>
    <w:uiPriority w:val="0"/>
    <w:pPr>
      <w:numPr>
        <w:ilvl w:val="1"/>
        <w:numId w:val="1"/>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30">
    <w:name w:val="章标题"/>
    <w:next w:val="27"/>
    <w:uiPriority w:val="0"/>
    <w:pPr>
      <w:numPr>
        <w:ilvl w:val="0"/>
        <w:numId w:val="1"/>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31">
    <w:name w:val="二级条标题"/>
    <w:basedOn w:val="29"/>
    <w:next w:val="27"/>
    <w:qFormat/>
    <w:uiPriority w:val="0"/>
    <w:pPr>
      <w:numPr>
        <w:ilvl w:val="2"/>
      </w:numPr>
      <w:spacing w:before="50" w:after="50"/>
      <w:outlineLvl w:val="3"/>
    </w:pPr>
  </w:style>
  <w:style w:type="paragraph" w:customStyle="1" w:styleId="32">
    <w:name w:val="三级条标题"/>
    <w:basedOn w:val="31"/>
    <w:next w:val="27"/>
    <w:qFormat/>
    <w:uiPriority w:val="0"/>
    <w:pPr>
      <w:numPr>
        <w:ilvl w:val="3"/>
      </w:numPr>
      <w:outlineLvl w:val="4"/>
    </w:pPr>
  </w:style>
  <w:style w:type="paragraph" w:customStyle="1" w:styleId="33">
    <w:name w:val="四级条标题"/>
    <w:basedOn w:val="32"/>
    <w:next w:val="27"/>
    <w:qFormat/>
    <w:uiPriority w:val="0"/>
    <w:pPr>
      <w:numPr>
        <w:ilvl w:val="4"/>
      </w:numPr>
      <w:outlineLvl w:val="5"/>
    </w:pPr>
  </w:style>
  <w:style w:type="paragraph" w:customStyle="1" w:styleId="34">
    <w:name w:val="五级条标题"/>
    <w:basedOn w:val="33"/>
    <w:next w:val="27"/>
    <w:qFormat/>
    <w:uiPriority w:val="0"/>
    <w:pPr>
      <w:numPr>
        <w:ilvl w:val="5"/>
      </w:numPr>
      <w:outlineLvl w:val="6"/>
    </w:pPr>
  </w:style>
  <w:style w:type="paragraph" w:customStyle="1" w:styleId="35">
    <w:name w:val="示例"/>
    <w:next w:val="1"/>
    <w:qFormat/>
    <w:uiPriority w:val="0"/>
    <w:pPr>
      <w:widowControl w:val="0"/>
      <w:numPr>
        <w:ilvl w:val="0"/>
        <w:numId w:val="2"/>
      </w:numPr>
      <w:jc w:val="both"/>
    </w:pPr>
    <w:rPr>
      <w:rFonts w:ascii="宋体" w:hAnsi="Times New Roman" w:eastAsia="宋体" w:cs="Times New Roman"/>
      <w:sz w:val="18"/>
      <w:szCs w:val="18"/>
      <w:lang w:val="en-US" w:eastAsia="zh-CN" w:bidi="ar-SA"/>
    </w:rPr>
  </w:style>
  <w:style w:type="paragraph" w:customStyle="1" w:styleId="36">
    <w:name w:val="数字编号列项（二级）"/>
    <w:qFormat/>
    <w:uiPriority w:val="0"/>
    <w:pPr>
      <w:numPr>
        <w:ilvl w:val="1"/>
        <w:numId w:val="3"/>
      </w:numPr>
      <w:jc w:val="both"/>
    </w:pPr>
    <w:rPr>
      <w:rFonts w:ascii="宋体" w:hAnsi="Times New Roman" w:eastAsia="宋体" w:cs="Times New Roman"/>
      <w:sz w:val="21"/>
      <w:lang w:val="en-US" w:eastAsia="zh-CN" w:bidi="ar-SA"/>
    </w:rPr>
  </w:style>
  <w:style w:type="paragraph" w:customStyle="1" w:styleId="37">
    <w:name w:val="字母编号列项（一级）"/>
    <w:uiPriority w:val="0"/>
    <w:pPr>
      <w:numPr>
        <w:ilvl w:val="0"/>
        <w:numId w:val="3"/>
      </w:numPr>
      <w:jc w:val="both"/>
    </w:pPr>
    <w:rPr>
      <w:rFonts w:ascii="宋体" w:hAnsi="Times New Roman" w:eastAsia="宋体" w:cs="Times New Roman"/>
      <w:sz w:val="21"/>
      <w:lang w:val="en-US" w:eastAsia="zh-CN" w:bidi="ar-SA"/>
    </w:rPr>
  </w:style>
  <w:style w:type="paragraph" w:customStyle="1" w:styleId="38">
    <w:name w:val="编号列项（三级）"/>
    <w:uiPriority w:val="0"/>
    <w:pPr>
      <w:numPr>
        <w:ilvl w:val="2"/>
        <w:numId w:val="3"/>
      </w:numPr>
    </w:pPr>
    <w:rPr>
      <w:rFonts w:ascii="宋体" w:hAnsi="Times New Roman" w:eastAsia="宋体" w:cs="Times New Roman"/>
      <w:sz w:val="21"/>
      <w:lang w:val="en-US" w:eastAsia="zh-CN" w:bidi="ar-SA"/>
    </w:rPr>
  </w:style>
  <w:style w:type="paragraph" w:customStyle="1" w:styleId="39">
    <w:name w:val="注×：（正文）"/>
    <w:qFormat/>
    <w:uiPriority w:val="0"/>
    <w:pPr>
      <w:numPr>
        <w:ilvl w:val="0"/>
        <w:numId w:val="4"/>
      </w:numPr>
      <w:jc w:val="both"/>
    </w:pPr>
    <w:rPr>
      <w:rFonts w:ascii="宋体" w:hAnsi="Times New Roman" w:eastAsia="宋体" w:cs="Times New Roman"/>
      <w:sz w:val="18"/>
      <w:szCs w:val="18"/>
      <w:lang w:val="en-US" w:eastAsia="zh-CN" w:bidi="ar-SA"/>
    </w:rPr>
  </w:style>
  <w:style w:type="paragraph" w:styleId="40">
    <w:name w:val="List Paragraph"/>
    <w:basedOn w:val="1"/>
    <w:qFormat/>
    <w:uiPriority w:val="34"/>
    <w:pPr>
      <w:snapToGrid w:val="0"/>
      <w:spacing w:line="288" w:lineRule="auto"/>
      <w:ind w:firstLine="420" w:firstLineChars="200"/>
    </w:pPr>
    <w:rPr>
      <w:rFonts w:ascii="Calibri" w:hAnsi="Calibri" w:eastAsia="宋体" w:cs="Times New Roman"/>
      <w:sz w:val="28"/>
    </w:rPr>
  </w:style>
  <w:style w:type="paragraph" w:customStyle="1" w:styleId="41">
    <w:name w:val="一级无"/>
    <w:basedOn w:val="29"/>
    <w:qFormat/>
    <w:uiPriority w:val="0"/>
    <w:pPr>
      <w:numPr>
        <w:numId w:val="5"/>
      </w:numPr>
      <w:spacing w:before="0" w:beforeLines="0" w:after="0" w:afterLines="0"/>
    </w:pPr>
    <w:rPr>
      <w:rFonts w:ascii="宋体" w:eastAsia="宋体"/>
    </w:rPr>
  </w:style>
  <w:style w:type="paragraph" w:customStyle="1" w:styleId="42">
    <w:name w:val="二级无"/>
    <w:basedOn w:val="31"/>
    <w:uiPriority w:val="0"/>
    <w:pPr>
      <w:numPr>
        <w:numId w:val="5"/>
      </w:numPr>
      <w:spacing w:before="0" w:beforeLines="0" w:after="0" w:afterLines="0"/>
    </w:pPr>
    <w:rPr>
      <w:rFonts w:ascii="宋体" w:eastAsia="宋体"/>
    </w:rPr>
  </w:style>
  <w:style w:type="paragraph" w:customStyle="1" w:styleId="43">
    <w:name w:val="附录标识"/>
    <w:basedOn w:val="1"/>
    <w:next w:val="27"/>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hAnsi="Times New Roman" w:eastAsia="黑体" w:cs="Times New Roman"/>
      <w:kern w:val="0"/>
      <w:szCs w:val="20"/>
    </w:rPr>
  </w:style>
  <w:style w:type="paragraph" w:customStyle="1" w:styleId="44">
    <w:name w:val="附录二级条标题"/>
    <w:basedOn w:val="1"/>
    <w:next w:val="27"/>
    <w:qFormat/>
    <w:uiPriority w:val="0"/>
    <w:pPr>
      <w:widowControl/>
      <w:numPr>
        <w:ilvl w:val="3"/>
        <w:numId w:val="6"/>
      </w:numPr>
      <w:tabs>
        <w:tab w:val="left" w:pos="360"/>
      </w:tabs>
      <w:wordWrap w:val="0"/>
      <w:overflowPunct w:val="0"/>
      <w:autoSpaceDE w:val="0"/>
      <w:autoSpaceDN w:val="0"/>
      <w:spacing w:before="50" w:beforeLines="50" w:after="50" w:afterLines="50"/>
      <w:textAlignment w:val="baseline"/>
      <w:outlineLvl w:val="3"/>
    </w:pPr>
    <w:rPr>
      <w:rFonts w:ascii="黑体" w:hAnsi="Times New Roman" w:eastAsia="黑体" w:cs="Times New Roman"/>
      <w:kern w:val="21"/>
      <w:szCs w:val="20"/>
    </w:rPr>
  </w:style>
  <w:style w:type="paragraph" w:customStyle="1" w:styleId="45">
    <w:name w:val="附录三级条标题"/>
    <w:basedOn w:val="44"/>
    <w:next w:val="27"/>
    <w:qFormat/>
    <w:uiPriority w:val="0"/>
    <w:pPr>
      <w:numPr>
        <w:ilvl w:val="4"/>
      </w:numPr>
      <w:outlineLvl w:val="4"/>
    </w:pPr>
  </w:style>
  <w:style w:type="paragraph" w:customStyle="1" w:styleId="46">
    <w:name w:val="附录四级条标题"/>
    <w:basedOn w:val="45"/>
    <w:next w:val="27"/>
    <w:qFormat/>
    <w:uiPriority w:val="0"/>
    <w:pPr>
      <w:numPr>
        <w:ilvl w:val="5"/>
      </w:numPr>
      <w:outlineLvl w:val="5"/>
    </w:pPr>
  </w:style>
  <w:style w:type="paragraph" w:customStyle="1" w:styleId="47">
    <w:name w:val="附录五级条标题"/>
    <w:basedOn w:val="46"/>
    <w:next w:val="27"/>
    <w:qFormat/>
    <w:uiPriority w:val="0"/>
    <w:pPr>
      <w:numPr>
        <w:ilvl w:val="6"/>
      </w:numPr>
      <w:outlineLvl w:val="6"/>
    </w:pPr>
  </w:style>
  <w:style w:type="paragraph" w:customStyle="1" w:styleId="48">
    <w:name w:val="附录章标题"/>
    <w:next w:val="27"/>
    <w:qFormat/>
    <w:uiPriority w:val="0"/>
    <w:pPr>
      <w:numPr>
        <w:ilvl w:val="1"/>
        <w:numId w:val="6"/>
      </w:numPr>
      <w:tabs>
        <w:tab w:val="left" w:pos="360"/>
      </w:tabs>
      <w:wordWrap w:val="0"/>
      <w:overflowPunct w:val="0"/>
      <w:autoSpaceDE w:val="0"/>
      <w:spacing w:before="100" w:beforeLines="100" w:after="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49">
    <w:name w:val="附录一级条标题"/>
    <w:basedOn w:val="48"/>
    <w:next w:val="27"/>
    <w:qFormat/>
    <w:uiPriority w:val="0"/>
    <w:pPr>
      <w:numPr>
        <w:ilvl w:val="2"/>
      </w:numPr>
      <w:autoSpaceDN w:val="0"/>
      <w:spacing w:before="50" w:beforeLines="50" w:after="50" w:afterLines="50"/>
      <w:outlineLvl w:val="2"/>
    </w:pPr>
  </w:style>
  <w:style w:type="character" w:customStyle="1" w:styleId="50">
    <w:name w:val="纯文本 字符"/>
    <w:basedOn w:val="19"/>
    <w:link w:val="10"/>
    <w:qFormat/>
    <w:uiPriority w:val="0"/>
    <w:rPr>
      <w:rFonts w:ascii="宋体" w:hAnsi="Courier New" w:eastAsia="宋体" w:cs="Times New Roman"/>
      <w:szCs w:val="20"/>
    </w:rPr>
  </w:style>
  <w:style w:type="character" w:customStyle="1" w:styleId="51">
    <w:name w:val="正文文本 字符"/>
    <w:basedOn w:val="19"/>
    <w:link w:val="8"/>
    <w:qFormat/>
    <w:uiPriority w:val="0"/>
    <w:rPr>
      <w:rFonts w:ascii="宋体" w:hAnsi="宋体" w:eastAsia="宋体" w:cs="Times New Roman"/>
      <w:kern w:val="0"/>
      <w:sz w:val="24"/>
      <w:szCs w:val="24"/>
      <w:lang w:val="zh-CN" w:eastAsia="zh-CN"/>
    </w:rPr>
  </w:style>
  <w:style w:type="character" w:customStyle="1" w:styleId="52">
    <w:name w:val="正文缩进 字符"/>
    <w:link w:val="7"/>
    <w:qFormat/>
    <w:uiPriority w:val="0"/>
    <w:rPr>
      <w:rFonts w:ascii="Times New Roman" w:hAnsi="Times New Roman" w:eastAsia="仿宋_GB2312" w:cs="Times New Roman"/>
      <w:sz w:val="28"/>
      <w:szCs w:val="20"/>
      <w:lang w:val="zh-CN" w:eastAsia="zh-CN"/>
    </w:rPr>
  </w:style>
  <w:style w:type="table" w:customStyle="1" w:styleId="53">
    <w:name w:val="网格型1"/>
    <w:basedOn w:val="1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4">
    <w:name w:val="标题 1 字符"/>
    <w:basedOn w:val="19"/>
    <w:link w:val="2"/>
    <w:qFormat/>
    <w:uiPriority w:val="9"/>
    <w:rPr>
      <w:b/>
      <w:bCs/>
      <w:kern w:val="44"/>
      <w:sz w:val="44"/>
      <w:szCs w:val="44"/>
    </w:rPr>
  </w:style>
  <w:style w:type="character" w:customStyle="1" w:styleId="55">
    <w:name w:val="批注框文本 字符"/>
    <w:basedOn w:val="19"/>
    <w:link w:val="11"/>
    <w:semiHidden/>
    <w:qFormat/>
    <w:uiPriority w:val="99"/>
    <w:rPr>
      <w:sz w:val="18"/>
      <w:szCs w:val="18"/>
    </w:rPr>
  </w:style>
  <w:style w:type="paragraph" w:customStyle="1" w:styleId="56">
    <w:name w:val="WPSOffice手动目录 1"/>
    <w:uiPriority w:val="0"/>
    <w:rPr>
      <w:rFonts w:asciiTheme="minorHAnsi" w:hAnsiTheme="minorHAnsi" w:eastAsiaTheme="minorEastAsia" w:cstheme="minorBidi"/>
      <w:lang w:val="en-US" w:eastAsia="zh-CN" w:bidi="ar-SA"/>
    </w:rPr>
  </w:style>
  <w:style w:type="character" w:customStyle="1" w:styleId="57">
    <w:name w:val="font21"/>
    <w:basedOn w:val="19"/>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microsoft.com/office/2007/relationships/hdphoto" Target="media/image5.wdp"/><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0" Type="http://schemas.openxmlformats.org/officeDocument/2006/relationships/glossaryDocument" Target="glossary/document.xml"/><Relationship Id="rId3" Type="http://schemas.openxmlformats.org/officeDocument/2006/relationships/footer" Target="footer1.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21.jpe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jpe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jpe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microsoft.com/office/2007/relationships/hdphoto" Target="media/image7.wdp"/><Relationship Id="rId10" Type="http://schemas.openxmlformats.org/officeDocument/2006/relationships/image" Target="media/image6.png"/><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ebb8351d-3db0-45cf-88f7-c5d292b6fc17}"/>
        <w:style w:val=""/>
        <w:category>
          <w:name w:val="常规"/>
          <w:gallery w:val="placeholder"/>
        </w:category>
        <w:types>
          <w:type w:val="bbPlcHdr"/>
        </w:types>
        <w:behaviors>
          <w:behavior w:val="content"/>
        </w:behaviors>
        <w:description w:val=""/>
        <w:guid w:val="{EBB8351D-3DB0-45CF-88F7-C5D292B6FC17}"/>
      </w:docPartPr>
      <w:docPartBody>
        <w:p>
          <w:r>
            <w:rPr>
              <w:color w:val="808080"/>
            </w:rPr>
            <w:t>单击此处输入文字。</w:t>
          </w:r>
        </w:p>
      </w:docPartBody>
    </w:docPart>
    <w:docPart>
      <w:docPartPr>
        <w:name w:val="{2a253a6b-f97d-4904-aa41-90fff3696769}"/>
        <w:style w:val=""/>
        <w:category>
          <w:name w:val="常规"/>
          <w:gallery w:val="placeholder"/>
        </w:category>
        <w:types>
          <w:type w:val="bbPlcHdr"/>
        </w:types>
        <w:behaviors>
          <w:behavior w:val="content"/>
        </w:behaviors>
        <w:description w:val=""/>
        <w:guid w:val="{2A253A6B-F97D-4904-AA41-90FFF3696769}"/>
      </w:docPartPr>
      <w:docPartBody>
        <w:p>
          <w:r>
            <w:rPr>
              <w:color w:val="808080"/>
            </w:rPr>
            <w:t>单击此处输入文字。</w:t>
          </w:r>
        </w:p>
      </w:docPartBody>
    </w:docPart>
    <w:docPart>
      <w:docPartPr>
        <w:name w:val="{d14bea42-4101-412a-b549-f276a9b7853c}"/>
        <w:style w:val=""/>
        <w:category>
          <w:name w:val="常规"/>
          <w:gallery w:val="placeholder"/>
        </w:category>
        <w:types>
          <w:type w:val="bbPlcHdr"/>
        </w:types>
        <w:behaviors>
          <w:behavior w:val="content"/>
        </w:behaviors>
        <w:description w:val=""/>
        <w:guid w:val="{D14BEA42-4101-412A-B549-F276A9B7853C}"/>
      </w:docPartPr>
      <w:docPartBody>
        <w:p>
          <w:r>
            <w:rPr>
              <w:color w:val="808080"/>
            </w:rPr>
            <w:t>单击此处输入文字。</w:t>
          </w:r>
        </w:p>
      </w:docPartBody>
    </w:docPart>
    <w:docPart>
      <w:docPartPr>
        <w:name w:val="{6cf557dc-cfb0-4e6f-965e-ba001587ed5c}"/>
        <w:style w:val=""/>
        <w:category>
          <w:name w:val="常规"/>
          <w:gallery w:val="placeholder"/>
        </w:category>
        <w:types>
          <w:type w:val="bbPlcHdr"/>
        </w:types>
        <w:behaviors>
          <w:behavior w:val="content"/>
        </w:behaviors>
        <w:description w:val=""/>
        <w:guid w:val="{6CF557DC-CFB0-4E6F-965E-BA001587ED5C}"/>
      </w:docPartPr>
      <w:docPartBody>
        <w:p>
          <w:r>
            <w:rPr>
              <w:color w:val="808080"/>
            </w:rPr>
            <w:t>单击此处输入文字。</w:t>
          </w:r>
        </w:p>
      </w:docPartBody>
    </w:docPart>
    <w:docPart>
      <w:docPartPr>
        <w:name w:val="{df5aba1f-a076-4cf1-8e3e-83abf68ed3d8}"/>
        <w:style w:val=""/>
        <w:category>
          <w:name w:val="常规"/>
          <w:gallery w:val="placeholder"/>
        </w:category>
        <w:types>
          <w:type w:val="bbPlcHdr"/>
        </w:types>
        <w:behaviors>
          <w:behavior w:val="content"/>
        </w:behaviors>
        <w:description w:val=""/>
        <w:guid w:val="{DF5ABA1F-A076-4CF1-8E3E-83ABF68ED3D8}"/>
      </w:docPartPr>
      <w:docPartBody>
        <w:p>
          <w:r>
            <w:rPr>
              <w:color w:val="808080"/>
            </w:rPr>
            <w:t>单击此处输入文字。</w:t>
          </w:r>
        </w:p>
      </w:docPartBody>
    </w:docPart>
    <w:docPart>
      <w:docPartPr>
        <w:name w:val="{6bf04348-40f3-4e62-880e-36c4294b4eba}"/>
        <w:style w:val=""/>
        <w:category>
          <w:name w:val="常规"/>
          <w:gallery w:val="placeholder"/>
        </w:category>
        <w:types>
          <w:type w:val="bbPlcHdr"/>
        </w:types>
        <w:behaviors>
          <w:behavior w:val="content"/>
        </w:behaviors>
        <w:description w:val=""/>
        <w:guid w:val="{6BF04348-40F3-4E62-880E-36C4294B4EBA}"/>
      </w:docPartPr>
      <w:docPartBody>
        <w:p>
          <w:r>
            <w:rPr>
              <w:color w:val="808080"/>
            </w:rPr>
            <w:t>单击此处输入文字。</w:t>
          </w:r>
        </w:p>
      </w:docPartBody>
    </w:docPart>
    <w:docPart>
      <w:docPartPr>
        <w:name w:val="{8e1fc512-fd2d-462c-a943-162e1e5350f3}"/>
        <w:style w:val=""/>
        <w:category>
          <w:name w:val="常规"/>
          <w:gallery w:val="placeholder"/>
        </w:category>
        <w:types>
          <w:type w:val="bbPlcHdr"/>
        </w:types>
        <w:behaviors>
          <w:behavior w:val="content"/>
        </w:behaviors>
        <w:description w:val=""/>
        <w:guid w:val="{8E1FC512-FD2D-462C-A943-162E1E5350F3}"/>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splitPgBreakAndParaMark/>
    <w:compatSetting w:name="compatibilityMode" w:uri="http://schemas.microsoft.com/office/word" w:val="15"/>
  </w:compat>
  <w:rsids>
    <w:rsidRoot w:val="002D74C1"/>
    <w:rsid w:val="002D74C1"/>
    <w:rsid w:val="00463920"/>
    <w:rsid w:val="00E83E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F202CE5-8110-47FC-892A-25BE13628C14}">
  <ds:schemaRefs/>
</ds:datastoreItem>
</file>

<file path=docProps/app.xml><?xml version="1.0" encoding="utf-8"?>
<Properties xmlns="http://schemas.openxmlformats.org/officeDocument/2006/extended-properties" xmlns:vt="http://schemas.openxmlformats.org/officeDocument/2006/docPropsVTypes">
  <Template>Normal</Template>
  <Pages>36</Pages>
  <Words>10283</Words>
  <Characters>10491</Characters>
  <Lines>89</Lines>
  <Paragraphs>25</Paragraphs>
  <TotalTime>1</TotalTime>
  <ScaleCrop>false</ScaleCrop>
  <LinksUpToDate>false</LinksUpToDate>
  <CharactersWithSpaces>11040</CharactersWithSpaces>
  <Application>WPS Office_11.1.0.11372_F1E327BC-269C-435d-A152-05C5408002CA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2022-08-06T05:17:00Z</dcterms:created>
  <dc:creator>Administrator</dc:creator>
  <cp:lastModifiedBy>A呀土豆baby</cp:lastModifiedBy>
  <cp:lastPrinted>2018-08-20T02:53:00Z</cp:lastPrinted>
  <dcterms:modified xsi:type="dcterms:W3CDTF">2022-08-07T13:44:36Z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2052-11.1.0.11372</vt:lpwstr>
  </property>
  <property fmtid="{D5CDD505-2E9C-101B-9397-08002B2CF9AE}" pid="3" name="ICV">
    <vt:lpwstr>2192C927CBD94584AF8A2E9E4AB92371</vt:lpwstr>
  </property>
</Properties>
</file>