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3800" w:type="dxa"/>
        <w:tblInd w:w="0" w:type="dxa"/>
        <w:shd w:val="clear" w:color="auto" w:fill="auto"/>
        <w:tblLayout w:type="fixed"/>
        <w:tblCellMar>
          <w:top w:w="0" w:type="dxa"/>
          <w:left w:w="0" w:type="dxa"/>
          <w:bottom w:w="0" w:type="dxa"/>
          <w:right w:w="0" w:type="dxa"/>
        </w:tblCellMar>
      </w:tblPr>
      <w:tblGrid>
        <w:gridCol w:w="666"/>
        <w:gridCol w:w="1937"/>
        <w:gridCol w:w="2168"/>
        <w:gridCol w:w="4806"/>
        <w:gridCol w:w="2260"/>
        <w:gridCol w:w="1963"/>
      </w:tblGrid>
      <w:tr>
        <w:tblPrEx>
          <w:shd w:val="clear" w:color="auto" w:fill="auto"/>
          <w:tblLayout w:type="fixed"/>
          <w:tblCellMar>
            <w:top w:w="0" w:type="dxa"/>
            <w:left w:w="0" w:type="dxa"/>
            <w:bottom w:w="0" w:type="dxa"/>
            <w:right w:w="0" w:type="dxa"/>
          </w:tblCellMar>
        </w:tblPrEx>
        <w:trPr>
          <w:trHeight w:val="549" w:hRule="atLeast"/>
        </w:trPr>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序号</w:t>
            </w:r>
          </w:p>
        </w:tc>
        <w:tc>
          <w:tcPr>
            <w:tcW w:w="1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723" w:firstLineChars="30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单元/位置</w:t>
            </w:r>
          </w:p>
        </w:tc>
        <w:tc>
          <w:tcPr>
            <w:tcW w:w="21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风险源点</w:t>
            </w:r>
          </w:p>
        </w:tc>
        <w:tc>
          <w:tcPr>
            <w:tcW w:w="4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1205" w:firstLineChars="50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危险有害因素</w:t>
            </w:r>
          </w:p>
        </w:tc>
        <w:tc>
          <w:tcPr>
            <w:tcW w:w="2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可能造成的后果</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风险类别</w:t>
            </w:r>
          </w:p>
        </w:tc>
      </w:tr>
      <w:tr>
        <w:tblPrEx>
          <w:tblLayout w:type="fixed"/>
          <w:tblCellMar>
            <w:top w:w="0" w:type="dxa"/>
            <w:left w:w="0" w:type="dxa"/>
            <w:bottom w:w="0" w:type="dxa"/>
            <w:right w:w="0" w:type="dxa"/>
          </w:tblCellMar>
        </w:tblPrEx>
        <w:trPr>
          <w:trHeight w:val="1025" w:hRule="atLeast"/>
        </w:trPr>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i w:val="0"/>
                <w:color w:val="000000"/>
                <w:kern w:val="0"/>
                <w:sz w:val="24"/>
                <w:szCs w:val="24"/>
                <w:u w:val="none"/>
                <w:lang w:val="en-US" w:eastAsia="zh-CN" w:bidi="ar"/>
              </w:rPr>
            </w:pPr>
            <w:r>
              <w:rPr>
                <w:rFonts w:hint="eastAsia" w:ascii="宋体" w:hAnsi="宋体" w:eastAsia="宋体" w:cs="宋体"/>
                <w:i w:val="0"/>
                <w:color w:val="000000"/>
                <w:kern w:val="0"/>
                <w:sz w:val="28"/>
                <w:szCs w:val="28"/>
                <w:u w:val="none"/>
                <w:lang w:val="en-US" w:eastAsia="zh-CN" w:bidi="ar"/>
              </w:rPr>
              <w:t>1</w:t>
            </w:r>
          </w:p>
        </w:tc>
        <w:tc>
          <w:tcPr>
            <w:tcW w:w="1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rPr>
              <w:t>机修车间</w:t>
            </w:r>
          </w:p>
        </w:tc>
        <w:tc>
          <w:tcPr>
            <w:tcW w:w="21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bidi w:val="0"/>
              <w:ind w:left="0" w:leftChars="0" w:firstLine="840" w:firstLineChars="400"/>
              <w:jc w:val="left"/>
              <w:rPr>
                <w:rFonts w:hint="eastAsia" w:ascii="Calibri" w:hAnsi="Calibri" w:eastAsia="宋体" w:cstheme="minorBidi"/>
                <w:kern w:val="2"/>
                <w:sz w:val="21"/>
                <w:szCs w:val="24"/>
                <w:lang w:val="en-US" w:eastAsia="zh-CN" w:bidi="ar-SA"/>
              </w:rPr>
            </w:pPr>
            <w:r>
              <w:rPr>
                <w:rFonts w:hint="eastAsia" w:hAnsi="宋体"/>
                <w:sz w:val="21"/>
              </w:rPr>
              <w:t>举升机</w:t>
            </w:r>
          </w:p>
        </w:tc>
        <w:tc>
          <w:tcPr>
            <w:tcW w:w="4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1"/>
              </w:numPr>
              <w:ind w:left="0" w:leftChars="0" w:firstLine="0" w:firstLineChars="0"/>
              <w:rPr>
                <w:rFonts w:hint="eastAsia"/>
              </w:rPr>
            </w:pPr>
            <w:r>
              <w:rPr>
                <w:rFonts w:hint="eastAsia"/>
              </w:rPr>
              <w:t>举升机</w:t>
            </w:r>
            <w:r>
              <w:rPr>
                <w:rFonts w:hint="eastAsia"/>
                <w:lang w:eastAsia="zh-CN"/>
              </w:rPr>
              <w:t>设备未接地保护；</w:t>
            </w:r>
          </w:p>
          <w:p>
            <w:pPr>
              <w:numPr>
                <w:ilvl w:val="0"/>
                <w:numId w:val="1"/>
              </w:numPr>
              <w:ind w:left="0" w:leftChars="0" w:firstLine="0" w:firstLineChars="0"/>
              <w:rPr>
                <w:rFonts w:hint="eastAsia"/>
              </w:rPr>
            </w:pPr>
            <w:r>
              <w:rPr>
                <w:rFonts w:hint="eastAsia"/>
              </w:rPr>
              <w:t>工作时，</w:t>
            </w:r>
            <w:r>
              <w:rPr>
                <w:rFonts w:hint="eastAsia"/>
                <w:lang w:eastAsia="zh-CN"/>
              </w:rPr>
              <w:t>举升跟下降范围内站人；</w:t>
            </w:r>
          </w:p>
          <w:p>
            <w:pPr>
              <w:keepNext w:val="0"/>
              <w:keepLines w:val="0"/>
              <w:widowControl/>
              <w:suppressLineNumbers w:val="0"/>
              <w:ind w:left="0" w:leftChars="0" w:firstLine="0" w:firstLineChars="0"/>
              <w:jc w:val="left"/>
              <w:textAlignment w:val="center"/>
              <w:rPr>
                <w:rFonts w:hint="eastAsia" w:ascii="宋体" w:hAnsi="宋体" w:eastAsia="宋体" w:cs="宋体"/>
                <w:b/>
                <w:i w:val="0"/>
                <w:color w:val="000000"/>
                <w:kern w:val="0"/>
                <w:sz w:val="24"/>
                <w:szCs w:val="24"/>
                <w:u w:val="none"/>
                <w:lang w:val="en-US" w:eastAsia="zh-CN" w:bidi="ar"/>
              </w:rPr>
            </w:pPr>
            <w:r>
              <w:rPr>
                <w:rFonts w:hint="eastAsia"/>
                <w:lang w:val="en-US" w:eastAsia="zh-CN"/>
              </w:rPr>
              <w:t>3、举升过程工件掉落伤人。</w:t>
            </w:r>
          </w:p>
        </w:tc>
        <w:tc>
          <w:tcPr>
            <w:tcW w:w="2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lang w:val="en-US" w:eastAsia="zh-CN"/>
              </w:rPr>
              <w:t>人员伤亡、经济损失</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rPr>
              <w:t>机械伤害</w:t>
            </w:r>
          </w:p>
        </w:tc>
      </w:tr>
      <w:tr>
        <w:tblPrEx>
          <w:tblLayout w:type="fixed"/>
          <w:tblCellMar>
            <w:top w:w="0" w:type="dxa"/>
            <w:left w:w="0" w:type="dxa"/>
            <w:bottom w:w="0" w:type="dxa"/>
            <w:right w:w="0" w:type="dxa"/>
          </w:tblCellMar>
        </w:tblPrEx>
        <w:trPr>
          <w:trHeight w:val="840" w:hRule="atLeast"/>
        </w:trPr>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w:t>
            </w:r>
          </w:p>
        </w:tc>
        <w:tc>
          <w:tcPr>
            <w:tcW w:w="1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hAnsi="宋体"/>
                <w:sz w:val="21"/>
                <w:lang w:val="en-US" w:eastAsia="zh-CN"/>
              </w:rPr>
            </w:pPr>
            <w:r>
              <w:rPr>
                <w:rFonts w:hint="eastAsia" w:hAnsi="宋体"/>
                <w:sz w:val="21"/>
                <w:lang w:val="en-US" w:eastAsia="zh-CN"/>
              </w:rPr>
              <w:t>钣金车间</w:t>
            </w:r>
          </w:p>
        </w:tc>
        <w:tc>
          <w:tcPr>
            <w:tcW w:w="21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hAnsi="宋体"/>
                <w:sz w:val="21"/>
                <w:lang w:val="en-US" w:eastAsia="zh-CN"/>
              </w:rPr>
            </w:pPr>
            <w:r>
              <w:rPr>
                <w:rFonts w:hint="eastAsia" w:hAnsi="宋体"/>
                <w:sz w:val="21"/>
                <w:lang w:val="en-US" w:eastAsia="zh-CN"/>
              </w:rPr>
              <w:t>千斤顶</w:t>
            </w:r>
          </w:p>
        </w:tc>
        <w:tc>
          <w:tcPr>
            <w:tcW w:w="4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left"/>
              <w:textAlignment w:val="center"/>
              <w:rPr>
                <w:rFonts w:hint="eastAsia" w:hAnsi="宋体"/>
                <w:sz w:val="21"/>
                <w:lang w:val="en-US" w:eastAsia="zh-CN"/>
              </w:rPr>
            </w:pPr>
            <w:r>
              <w:rPr>
                <w:rFonts w:hint="eastAsia" w:hAnsi="宋体"/>
                <w:sz w:val="21"/>
                <w:lang w:val="en-US" w:eastAsia="zh-CN"/>
              </w:rPr>
              <w:t>使用千斤顶顶车时，顶起和放下车辆时车辆突然落下造成人员伤害。</w:t>
            </w:r>
          </w:p>
        </w:tc>
        <w:tc>
          <w:tcPr>
            <w:tcW w:w="2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hAnsi="宋体"/>
                <w:sz w:val="21"/>
                <w:lang w:val="en-US" w:eastAsia="zh-CN"/>
              </w:rPr>
            </w:pPr>
            <w:r>
              <w:rPr>
                <w:rFonts w:hint="eastAsia" w:hAnsi="宋体"/>
                <w:sz w:val="21"/>
                <w:lang w:val="en-US" w:eastAsia="zh-CN"/>
              </w:rPr>
              <w:t>人员伤亡、经济损失</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lang w:val="en-US" w:eastAsia="zh-CN"/>
              </w:rPr>
              <w:t>机械伤害</w:t>
            </w:r>
          </w:p>
        </w:tc>
      </w:tr>
      <w:tr>
        <w:tblPrEx>
          <w:tblLayout w:type="fixed"/>
          <w:tblCellMar>
            <w:top w:w="0" w:type="dxa"/>
            <w:left w:w="0" w:type="dxa"/>
            <w:bottom w:w="0" w:type="dxa"/>
            <w:right w:w="0" w:type="dxa"/>
          </w:tblCellMar>
        </w:tblPrEx>
        <w:trPr>
          <w:trHeight w:val="1247" w:hRule="atLeast"/>
        </w:trPr>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3</w:t>
            </w:r>
          </w:p>
        </w:tc>
        <w:tc>
          <w:tcPr>
            <w:tcW w:w="1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rPr>
              <w:t>钣金车间</w:t>
            </w:r>
          </w:p>
        </w:tc>
        <w:tc>
          <w:tcPr>
            <w:tcW w:w="21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lang w:val="en-US" w:eastAsia="zh-CN"/>
              </w:rPr>
              <w:t>砂轮机</w:t>
            </w:r>
          </w:p>
        </w:tc>
        <w:tc>
          <w:tcPr>
            <w:tcW w:w="4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left"/>
              <w:rPr>
                <w:rFonts w:hint="eastAsia"/>
                <w:sz w:val="22"/>
                <w:szCs w:val="22"/>
              </w:rPr>
            </w:pPr>
            <w:r>
              <w:rPr>
                <w:rFonts w:hint="eastAsia"/>
                <w:sz w:val="22"/>
                <w:szCs w:val="22"/>
              </w:rPr>
              <w:t>1、防护装置损坏或缺失；</w:t>
            </w:r>
          </w:p>
          <w:p>
            <w:pPr>
              <w:ind w:left="0" w:leftChars="0" w:firstLine="0" w:firstLineChars="0"/>
              <w:jc w:val="left"/>
              <w:rPr>
                <w:rFonts w:hint="eastAsia"/>
                <w:sz w:val="22"/>
                <w:szCs w:val="22"/>
              </w:rPr>
            </w:pPr>
            <w:r>
              <w:rPr>
                <w:rFonts w:hint="eastAsia"/>
                <w:sz w:val="22"/>
                <w:szCs w:val="22"/>
              </w:rPr>
              <w:t>2、电源线老化或破损、接地或接零线连接不正确</w:t>
            </w:r>
          </w:p>
          <w:p>
            <w:pPr>
              <w:keepNext w:val="0"/>
              <w:keepLines w:val="0"/>
              <w:widowControl/>
              <w:suppressLineNumbers w:val="0"/>
              <w:ind w:left="0" w:leftChars="0" w:firstLine="0" w:firstLineChars="0"/>
              <w:jc w:val="left"/>
              <w:textAlignment w:val="center"/>
              <w:rPr>
                <w:rFonts w:hint="eastAsia" w:ascii="宋体" w:hAnsi="宋体" w:eastAsia="宋体" w:cs="宋体"/>
                <w:b/>
                <w:i w:val="0"/>
                <w:color w:val="000000"/>
                <w:kern w:val="0"/>
                <w:sz w:val="24"/>
                <w:szCs w:val="24"/>
                <w:u w:val="none"/>
                <w:lang w:val="en-US" w:eastAsia="zh-CN" w:bidi="ar"/>
              </w:rPr>
            </w:pPr>
            <w:r>
              <w:rPr>
                <w:rFonts w:hint="eastAsia"/>
                <w:sz w:val="22"/>
                <w:szCs w:val="22"/>
              </w:rPr>
              <w:t>3、未配备或未正确使用个体防护用品</w:t>
            </w:r>
            <w:r>
              <w:rPr>
                <w:rFonts w:hint="eastAsia"/>
                <w:sz w:val="24"/>
              </w:rPr>
              <w:t>；</w:t>
            </w:r>
          </w:p>
        </w:tc>
        <w:tc>
          <w:tcPr>
            <w:tcW w:w="2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lang w:val="en-US" w:eastAsia="zh-CN"/>
              </w:rPr>
              <w:t>人员伤亡、经济损失</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lang w:val="en-US" w:eastAsia="zh-CN"/>
              </w:rPr>
              <w:t>触电、机械伤害</w:t>
            </w:r>
          </w:p>
        </w:tc>
      </w:tr>
      <w:tr>
        <w:tblPrEx>
          <w:tblLayout w:type="fixed"/>
          <w:tblCellMar>
            <w:top w:w="0" w:type="dxa"/>
            <w:left w:w="0" w:type="dxa"/>
            <w:bottom w:w="0" w:type="dxa"/>
            <w:right w:w="0" w:type="dxa"/>
          </w:tblCellMar>
        </w:tblPrEx>
        <w:trPr>
          <w:trHeight w:val="1247" w:hRule="atLeast"/>
        </w:trPr>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color w:val="000000"/>
                <w:kern w:val="0"/>
                <w:sz w:val="28"/>
                <w:szCs w:val="28"/>
                <w:u w:val="none"/>
                <w:lang w:val="en-US" w:eastAsia="zh-CN" w:bidi="ar"/>
              </w:rPr>
            </w:pPr>
            <w:r>
              <w:rPr>
                <w:rFonts w:hint="eastAsia" w:ascii="宋体" w:hAnsi="宋体" w:cs="宋体"/>
                <w:i w:val="0"/>
                <w:color w:val="000000"/>
                <w:kern w:val="0"/>
                <w:sz w:val="28"/>
                <w:szCs w:val="28"/>
                <w:u w:val="none"/>
                <w:lang w:val="en-US" w:eastAsia="zh-CN" w:bidi="ar"/>
              </w:rPr>
              <w:t>4</w:t>
            </w:r>
          </w:p>
        </w:tc>
        <w:tc>
          <w:tcPr>
            <w:tcW w:w="1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630" w:firstLineChars="30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lang w:val="en-US" w:eastAsia="zh-CN"/>
              </w:rPr>
              <w:t>机修、熔漆</w:t>
            </w:r>
          </w:p>
        </w:tc>
        <w:tc>
          <w:tcPr>
            <w:tcW w:w="21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lang w:val="en-US" w:eastAsia="zh-CN"/>
              </w:rPr>
              <w:t>空气压缩机、储气罐</w:t>
            </w:r>
          </w:p>
        </w:tc>
        <w:tc>
          <w:tcPr>
            <w:tcW w:w="4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left"/>
              <w:rPr>
                <w:rFonts w:hint="eastAsia"/>
                <w:sz w:val="22"/>
                <w:szCs w:val="22"/>
              </w:rPr>
            </w:pPr>
            <w:r>
              <w:rPr>
                <w:rFonts w:hint="eastAsia"/>
                <w:sz w:val="24"/>
              </w:rPr>
              <w:t>1</w:t>
            </w:r>
            <w:r>
              <w:rPr>
                <w:rFonts w:hint="eastAsia"/>
                <w:sz w:val="22"/>
                <w:szCs w:val="22"/>
              </w:rPr>
              <w:t>.安全附件未检验合格或损坏失效；</w:t>
            </w:r>
          </w:p>
          <w:p>
            <w:pPr>
              <w:ind w:left="0" w:leftChars="0" w:firstLine="0" w:firstLineChars="0"/>
              <w:jc w:val="left"/>
              <w:rPr>
                <w:rFonts w:hint="eastAsia"/>
                <w:sz w:val="22"/>
                <w:szCs w:val="22"/>
              </w:rPr>
            </w:pPr>
            <w:r>
              <w:rPr>
                <w:rFonts w:hint="eastAsia"/>
                <w:sz w:val="22"/>
                <w:szCs w:val="22"/>
              </w:rPr>
              <w:t>2.防护装置缺失；</w:t>
            </w:r>
          </w:p>
          <w:p>
            <w:pPr>
              <w:ind w:left="0" w:leftChars="0" w:firstLine="0" w:firstLineChars="0"/>
              <w:jc w:val="left"/>
              <w:rPr>
                <w:rFonts w:hint="eastAsia" w:ascii="宋体" w:hAnsi="宋体" w:eastAsia="宋体" w:cs="宋体"/>
                <w:b/>
                <w:i w:val="0"/>
                <w:color w:val="000000"/>
                <w:kern w:val="0"/>
                <w:sz w:val="24"/>
                <w:szCs w:val="24"/>
                <w:u w:val="none"/>
                <w:lang w:val="en-US" w:eastAsia="zh-CN" w:bidi="ar"/>
              </w:rPr>
            </w:pPr>
            <w:r>
              <w:rPr>
                <w:rFonts w:hint="eastAsia"/>
                <w:sz w:val="22"/>
                <w:szCs w:val="22"/>
              </w:rPr>
              <w:t>3.接线不规范；</w:t>
            </w:r>
          </w:p>
        </w:tc>
        <w:tc>
          <w:tcPr>
            <w:tcW w:w="2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lang w:val="en-US" w:eastAsia="zh-CN"/>
              </w:rPr>
              <w:t>人员伤亡、经济损失</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hAnsi="宋体"/>
                <w:sz w:val="21"/>
                <w:lang w:val="en-US" w:eastAsia="zh-CN"/>
              </w:rPr>
            </w:pPr>
            <w:r>
              <w:rPr>
                <w:rFonts w:hint="eastAsia" w:hAnsi="宋体"/>
                <w:sz w:val="21"/>
                <w:lang w:val="en-US" w:eastAsia="zh-CN"/>
              </w:rPr>
              <w:t>容器爆炸、触电</w:t>
            </w:r>
          </w:p>
          <w:p>
            <w:pPr>
              <w:keepNext w:val="0"/>
              <w:keepLines w:val="0"/>
              <w:widowControl/>
              <w:suppressLineNumbers w:val="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lang w:val="en-US" w:eastAsia="zh-CN"/>
              </w:rPr>
              <w:t>机械伤害</w:t>
            </w:r>
          </w:p>
        </w:tc>
      </w:tr>
      <w:tr>
        <w:tblPrEx>
          <w:tblLayout w:type="fixed"/>
          <w:tblCellMar>
            <w:top w:w="0" w:type="dxa"/>
            <w:left w:w="0" w:type="dxa"/>
            <w:bottom w:w="0" w:type="dxa"/>
            <w:right w:w="0" w:type="dxa"/>
          </w:tblCellMar>
        </w:tblPrEx>
        <w:trPr>
          <w:trHeight w:val="1247" w:hRule="atLeast"/>
        </w:trPr>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color w:val="000000"/>
                <w:kern w:val="0"/>
                <w:sz w:val="28"/>
                <w:szCs w:val="28"/>
                <w:u w:val="none"/>
                <w:lang w:val="en-US" w:eastAsia="zh-CN" w:bidi="ar"/>
              </w:rPr>
            </w:pPr>
            <w:r>
              <w:rPr>
                <w:rFonts w:hint="eastAsia" w:ascii="宋体" w:hAnsi="宋体" w:cs="宋体"/>
                <w:i w:val="0"/>
                <w:color w:val="000000"/>
                <w:kern w:val="0"/>
                <w:sz w:val="28"/>
                <w:szCs w:val="28"/>
                <w:u w:val="none"/>
                <w:lang w:val="en-US" w:eastAsia="zh-CN" w:bidi="ar"/>
              </w:rPr>
              <w:t>5</w:t>
            </w:r>
          </w:p>
        </w:tc>
        <w:tc>
          <w:tcPr>
            <w:tcW w:w="1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630" w:firstLineChars="30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rPr>
              <w:t>钣金车间</w:t>
            </w:r>
          </w:p>
        </w:tc>
        <w:tc>
          <w:tcPr>
            <w:tcW w:w="21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lang w:val="en-US" w:eastAsia="zh-CN"/>
              </w:rPr>
              <w:t>切割机</w:t>
            </w:r>
          </w:p>
        </w:tc>
        <w:tc>
          <w:tcPr>
            <w:tcW w:w="4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left"/>
              <w:rPr>
                <w:rFonts w:hint="eastAsia"/>
                <w:sz w:val="22"/>
                <w:szCs w:val="22"/>
                <w:lang w:val="en-US" w:eastAsia="zh-CN"/>
              </w:rPr>
            </w:pPr>
            <w:r>
              <w:rPr>
                <w:rFonts w:hint="eastAsia"/>
                <w:sz w:val="22"/>
                <w:szCs w:val="22"/>
                <w:lang w:val="en-US" w:eastAsia="zh-CN"/>
              </w:rPr>
              <w:t>1、防护装置损坏或缺失；</w:t>
            </w:r>
          </w:p>
          <w:p>
            <w:pPr>
              <w:ind w:left="0" w:leftChars="0" w:firstLine="0" w:firstLineChars="0"/>
              <w:jc w:val="left"/>
              <w:rPr>
                <w:rFonts w:hint="eastAsia"/>
                <w:sz w:val="22"/>
                <w:szCs w:val="22"/>
                <w:lang w:val="en-US" w:eastAsia="zh-CN"/>
              </w:rPr>
            </w:pPr>
            <w:r>
              <w:rPr>
                <w:rFonts w:hint="eastAsia"/>
                <w:sz w:val="22"/>
                <w:szCs w:val="22"/>
                <w:lang w:val="en-US" w:eastAsia="zh-CN"/>
              </w:rPr>
              <w:t>2、电源线老化或破损、接地或接零线连接不正确</w:t>
            </w:r>
          </w:p>
          <w:p>
            <w:pPr>
              <w:ind w:left="0" w:leftChars="0" w:firstLine="0" w:firstLineChars="0"/>
              <w:jc w:val="left"/>
              <w:rPr>
                <w:rFonts w:hint="eastAsia" w:ascii="宋体" w:hAnsi="宋体" w:eastAsia="宋体" w:cs="宋体"/>
                <w:b/>
                <w:i w:val="0"/>
                <w:color w:val="000000"/>
                <w:kern w:val="0"/>
                <w:sz w:val="24"/>
                <w:szCs w:val="24"/>
                <w:u w:val="none"/>
                <w:lang w:val="en-US" w:eastAsia="zh-CN" w:bidi="ar"/>
              </w:rPr>
            </w:pPr>
            <w:r>
              <w:rPr>
                <w:rFonts w:hint="eastAsia"/>
                <w:sz w:val="22"/>
                <w:szCs w:val="22"/>
                <w:lang w:val="en-US" w:eastAsia="zh-CN"/>
              </w:rPr>
              <w:t>3、未配备或未正确使用个体防护用品；</w:t>
            </w:r>
          </w:p>
        </w:tc>
        <w:tc>
          <w:tcPr>
            <w:tcW w:w="2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lang w:val="en-US" w:eastAsia="zh-CN"/>
              </w:rPr>
              <w:t>人员伤亡、经济损失</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lang w:val="en-US" w:eastAsia="zh-CN"/>
              </w:rPr>
              <w:t>机械伤害、触电、职业危害（噪声）</w:t>
            </w:r>
          </w:p>
        </w:tc>
      </w:tr>
      <w:tr>
        <w:tblPrEx>
          <w:tblLayout w:type="fixed"/>
          <w:tblCellMar>
            <w:top w:w="0" w:type="dxa"/>
            <w:left w:w="0" w:type="dxa"/>
            <w:bottom w:w="0" w:type="dxa"/>
            <w:right w:w="0" w:type="dxa"/>
          </w:tblCellMar>
        </w:tblPrEx>
        <w:trPr>
          <w:trHeight w:val="746" w:hRule="atLeast"/>
        </w:trPr>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color w:val="000000"/>
                <w:kern w:val="0"/>
                <w:sz w:val="28"/>
                <w:szCs w:val="28"/>
                <w:u w:val="none"/>
                <w:lang w:val="en-US" w:eastAsia="zh-CN" w:bidi="ar"/>
              </w:rPr>
            </w:pPr>
            <w:r>
              <w:rPr>
                <w:rFonts w:hint="eastAsia" w:ascii="宋体" w:hAnsi="宋体" w:cs="宋体"/>
                <w:i w:val="0"/>
                <w:color w:val="000000"/>
                <w:kern w:val="0"/>
                <w:sz w:val="28"/>
                <w:szCs w:val="28"/>
                <w:u w:val="none"/>
                <w:lang w:val="en-US" w:eastAsia="zh-CN" w:bidi="ar"/>
              </w:rPr>
              <w:t>6</w:t>
            </w:r>
          </w:p>
        </w:tc>
        <w:tc>
          <w:tcPr>
            <w:tcW w:w="1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630" w:firstLineChars="30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rPr>
              <w:t>机修车间</w:t>
            </w:r>
          </w:p>
        </w:tc>
        <w:tc>
          <w:tcPr>
            <w:tcW w:w="21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lang w:val="en-US" w:eastAsia="zh-CN"/>
              </w:rPr>
              <w:t>电焊作业</w:t>
            </w:r>
          </w:p>
        </w:tc>
        <w:tc>
          <w:tcPr>
            <w:tcW w:w="4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left"/>
              <w:rPr>
                <w:rFonts w:hint="eastAsia"/>
                <w:sz w:val="22"/>
                <w:szCs w:val="22"/>
                <w:lang w:val="en-US" w:eastAsia="zh-CN"/>
              </w:rPr>
            </w:pPr>
            <w:r>
              <w:rPr>
                <w:rFonts w:hint="eastAsia"/>
                <w:sz w:val="22"/>
                <w:szCs w:val="22"/>
                <w:lang w:val="en-US" w:eastAsia="zh-CN"/>
              </w:rPr>
              <w:t>1、电焊机一、二次线路接线不规范；</w:t>
            </w:r>
          </w:p>
          <w:p>
            <w:pPr>
              <w:ind w:left="0" w:leftChars="0" w:firstLine="0" w:firstLineChars="0"/>
              <w:jc w:val="left"/>
              <w:rPr>
                <w:rFonts w:hint="eastAsia"/>
                <w:sz w:val="22"/>
                <w:szCs w:val="22"/>
                <w:lang w:val="en-US" w:eastAsia="zh-CN"/>
              </w:rPr>
            </w:pPr>
            <w:r>
              <w:rPr>
                <w:rFonts w:hint="eastAsia"/>
                <w:sz w:val="22"/>
                <w:szCs w:val="22"/>
                <w:lang w:val="en-US" w:eastAsia="zh-CN"/>
              </w:rPr>
              <w:t>2、设备未接地；</w:t>
            </w:r>
          </w:p>
          <w:p>
            <w:pPr>
              <w:ind w:left="0" w:leftChars="0" w:firstLine="0" w:firstLineChars="0"/>
              <w:jc w:val="left"/>
              <w:rPr>
                <w:rFonts w:hint="eastAsia"/>
                <w:sz w:val="22"/>
                <w:szCs w:val="22"/>
                <w:lang w:val="en-US" w:eastAsia="zh-CN"/>
              </w:rPr>
            </w:pPr>
            <w:r>
              <w:rPr>
                <w:rFonts w:hint="eastAsia"/>
                <w:sz w:val="22"/>
                <w:szCs w:val="22"/>
                <w:lang w:val="en-US" w:eastAsia="zh-CN"/>
              </w:rPr>
              <w:t>3、个体防护不当；</w:t>
            </w:r>
          </w:p>
          <w:p>
            <w:pPr>
              <w:ind w:left="0" w:leftChars="0" w:firstLine="0" w:firstLineChars="0"/>
              <w:jc w:val="left"/>
              <w:rPr>
                <w:rFonts w:hint="eastAsia"/>
                <w:sz w:val="22"/>
                <w:szCs w:val="22"/>
                <w:lang w:val="en-US" w:eastAsia="zh-CN"/>
              </w:rPr>
            </w:pPr>
            <w:r>
              <w:rPr>
                <w:rFonts w:hint="eastAsia"/>
                <w:sz w:val="22"/>
                <w:szCs w:val="22"/>
                <w:lang w:val="en-US" w:eastAsia="zh-CN"/>
              </w:rPr>
              <w:t>4、违章操作；</w:t>
            </w:r>
          </w:p>
          <w:p>
            <w:pPr>
              <w:ind w:left="0" w:leftChars="0" w:firstLine="0" w:firstLineChars="0"/>
              <w:jc w:val="left"/>
              <w:rPr>
                <w:rFonts w:hint="eastAsia" w:ascii="宋体" w:hAnsi="宋体" w:eastAsia="宋体" w:cs="宋体"/>
                <w:b/>
                <w:i w:val="0"/>
                <w:color w:val="000000"/>
                <w:kern w:val="0"/>
                <w:sz w:val="24"/>
                <w:szCs w:val="24"/>
                <w:u w:val="none"/>
                <w:lang w:val="en-US" w:eastAsia="zh-CN" w:bidi="ar"/>
              </w:rPr>
            </w:pPr>
            <w:r>
              <w:rPr>
                <w:rFonts w:hint="eastAsia"/>
                <w:sz w:val="22"/>
                <w:szCs w:val="22"/>
                <w:lang w:val="en-US" w:eastAsia="zh-CN"/>
              </w:rPr>
              <w:t>5、气瓶未检验合格、安全附件失效或气瓶未固定。</w:t>
            </w:r>
          </w:p>
        </w:tc>
        <w:tc>
          <w:tcPr>
            <w:tcW w:w="2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lang w:val="en-US" w:eastAsia="zh-CN"/>
              </w:rPr>
              <w:t>人员伤亡、经济损失</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lang w:val="en-US" w:eastAsia="zh-CN"/>
              </w:rPr>
              <w:t>触电、火灾、职业危害（弧光、烟尘）</w:t>
            </w:r>
          </w:p>
        </w:tc>
      </w:tr>
    </w:tbl>
    <w:p/>
    <w:p>
      <w:pPr>
        <w:pStyle w:val="2"/>
        <w:ind w:left="0" w:leftChars="0" w:firstLine="0" w:firstLineChars="0"/>
      </w:pPr>
    </w:p>
    <w:p>
      <w:pPr>
        <w:pStyle w:val="2"/>
      </w:pPr>
    </w:p>
    <w:tbl>
      <w:tblPr>
        <w:tblStyle w:val="9"/>
        <w:tblW w:w="14325" w:type="dxa"/>
        <w:tblInd w:w="0" w:type="dxa"/>
        <w:shd w:val="clear" w:color="auto" w:fill="auto"/>
        <w:tblLayout w:type="fixed"/>
        <w:tblCellMar>
          <w:top w:w="0" w:type="dxa"/>
          <w:left w:w="0" w:type="dxa"/>
          <w:bottom w:w="0" w:type="dxa"/>
          <w:right w:w="0" w:type="dxa"/>
        </w:tblCellMar>
      </w:tblPr>
      <w:tblGrid>
        <w:gridCol w:w="1065"/>
        <w:gridCol w:w="2610"/>
        <w:gridCol w:w="1575"/>
        <w:gridCol w:w="4485"/>
        <w:gridCol w:w="2460"/>
        <w:gridCol w:w="2130"/>
      </w:tblGrid>
      <w:tr>
        <w:tblPrEx>
          <w:shd w:val="clear" w:color="auto" w:fill="auto"/>
          <w:tblLayout w:type="fixed"/>
          <w:tblCellMar>
            <w:top w:w="0" w:type="dxa"/>
            <w:left w:w="0" w:type="dxa"/>
            <w:bottom w:w="0" w:type="dxa"/>
            <w:right w:w="0" w:type="dxa"/>
          </w:tblCellMar>
        </w:tblPrEx>
        <w:trPr>
          <w:trHeight w:val="46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序号</w:t>
            </w:r>
          </w:p>
        </w:tc>
        <w:tc>
          <w:tcPr>
            <w:tcW w:w="26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单元/位置</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风险源点</w:t>
            </w:r>
          </w:p>
        </w:tc>
        <w:tc>
          <w:tcPr>
            <w:tcW w:w="4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危险有害因素</w:t>
            </w:r>
          </w:p>
        </w:tc>
        <w:tc>
          <w:tcPr>
            <w:tcW w:w="2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可能造成的后果</w:t>
            </w:r>
          </w:p>
        </w:tc>
        <w:tc>
          <w:tcPr>
            <w:tcW w:w="2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风险类别</w:t>
            </w:r>
          </w:p>
        </w:tc>
      </w:tr>
      <w:tr>
        <w:tblPrEx>
          <w:tblLayout w:type="fixed"/>
          <w:tblCellMar>
            <w:top w:w="0" w:type="dxa"/>
            <w:left w:w="0" w:type="dxa"/>
            <w:bottom w:w="0" w:type="dxa"/>
            <w:right w:w="0" w:type="dxa"/>
          </w:tblCellMar>
        </w:tblPrEx>
        <w:trPr>
          <w:trHeight w:val="46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宋体" w:hAnsi="宋体" w:eastAsia="宋体" w:cs="宋体"/>
                <w:b/>
                <w:i w:val="0"/>
                <w:color w:val="000000"/>
                <w:kern w:val="0"/>
                <w:sz w:val="24"/>
                <w:szCs w:val="24"/>
                <w:u w:val="none"/>
                <w:lang w:val="en-US" w:eastAsia="zh-CN" w:bidi="ar"/>
              </w:rPr>
            </w:pPr>
            <w:r>
              <w:rPr>
                <w:rFonts w:hint="eastAsia" w:ascii="宋体" w:hAnsi="宋体" w:cs="宋体"/>
                <w:b/>
                <w:i w:val="0"/>
                <w:color w:val="000000"/>
                <w:kern w:val="0"/>
                <w:sz w:val="24"/>
                <w:szCs w:val="24"/>
                <w:u w:val="none"/>
                <w:lang w:val="en-US" w:eastAsia="zh-CN" w:bidi="ar"/>
              </w:rPr>
              <w:t>7</w:t>
            </w:r>
          </w:p>
        </w:tc>
        <w:tc>
          <w:tcPr>
            <w:tcW w:w="26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cs="宋体"/>
                <w:b w:val="0"/>
                <w:bCs/>
                <w:i w:val="0"/>
                <w:color w:val="000000"/>
                <w:kern w:val="0"/>
                <w:sz w:val="24"/>
                <w:szCs w:val="24"/>
                <w:u w:val="none"/>
                <w:lang w:val="en-US" w:eastAsia="zh-CN" w:bidi="ar"/>
              </w:rPr>
              <w:t>机修车间</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cs="宋体"/>
                <w:b w:val="0"/>
                <w:bCs/>
                <w:i w:val="0"/>
                <w:color w:val="000000"/>
                <w:kern w:val="0"/>
                <w:sz w:val="24"/>
                <w:szCs w:val="24"/>
                <w:u w:val="none"/>
                <w:lang w:val="en-US" w:eastAsia="zh-CN" w:bidi="ar"/>
              </w:rPr>
              <w:t>手动葫芦</w:t>
            </w:r>
          </w:p>
        </w:tc>
        <w:tc>
          <w:tcPr>
            <w:tcW w:w="4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
              <w:numPr>
                <w:ilvl w:val="0"/>
                <w:numId w:val="2"/>
              </w:numPr>
              <w:ind w:left="0" w:leftChars="0" w:firstLine="0" w:firstLineChars="0"/>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吊装时倒链未挂好或倒链承重能力不够，造成吊物落下伤人；</w:t>
            </w:r>
          </w:p>
          <w:p>
            <w:pPr>
              <w:pStyle w:val="2"/>
              <w:numPr>
                <w:ilvl w:val="0"/>
                <w:numId w:val="2"/>
              </w:numPr>
              <w:ind w:left="0" w:leftChars="0" w:firstLine="0" w:firstLineChars="0"/>
              <w:rPr>
                <w:rFonts w:hint="eastAsia" w:ascii="宋体" w:hAnsi="宋体" w:eastAsia="宋体" w:cs="宋体"/>
                <w:b/>
                <w:i w:val="0"/>
                <w:color w:val="000000"/>
                <w:kern w:val="0"/>
                <w:sz w:val="24"/>
                <w:szCs w:val="24"/>
                <w:u w:val="none"/>
                <w:lang w:val="en-US" w:eastAsia="zh-CN" w:bidi="ar"/>
              </w:rPr>
            </w:pPr>
            <w:r>
              <w:rPr>
                <w:rFonts w:hint="eastAsia" w:ascii="Calibri" w:hAnsi="Calibri" w:eastAsia="宋体" w:cstheme="minorBidi"/>
                <w:kern w:val="2"/>
                <w:sz w:val="21"/>
                <w:szCs w:val="24"/>
                <w:lang w:val="en-US" w:eastAsia="zh-CN" w:bidi="ar-SA"/>
              </w:rPr>
              <w:t>未遵守起重作业国家标准，未遵守对现场指挥人员和起重机司机所使用基本信号和有关安全技术规定及操作规程；</w:t>
            </w:r>
          </w:p>
          <w:p>
            <w:pPr>
              <w:pStyle w:val="2"/>
              <w:numPr>
                <w:ilvl w:val="0"/>
                <w:numId w:val="2"/>
              </w:numPr>
              <w:ind w:left="0" w:leftChars="0" w:firstLine="0" w:firstLineChars="0"/>
              <w:rPr>
                <w:rFonts w:hint="eastAsia" w:ascii="宋体" w:hAnsi="宋体" w:eastAsia="宋体" w:cs="宋体"/>
                <w:b/>
                <w:i w:val="0"/>
                <w:color w:val="000000"/>
                <w:kern w:val="0"/>
                <w:sz w:val="24"/>
                <w:szCs w:val="24"/>
                <w:u w:val="none"/>
                <w:lang w:val="en-US" w:eastAsia="zh-CN" w:bidi="ar"/>
              </w:rPr>
            </w:pPr>
            <w:r>
              <w:rPr>
                <w:rFonts w:hint="default" w:ascii="Calibri" w:hAnsi="Calibri" w:eastAsia="宋体" w:cstheme="minorBidi"/>
                <w:kern w:val="2"/>
                <w:sz w:val="21"/>
                <w:szCs w:val="24"/>
                <w:lang w:val="en-US" w:eastAsia="zh-CN" w:bidi="ar-SA"/>
              </w:rPr>
              <w:t>吊钩等取物装置裂损、明显变形或磨损超标等缺陷，紧固装置失效；</w:t>
            </w:r>
          </w:p>
        </w:tc>
        <w:tc>
          <w:tcPr>
            <w:tcW w:w="2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kern w:val="0"/>
                <w:sz w:val="24"/>
                <w:szCs w:val="24"/>
                <w:u w:val="none"/>
                <w:lang w:val="en-US" w:eastAsia="zh-CN" w:bidi="ar"/>
              </w:rPr>
            </w:pPr>
            <w:r>
              <w:rPr>
                <w:rFonts w:hint="eastAsia" w:hAnsi="宋体"/>
                <w:sz w:val="21"/>
                <w:lang w:val="en-US" w:eastAsia="zh-CN"/>
              </w:rPr>
              <w:t>人员伤亡、经济损失</w:t>
            </w:r>
          </w:p>
        </w:tc>
        <w:tc>
          <w:tcPr>
            <w:tcW w:w="2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kern w:val="0"/>
                <w:sz w:val="24"/>
                <w:szCs w:val="24"/>
                <w:u w:val="none"/>
                <w:lang w:val="en-US" w:eastAsia="zh-CN" w:bidi="ar"/>
              </w:rPr>
            </w:pPr>
            <w:r>
              <w:rPr>
                <w:rFonts w:hint="eastAsia"/>
                <w:sz w:val="21"/>
                <w:szCs w:val="21"/>
                <w:lang w:val="en-US" w:eastAsia="zh-CN"/>
              </w:rPr>
              <w:t>起重伤害</w:t>
            </w:r>
          </w:p>
        </w:tc>
      </w:tr>
    </w:tbl>
    <w:tbl>
      <w:tblPr>
        <w:tblStyle w:val="9"/>
        <w:tblpPr w:leftFromText="180" w:rightFromText="180" w:vertAnchor="text" w:horzAnchor="page" w:tblpX="1433" w:tblpY="9"/>
        <w:tblOverlap w:val="never"/>
        <w:tblW w:w="14325" w:type="dxa"/>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Layout w:type="fixed"/>
        <w:tblCellMar>
          <w:top w:w="0" w:type="dxa"/>
          <w:left w:w="0" w:type="dxa"/>
          <w:bottom w:w="0" w:type="dxa"/>
          <w:right w:w="0" w:type="dxa"/>
        </w:tblCellMar>
      </w:tblPr>
      <w:tblGrid>
        <w:gridCol w:w="1090"/>
        <w:gridCol w:w="2595"/>
        <w:gridCol w:w="1605"/>
        <w:gridCol w:w="4455"/>
        <w:gridCol w:w="2508"/>
        <w:gridCol w:w="2072"/>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Layout w:type="fixed"/>
          <w:tblCellMar>
            <w:top w:w="0" w:type="dxa"/>
            <w:left w:w="0" w:type="dxa"/>
            <w:bottom w:w="0" w:type="dxa"/>
            <w:right w:w="0" w:type="dxa"/>
          </w:tblCellMar>
        </w:tblPrEx>
        <w:trPr>
          <w:trHeight w:val="300" w:hRule="atLeast"/>
        </w:trPr>
        <w:tc>
          <w:tcPr>
            <w:tcW w:w="1090" w:type="dxa"/>
            <w:vMerge w:val="restart"/>
            <w:tcBorders>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2595" w:type="dxa"/>
            <w:vMerge w:val="restart"/>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厂房用电</w:t>
            </w:r>
          </w:p>
        </w:tc>
        <w:tc>
          <w:tcPr>
            <w:tcW w:w="1605" w:type="dxa"/>
            <w:vMerge w:val="restart"/>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480" w:firstLineChars="200"/>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用电规范</w:t>
            </w:r>
          </w:p>
        </w:tc>
        <w:tc>
          <w:tcPr>
            <w:tcW w:w="4455" w:type="dxa"/>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电线私拉乱接，绝缘破损；</w:t>
            </w:r>
          </w:p>
        </w:tc>
        <w:tc>
          <w:tcPr>
            <w:tcW w:w="2508" w:type="dxa"/>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人员伤亡、火灾、经济损失</w:t>
            </w:r>
          </w:p>
        </w:tc>
        <w:tc>
          <w:tcPr>
            <w:tcW w:w="2072" w:type="dxa"/>
            <w:tcBorders>
              <w:left w:val="single" w:color="000000" w:sz="4" w:space="0"/>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触电、火灾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300" w:hRule="atLeast"/>
        </w:trPr>
        <w:tc>
          <w:tcPr>
            <w:tcW w:w="1090" w:type="dxa"/>
            <w:vMerge w:val="continue"/>
            <w:tcBorders>
              <w:top w:val="nil"/>
              <w:bottom w:val="nil"/>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259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4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导线直接插入插座内使用，在电线上悬挂物品；</w:t>
            </w:r>
          </w:p>
        </w:tc>
        <w:tc>
          <w:tcPr>
            <w:tcW w:w="2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人员伤亡、火灾、经济损失</w:t>
            </w:r>
          </w:p>
        </w:tc>
        <w:tc>
          <w:tcPr>
            <w:tcW w:w="2072" w:type="dxa"/>
            <w:tcBorders>
              <w:top w:val="single" w:color="000000" w:sz="4" w:space="0"/>
              <w:left w:val="single" w:color="000000" w:sz="4" w:space="0"/>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触电、火灾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300" w:hRule="atLeast"/>
        </w:trPr>
        <w:tc>
          <w:tcPr>
            <w:tcW w:w="1090" w:type="dxa"/>
            <w:vMerge w:val="continue"/>
            <w:tcBorders>
              <w:top w:val="nil"/>
              <w:bottom w:val="nil"/>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259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4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使用破损的插头、插座及电线；</w:t>
            </w:r>
          </w:p>
        </w:tc>
        <w:tc>
          <w:tcPr>
            <w:tcW w:w="2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人员伤亡、火灾、经济损失</w:t>
            </w:r>
          </w:p>
        </w:tc>
        <w:tc>
          <w:tcPr>
            <w:tcW w:w="2072" w:type="dxa"/>
            <w:tcBorders>
              <w:top w:val="single" w:color="000000" w:sz="4" w:space="0"/>
              <w:left w:val="single" w:color="000000" w:sz="4" w:space="0"/>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触电、火灾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300" w:hRule="atLeast"/>
        </w:trPr>
        <w:tc>
          <w:tcPr>
            <w:tcW w:w="1090" w:type="dxa"/>
            <w:vMerge w:val="continue"/>
            <w:tcBorders>
              <w:top w:val="nil"/>
              <w:bottom w:val="nil"/>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259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4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照明灯具的选型、安装与作业场所环境不相应；</w:t>
            </w:r>
          </w:p>
        </w:tc>
        <w:tc>
          <w:tcPr>
            <w:tcW w:w="2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人员伤亡、火灾、经济损失</w:t>
            </w:r>
          </w:p>
        </w:tc>
        <w:tc>
          <w:tcPr>
            <w:tcW w:w="2072" w:type="dxa"/>
            <w:tcBorders>
              <w:top w:val="single" w:color="000000" w:sz="4" w:space="0"/>
              <w:left w:val="single" w:color="000000" w:sz="4" w:space="0"/>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触电、火灾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420" w:hRule="atLeast"/>
        </w:trPr>
        <w:tc>
          <w:tcPr>
            <w:tcW w:w="1090" w:type="dxa"/>
            <w:vMerge w:val="continue"/>
            <w:tcBorders>
              <w:top w:val="nil"/>
              <w:bottom w:val="nil"/>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259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480" w:firstLineChars="200"/>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配电箱</w:t>
            </w:r>
          </w:p>
        </w:tc>
        <w:tc>
          <w:tcPr>
            <w:tcW w:w="4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配电箱（柜）上未张贴安全警示标志；</w:t>
            </w:r>
          </w:p>
        </w:tc>
        <w:tc>
          <w:tcPr>
            <w:tcW w:w="2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人员伤亡、经济损失</w:t>
            </w:r>
          </w:p>
        </w:tc>
        <w:tc>
          <w:tcPr>
            <w:tcW w:w="2072" w:type="dxa"/>
            <w:tcBorders>
              <w:top w:val="single" w:color="000000" w:sz="4" w:space="0"/>
              <w:left w:val="single" w:color="000000" w:sz="4" w:space="0"/>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触电</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420" w:hRule="atLeast"/>
        </w:trPr>
        <w:tc>
          <w:tcPr>
            <w:tcW w:w="1090" w:type="dxa"/>
            <w:vMerge w:val="continue"/>
            <w:tcBorders>
              <w:top w:val="nil"/>
              <w:bottom w:val="nil"/>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259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4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配电箱（柜）内有积尘、积水或杂物；</w:t>
            </w:r>
          </w:p>
        </w:tc>
        <w:tc>
          <w:tcPr>
            <w:tcW w:w="2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人员伤亡、经济损失</w:t>
            </w:r>
          </w:p>
        </w:tc>
        <w:tc>
          <w:tcPr>
            <w:tcW w:w="2072" w:type="dxa"/>
            <w:tcBorders>
              <w:top w:val="single" w:color="000000" w:sz="4" w:space="0"/>
              <w:left w:val="single" w:color="000000" w:sz="4" w:space="0"/>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触电、火灾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540" w:hRule="atLeast"/>
        </w:trPr>
        <w:tc>
          <w:tcPr>
            <w:tcW w:w="1090" w:type="dxa"/>
            <w:vMerge w:val="continue"/>
            <w:tcBorders>
              <w:top w:val="nil"/>
              <w:bottom w:val="nil"/>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259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4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配电箱内未张贴电气控制线路图，开关上未张贴分路标识，误操作存在风险；</w:t>
            </w:r>
          </w:p>
        </w:tc>
        <w:tc>
          <w:tcPr>
            <w:tcW w:w="2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人员伤亡、经济损失</w:t>
            </w:r>
          </w:p>
        </w:tc>
        <w:tc>
          <w:tcPr>
            <w:tcW w:w="2072" w:type="dxa"/>
            <w:tcBorders>
              <w:top w:val="single" w:color="000000" w:sz="4" w:space="0"/>
              <w:left w:val="single" w:color="000000" w:sz="4" w:space="0"/>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触电、火灾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540" w:hRule="atLeast"/>
        </w:trPr>
        <w:tc>
          <w:tcPr>
            <w:tcW w:w="1090" w:type="dxa"/>
            <w:vMerge w:val="continue"/>
            <w:tcBorders>
              <w:top w:val="nil"/>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259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05" w:type="dxa"/>
            <w:vMerge w:val="continue"/>
            <w:tcBorders>
              <w:top w:val="nil"/>
              <w:left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4455"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箱柜体插座连接不正确，未配有漏电保护器；</w:t>
            </w:r>
          </w:p>
        </w:tc>
        <w:tc>
          <w:tcPr>
            <w:tcW w:w="250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人员伤亡、经济损失</w:t>
            </w:r>
          </w:p>
        </w:tc>
        <w:tc>
          <w:tcPr>
            <w:tcW w:w="2072" w:type="dxa"/>
            <w:tcBorders>
              <w:top w:val="single" w:color="000000" w:sz="4" w:space="0"/>
              <w:lef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Calibri" w:hAnsi="Calibri" w:eastAsia="宋体" w:cstheme="minorBidi"/>
                <w:kern w:val="2"/>
                <w:sz w:val="21"/>
                <w:szCs w:val="24"/>
                <w:lang w:val="en-US" w:eastAsia="zh-CN" w:bidi="ar-SA"/>
              </w:rPr>
            </w:pPr>
            <w:r>
              <w:rPr>
                <w:rFonts w:hint="eastAsia" w:ascii="Calibri" w:hAnsi="Calibri" w:eastAsia="宋体" w:cstheme="minorBidi"/>
                <w:kern w:val="2"/>
                <w:sz w:val="21"/>
                <w:szCs w:val="24"/>
                <w:lang w:val="en-US" w:eastAsia="zh-CN" w:bidi="ar-SA"/>
              </w:rPr>
              <w:t>触电</w:t>
            </w:r>
          </w:p>
        </w:tc>
      </w:tr>
    </w:tbl>
    <w:tbl>
      <w:tblPr>
        <w:tblStyle w:val="9"/>
        <w:tblW w:w="14325" w:type="dxa"/>
        <w:tblInd w:w="0" w:type="dxa"/>
        <w:shd w:val="clear" w:color="auto" w:fill="auto"/>
        <w:tblLayout w:type="fixed"/>
        <w:tblCellMar>
          <w:top w:w="0" w:type="dxa"/>
          <w:left w:w="0" w:type="dxa"/>
          <w:bottom w:w="0" w:type="dxa"/>
          <w:right w:w="0" w:type="dxa"/>
        </w:tblCellMar>
      </w:tblPr>
      <w:tblGrid>
        <w:gridCol w:w="1065"/>
        <w:gridCol w:w="2610"/>
        <w:gridCol w:w="1575"/>
        <w:gridCol w:w="4485"/>
        <w:gridCol w:w="2460"/>
        <w:gridCol w:w="2130"/>
      </w:tblGrid>
      <w:tr>
        <w:tblPrEx>
          <w:shd w:val="clear" w:color="auto" w:fill="auto"/>
          <w:tblLayout w:type="fixed"/>
          <w:tblCellMar>
            <w:top w:w="0" w:type="dxa"/>
            <w:left w:w="0" w:type="dxa"/>
            <w:bottom w:w="0" w:type="dxa"/>
            <w:right w:w="0" w:type="dxa"/>
          </w:tblCellMar>
        </w:tblPrEx>
        <w:trPr>
          <w:trHeight w:val="46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序号</w:t>
            </w:r>
          </w:p>
        </w:tc>
        <w:tc>
          <w:tcPr>
            <w:tcW w:w="26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单元/位置</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风险源点</w:t>
            </w:r>
          </w:p>
        </w:tc>
        <w:tc>
          <w:tcPr>
            <w:tcW w:w="4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危险有害因素</w:t>
            </w:r>
          </w:p>
        </w:tc>
        <w:tc>
          <w:tcPr>
            <w:tcW w:w="2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可能造成的后果</w:t>
            </w:r>
          </w:p>
        </w:tc>
        <w:tc>
          <w:tcPr>
            <w:tcW w:w="2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风险类别</w:t>
            </w:r>
          </w:p>
        </w:tc>
      </w:tr>
    </w:tbl>
    <w:tbl>
      <w:tblPr>
        <w:tblStyle w:val="9"/>
        <w:tblpPr w:leftFromText="180" w:rightFromText="180" w:vertAnchor="text" w:horzAnchor="page" w:tblpX="1433" w:tblpY="9"/>
        <w:tblOverlap w:val="never"/>
        <w:tblW w:w="14325" w:type="dxa"/>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Layout w:type="fixed"/>
        <w:tblCellMar>
          <w:top w:w="0" w:type="dxa"/>
          <w:left w:w="0" w:type="dxa"/>
          <w:bottom w:w="0" w:type="dxa"/>
          <w:right w:w="0" w:type="dxa"/>
        </w:tblCellMar>
      </w:tblPr>
      <w:tblGrid>
        <w:gridCol w:w="1015"/>
        <w:gridCol w:w="1270"/>
        <w:gridCol w:w="1400"/>
        <w:gridCol w:w="1605"/>
        <w:gridCol w:w="4455"/>
        <w:gridCol w:w="2508"/>
        <w:gridCol w:w="2072"/>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Layout w:type="fixed"/>
          <w:tblCellMar>
            <w:top w:w="0" w:type="dxa"/>
            <w:left w:w="0" w:type="dxa"/>
            <w:bottom w:w="0" w:type="dxa"/>
            <w:right w:w="0" w:type="dxa"/>
          </w:tblCellMar>
        </w:tblPrEx>
        <w:trPr>
          <w:trHeight w:val="600" w:hRule="atLeast"/>
        </w:trPr>
        <w:tc>
          <w:tcPr>
            <w:tcW w:w="1015" w:type="dxa"/>
            <w:vMerge w:val="restart"/>
            <w:tcBorders>
              <w:top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厂房</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消防安全</w:t>
            </w:r>
          </w:p>
        </w:tc>
        <w:tc>
          <w:tcPr>
            <w:tcW w:w="16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消防设备及通道</w:t>
            </w:r>
          </w:p>
        </w:tc>
        <w:tc>
          <w:tcPr>
            <w:tcW w:w="4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未设置自动火灾报警装置，未设消防水系统与消防通道。</w:t>
            </w:r>
          </w:p>
        </w:tc>
        <w:tc>
          <w:tcPr>
            <w:tcW w:w="2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火灾、经济损失</w:t>
            </w:r>
          </w:p>
        </w:tc>
        <w:tc>
          <w:tcPr>
            <w:tcW w:w="2072" w:type="dxa"/>
            <w:tcBorders>
              <w:top w:val="single" w:color="000000" w:sz="4" w:space="0"/>
              <w:left w:val="single" w:color="000000" w:sz="4" w:space="0"/>
              <w:bottom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火灾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540" w:hRule="atLeast"/>
        </w:trPr>
        <w:tc>
          <w:tcPr>
            <w:tcW w:w="1015" w:type="dxa"/>
            <w:vMerge w:val="continue"/>
            <w:tcBorders>
              <w:top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8"/>
                <w:szCs w:val="28"/>
                <w:u w:val="none"/>
              </w:rPr>
            </w:pPr>
          </w:p>
        </w:tc>
        <w:tc>
          <w:tcPr>
            <w:tcW w:w="4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车间主控楼（室）等要害部位的疏散出口未按要求设置安全出口；</w:t>
            </w:r>
          </w:p>
        </w:tc>
        <w:tc>
          <w:tcPr>
            <w:tcW w:w="2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火灾、经济损失</w:t>
            </w:r>
          </w:p>
        </w:tc>
        <w:tc>
          <w:tcPr>
            <w:tcW w:w="2072" w:type="dxa"/>
            <w:tcBorders>
              <w:top w:val="single" w:color="000000" w:sz="4" w:space="0"/>
              <w:left w:val="single" w:color="000000" w:sz="4" w:space="0"/>
              <w:bottom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火灾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480" w:hRule="atLeast"/>
        </w:trPr>
        <w:tc>
          <w:tcPr>
            <w:tcW w:w="1015" w:type="dxa"/>
            <w:vMerge w:val="continue"/>
            <w:tcBorders>
              <w:top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安全出口</w:t>
            </w:r>
          </w:p>
        </w:tc>
        <w:tc>
          <w:tcPr>
            <w:tcW w:w="4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安全出口、疏散用门上锁、封堵；</w:t>
            </w:r>
          </w:p>
        </w:tc>
        <w:tc>
          <w:tcPr>
            <w:tcW w:w="25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影响逃生、救援造成火灾伤害</w:t>
            </w:r>
          </w:p>
        </w:tc>
        <w:tc>
          <w:tcPr>
            <w:tcW w:w="2072" w:type="dxa"/>
            <w:tcBorders>
              <w:top w:val="single" w:color="000000" w:sz="4" w:space="0"/>
              <w:left w:val="single" w:color="000000" w:sz="4" w:space="0"/>
              <w:bottom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火灾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720" w:hRule="atLeast"/>
        </w:trPr>
        <w:tc>
          <w:tcPr>
            <w:tcW w:w="1015" w:type="dxa"/>
            <w:vMerge w:val="continue"/>
            <w:tcBorders>
              <w:top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疏散标识</w:t>
            </w:r>
          </w:p>
        </w:tc>
        <w:tc>
          <w:tcPr>
            <w:tcW w:w="4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安全出入口、防烟楼梯间的疏散走道拐弯处。超过20m的通道、超过10m的袋形走道、疏散走道拐弯处未设置消防安全疏散标识；</w:t>
            </w:r>
          </w:p>
        </w:tc>
        <w:tc>
          <w:tcPr>
            <w:tcW w:w="25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影响逃生、救援造成火灾伤害</w:t>
            </w:r>
          </w:p>
        </w:tc>
        <w:tc>
          <w:tcPr>
            <w:tcW w:w="2072" w:type="dxa"/>
            <w:tcBorders>
              <w:top w:val="single" w:color="000000" w:sz="4" w:space="0"/>
              <w:left w:val="single" w:color="000000" w:sz="4" w:space="0"/>
              <w:bottom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火灾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837" w:hRule="atLeast"/>
        </w:trPr>
        <w:tc>
          <w:tcPr>
            <w:tcW w:w="1015" w:type="dxa"/>
            <w:vMerge w:val="continue"/>
            <w:tcBorders>
              <w:top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270" w:type="dxa"/>
            <w:vMerge w:val="continue"/>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400" w:type="dxa"/>
            <w:vMerge w:val="continue"/>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05" w:type="dxa"/>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应急照明</w:t>
            </w:r>
          </w:p>
        </w:tc>
        <w:tc>
          <w:tcPr>
            <w:tcW w:w="4455"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主要通道及出入口、楼梯、电力室、中控室等，未设置应急照明灯，且应急照明时间少于30min；</w:t>
            </w:r>
          </w:p>
        </w:tc>
        <w:tc>
          <w:tcPr>
            <w:tcW w:w="2508" w:type="dxa"/>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影响逃生、救援造成火灾伤害</w:t>
            </w:r>
          </w:p>
        </w:tc>
        <w:tc>
          <w:tcPr>
            <w:tcW w:w="2072" w:type="dxa"/>
            <w:tcBorders>
              <w:top w:val="single" w:color="000000" w:sz="4" w:space="0"/>
              <w:lef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火灾</w:t>
            </w:r>
          </w:p>
        </w:tc>
      </w:tr>
    </w:tbl>
    <w:p>
      <w:pPr>
        <w:pStyle w:val="2"/>
      </w:pPr>
    </w:p>
    <w:p>
      <w:pPr>
        <w:pStyle w:val="2"/>
        <w:jc w:val="center"/>
      </w:pPr>
      <w:bookmarkStart w:id="0" w:name="_GoBack"/>
      <w:r>
        <w:rPr>
          <w:rFonts w:hint="eastAsia"/>
          <w:lang w:eastAsia="zh-CN"/>
        </w:rPr>
        <w:drawing>
          <wp:inline distT="0" distB="0" distL="114300" distR="114300">
            <wp:extent cx="2406015" cy="1304925"/>
            <wp:effectExtent l="0" t="0" r="13335" b="9525"/>
            <wp:docPr id="1" name="图片 1" descr="微信图片_20190512110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190512110506"/>
                    <pic:cNvPicPr>
                      <a:picLocks noChangeAspect="1"/>
                    </pic:cNvPicPr>
                  </pic:nvPicPr>
                  <pic:blipFill>
                    <a:blip r:embed="rId5"/>
                    <a:stretch>
                      <a:fillRect/>
                    </a:stretch>
                  </pic:blipFill>
                  <pic:spPr>
                    <a:xfrm>
                      <a:off x="0" y="0"/>
                      <a:ext cx="2406015" cy="1304925"/>
                    </a:xfrm>
                    <a:prstGeom prst="rect">
                      <a:avLst/>
                    </a:prstGeom>
                    <a:noFill/>
                    <a:ln>
                      <a:noFill/>
                    </a:ln>
                  </pic:spPr>
                </pic:pic>
              </a:graphicData>
            </a:graphic>
          </wp:inline>
        </w:drawing>
      </w:r>
      <w:bookmarkEnd w:id="0"/>
    </w:p>
    <w:p>
      <w:pPr>
        <w:pStyle w:val="2"/>
      </w:pPr>
    </w:p>
    <w:p>
      <w:pPr>
        <w:pStyle w:val="2"/>
      </w:pPr>
    </w:p>
    <w:p>
      <w:pPr>
        <w:pStyle w:val="2"/>
      </w:pPr>
    </w:p>
    <w:p>
      <w:pPr>
        <w:pStyle w:val="2"/>
      </w:pPr>
    </w:p>
    <w:sectPr>
      <w:headerReference r:id="rId3" w:type="default"/>
      <w:pgSz w:w="16838" w:h="11906" w:orient="landscape"/>
      <w:pgMar w:top="1406" w:right="1440" w:bottom="1349"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eastAsia" w:eastAsia="宋体"/>
        <w:sz w:val="40"/>
        <w:szCs w:val="56"/>
        <w:lang w:eastAsia="zh-CN"/>
      </w:rPr>
    </w:pPr>
    <w:r>
      <w:rPr>
        <w:rFonts w:hint="eastAsia"/>
        <w:sz w:val="40"/>
        <w:szCs w:val="56"/>
        <w:lang w:eastAsia="zh-CN"/>
      </w:rPr>
      <w:t>汽车修理厂</w:t>
    </w:r>
    <w:r>
      <w:rPr>
        <w:rFonts w:hint="eastAsia"/>
        <w:sz w:val="40"/>
        <w:szCs w:val="56"/>
      </w:rPr>
      <w:t>安全风险</w:t>
    </w:r>
    <w:r>
      <w:rPr>
        <w:rFonts w:hint="eastAsia"/>
        <w:sz w:val="40"/>
        <w:szCs w:val="56"/>
        <w:lang w:eastAsia="zh-CN"/>
      </w:rPr>
      <w:t>源点辨识清单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50BF4B"/>
    <w:multiLevelType w:val="singleLevel"/>
    <w:tmpl w:val="8350BF4B"/>
    <w:lvl w:ilvl="0" w:tentative="0">
      <w:start w:val="1"/>
      <w:numFmt w:val="decimal"/>
      <w:suff w:val="nothing"/>
      <w:lvlText w:val="%1、"/>
      <w:lvlJc w:val="left"/>
    </w:lvl>
  </w:abstractNum>
  <w:abstractNum w:abstractNumId="1">
    <w:nsid w:val="F4EE3619"/>
    <w:multiLevelType w:val="singleLevel"/>
    <w:tmpl w:val="F4EE3619"/>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7B2809"/>
    <w:rsid w:val="01E837F6"/>
    <w:rsid w:val="0353112E"/>
    <w:rsid w:val="043657BA"/>
    <w:rsid w:val="06A22594"/>
    <w:rsid w:val="091E0DBA"/>
    <w:rsid w:val="0C5B3165"/>
    <w:rsid w:val="0C7B2809"/>
    <w:rsid w:val="0C8D17C9"/>
    <w:rsid w:val="0F9E2FF2"/>
    <w:rsid w:val="14FA5229"/>
    <w:rsid w:val="220D1F84"/>
    <w:rsid w:val="23473221"/>
    <w:rsid w:val="24C16ADA"/>
    <w:rsid w:val="26453CBE"/>
    <w:rsid w:val="3417540A"/>
    <w:rsid w:val="3BB86954"/>
    <w:rsid w:val="40F02D83"/>
    <w:rsid w:val="42127670"/>
    <w:rsid w:val="439C27D7"/>
    <w:rsid w:val="4ED96F6E"/>
    <w:rsid w:val="51E53F70"/>
    <w:rsid w:val="53CE482E"/>
    <w:rsid w:val="5E373072"/>
    <w:rsid w:val="61CA5FB2"/>
    <w:rsid w:val="66BD7019"/>
    <w:rsid w:val="6831795B"/>
    <w:rsid w:val="69050DAC"/>
    <w:rsid w:val="76827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76" w:lineRule="auto"/>
      <w:ind w:firstLine="400" w:firstLineChars="200"/>
      <w:jc w:val="left"/>
    </w:pPr>
    <w:rPr>
      <w:rFonts w:ascii="Calibri" w:hAnsi="Calibri" w:eastAsia="宋体" w:cstheme="minorBidi"/>
      <w:kern w:val="2"/>
      <w:sz w:val="21"/>
      <w:szCs w:val="24"/>
      <w:lang w:val="en-US" w:eastAsia="zh-CN" w:bidi="ar-SA"/>
    </w:rPr>
  </w:style>
  <w:style w:type="paragraph" w:styleId="3">
    <w:name w:val="heading 1"/>
    <w:basedOn w:val="4"/>
    <w:next w:val="1"/>
    <w:link w:val="12"/>
    <w:qFormat/>
    <w:uiPriority w:val="0"/>
    <w:pPr>
      <w:keepNext/>
      <w:keepLines/>
      <w:spacing w:line="276" w:lineRule="auto"/>
      <w:ind w:left="0" w:leftChars="0" w:right="0" w:rightChars="0" w:firstLine="0" w:firstLineChars="0"/>
      <w:jc w:val="left"/>
      <w:outlineLvl w:val="0"/>
    </w:pPr>
    <w:rPr>
      <w:rFonts w:ascii="宋体" w:hAnsi="宋体" w:eastAsia="黑体" w:cs="黑体"/>
      <w:b w:val="0"/>
      <w:bCs/>
      <w:kern w:val="44"/>
      <w:sz w:val="21"/>
      <w:szCs w:val="44"/>
    </w:rPr>
  </w:style>
  <w:style w:type="paragraph" w:styleId="5">
    <w:name w:val="heading 2"/>
    <w:basedOn w:val="3"/>
    <w:next w:val="6"/>
    <w:link w:val="11"/>
    <w:semiHidden/>
    <w:unhideWhenUsed/>
    <w:qFormat/>
    <w:uiPriority w:val="0"/>
    <w:pPr>
      <w:keepNext/>
      <w:keepLines/>
      <w:spacing w:line="276" w:lineRule="auto"/>
      <w:ind w:firstLine="0" w:firstLineChars="0"/>
      <w:jc w:val="left"/>
      <w:outlineLvl w:val="1"/>
    </w:pPr>
    <w:rPr>
      <w:rFonts w:ascii="黑体" w:hAnsi="黑体"/>
      <w:szCs w:val="32"/>
    </w:rPr>
  </w:style>
  <w:style w:type="paragraph" w:styleId="6">
    <w:name w:val="heading 3"/>
    <w:basedOn w:val="5"/>
    <w:next w:val="1"/>
    <w:semiHidden/>
    <w:unhideWhenUsed/>
    <w:qFormat/>
    <w:uiPriority w:val="0"/>
    <w:pPr>
      <w:adjustRightInd w:val="0"/>
      <w:spacing w:beforeAutospacing="0" w:after="50" w:afterAutospacing="1"/>
      <w:ind w:left="0" w:leftChars="0" w:right="0" w:rightChars="0" w:firstLine="0" w:firstLineChars="0"/>
      <w:jc w:val="left"/>
      <w:outlineLvl w:val="2"/>
    </w:pPr>
    <w:rPr>
      <w:rFonts w:hint="eastAsia" w:ascii="宋体" w:hAnsi="宋体" w:eastAsia="宋体" w:cs="宋体"/>
      <w:kern w:val="0"/>
      <w:szCs w:val="27"/>
      <w:lang w:bidi="ar"/>
    </w:rPr>
  </w:style>
  <w:style w:type="character" w:default="1" w:styleId="10">
    <w:name w:val="Default Paragraph Font"/>
    <w:semiHidden/>
    <w:unhideWhenUsed/>
    <w:qFormat/>
    <w:uiPriority w:val="1"/>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11">
    <w:name w:val="标题 2 Char"/>
    <w:link w:val="5"/>
    <w:semiHidden/>
    <w:qFormat/>
    <w:uiPriority w:val="9"/>
    <w:rPr>
      <w:rFonts w:ascii="黑体" w:hAnsi="黑体" w:eastAsia="黑体"/>
      <w:bCs/>
      <w:sz w:val="21"/>
      <w:szCs w:val="32"/>
    </w:rPr>
  </w:style>
  <w:style w:type="character" w:customStyle="1" w:styleId="12">
    <w:name w:val="标题 1 Char"/>
    <w:link w:val="3"/>
    <w:qFormat/>
    <w:uiPriority w:val="9"/>
    <w:rPr>
      <w:rFonts w:ascii="宋体" w:hAnsi="宋体" w:eastAsia="黑体" w:cs="黑体"/>
      <w:bCs/>
      <w:kern w:val="44"/>
      <w:sz w:val="21"/>
      <w:szCs w:val="44"/>
    </w:rPr>
  </w:style>
  <w:style w:type="character" w:customStyle="1" w:styleId="13">
    <w:name w:val="font41"/>
    <w:basedOn w:val="10"/>
    <w:qFormat/>
    <w:uiPriority w:val="0"/>
    <w:rPr>
      <w:rFonts w:hint="eastAsia" w:ascii="宋体" w:hAnsi="宋体" w:eastAsia="宋体" w:cs="宋体"/>
      <w:color w:val="000000"/>
      <w:sz w:val="20"/>
      <w:szCs w:val="20"/>
      <w:u w:val="none"/>
    </w:rPr>
  </w:style>
  <w:style w:type="character" w:customStyle="1" w:styleId="14">
    <w:name w:val="font01"/>
    <w:basedOn w:val="10"/>
    <w:qFormat/>
    <w:uiPriority w:val="0"/>
    <w:rPr>
      <w:rFonts w:ascii="Arial Unicode MS" w:hAnsi="Arial Unicode MS" w:eastAsia="Arial Unicode MS" w:cs="Arial Unicode MS"/>
      <w:color w:val="000000"/>
      <w:sz w:val="20"/>
      <w:szCs w:val="20"/>
      <w:u w:val="none"/>
    </w:rPr>
  </w:style>
  <w:style w:type="character" w:customStyle="1" w:styleId="15">
    <w:name w:val="font21"/>
    <w:basedOn w:val="10"/>
    <w:qFormat/>
    <w:uiPriority w:val="0"/>
    <w:rPr>
      <w:rFonts w:hint="eastAsia" w:ascii="宋体" w:hAnsi="宋体" w:eastAsia="宋体" w:cs="宋体"/>
      <w:color w:val="000000"/>
      <w:sz w:val="20"/>
      <w:szCs w:val="20"/>
      <w:u w:val="none"/>
    </w:rPr>
  </w:style>
  <w:style w:type="paragraph" w:customStyle="1" w:styleId="16">
    <w:name w:val="Default"/>
    <w:basedOn w:val="1"/>
    <w:qFormat/>
    <w:uiPriority w:val="0"/>
    <w:pPr>
      <w:autoSpaceDE w:val="0"/>
      <w:autoSpaceDN w:val="0"/>
      <w:adjustRightInd w:val="0"/>
      <w:jc w:val="left"/>
    </w:pPr>
    <w:rPr>
      <w:rFonts w:ascii="宋体" w:cs="宋体"/>
      <w:color w:val="000000"/>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2019-04-12T07:31:00Z</dcterms:created>
  <dc:creator>ζั͡ޓއއއ ♥</dc:creator>
  <cp:lastModifiedBy>ζั͡ޓއއއ ♥</cp:lastModifiedBy>
  <dcterms:modified xsi:type="dcterms:W3CDTF">2019-05-12T12:09:39Z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