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方正小标宋简体" w:hAnsi="Times New Roman" w:eastAsia="方正小标宋简体" w:cs="Times New Roman"/>
          <w:sz w:val="32"/>
          <w:szCs w:val="32"/>
        </w:rPr>
      </w:pPr>
      <w:r>
        <w:rPr>
          <w:rFonts w:hint="eastAsia" w:ascii="方正小标宋简体" w:hAnsi="Times New Roman" w:eastAsia="方正小标宋简体" w:cs="Times New Roman"/>
          <w:sz w:val="32"/>
          <w:szCs w:val="32"/>
        </w:rPr>
        <w:t>北京市危险化学品相关6类企业安全风险辨识建议清单</w:t>
      </w:r>
    </w:p>
    <w:p>
      <w:pPr>
        <w:spacing w:line="360" w:lineRule="auto"/>
        <w:jc w:val="center"/>
        <w:rPr>
          <w:rFonts w:ascii="方正小标宋简体" w:hAnsi="Times New Roman" w:eastAsia="方正小标宋简体" w:cs="Times New Roman"/>
          <w:szCs w:val="21"/>
        </w:rPr>
      </w:pPr>
    </w:p>
    <w:p>
      <w:pPr>
        <w:spacing w:line="360" w:lineRule="auto"/>
        <w:ind w:firstLine="420" w:firstLineChars="200"/>
        <w:rPr>
          <w:rFonts w:ascii="Times New Roman" w:hAnsi="Times New Roman" w:eastAsia="宋体" w:cs="Times New Roman"/>
          <w:szCs w:val="24"/>
        </w:rPr>
      </w:pPr>
      <w:r>
        <w:rPr>
          <w:rFonts w:ascii="Times New Roman" w:hAnsi="Times New Roman" w:eastAsia="宋体" w:cs="Times New Roman"/>
          <w:szCs w:val="24"/>
        </w:rPr>
        <w:t>本建议清单供危险化学品</w:t>
      </w:r>
      <w:r>
        <w:rPr>
          <w:rFonts w:hint="eastAsia" w:ascii="Times New Roman" w:hAnsi="Times New Roman" w:eastAsia="宋体" w:cs="Times New Roman"/>
          <w:szCs w:val="24"/>
        </w:rPr>
        <w:t>行业</w:t>
      </w:r>
      <w:r>
        <w:rPr>
          <w:rFonts w:ascii="Times New Roman" w:hAnsi="Times New Roman" w:eastAsia="宋体" w:cs="Times New Roman"/>
          <w:szCs w:val="24"/>
        </w:rPr>
        <w:t>企业开展安全风险辨识时参考使用</w:t>
      </w:r>
      <w:r>
        <w:rPr>
          <w:rFonts w:hint="eastAsia" w:ascii="Times New Roman" w:hAnsi="Times New Roman" w:eastAsia="宋体" w:cs="Times New Roman"/>
          <w:szCs w:val="24"/>
        </w:rPr>
        <w:t>，企业应结合自身实际情况，全面识别本企业</w:t>
      </w:r>
      <w:r>
        <w:rPr>
          <w:rFonts w:ascii="Times New Roman" w:hAnsi="Times New Roman" w:eastAsia="宋体" w:cs="Times New Roman"/>
          <w:szCs w:val="24"/>
        </w:rPr>
        <w:t>所有</w:t>
      </w:r>
      <w:r>
        <w:rPr>
          <w:rFonts w:hint="eastAsia" w:ascii="Times New Roman" w:hAnsi="Times New Roman" w:eastAsia="宋体" w:cs="Times New Roman"/>
          <w:szCs w:val="24"/>
        </w:rPr>
        <w:t>工艺装置、设备设施、场所、作业活动</w:t>
      </w:r>
      <w:r>
        <w:rPr>
          <w:rFonts w:ascii="Times New Roman" w:hAnsi="Times New Roman" w:eastAsia="宋体" w:cs="Times New Roman"/>
          <w:szCs w:val="24"/>
        </w:rPr>
        <w:t>中正常、异常、紧急三种状态下可能存在的安全风险</w:t>
      </w:r>
      <w:r>
        <w:rPr>
          <w:rFonts w:hint="eastAsia" w:ascii="Times New Roman" w:hAnsi="Times New Roman" w:eastAsia="宋体" w:cs="Times New Roman"/>
          <w:szCs w:val="24"/>
        </w:rPr>
        <w:t>，</w:t>
      </w:r>
      <w:r>
        <w:rPr>
          <w:rFonts w:ascii="Times New Roman" w:hAnsi="Times New Roman" w:eastAsia="宋体" w:cs="Times New Roman"/>
          <w:szCs w:val="24"/>
        </w:rPr>
        <w:t>确定其存在的部位、方式以及</w:t>
      </w:r>
      <w:r>
        <w:rPr>
          <w:rFonts w:hint="eastAsia" w:ascii="Times New Roman" w:hAnsi="Times New Roman" w:eastAsia="宋体" w:cs="Times New Roman"/>
          <w:szCs w:val="24"/>
        </w:rPr>
        <w:t>可能</w:t>
      </w:r>
      <w:r>
        <w:rPr>
          <w:rFonts w:ascii="Times New Roman" w:hAnsi="Times New Roman" w:eastAsia="宋体" w:cs="Times New Roman"/>
          <w:szCs w:val="24"/>
        </w:rPr>
        <w:t>造成的后果</w:t>
      </w:r>
      <w:r>
        <w:rPr>
          <w:rFonts w:hint="eastAsia" w:ascii="Times New Roman" w:hAnsi="Times New Roman" w:eastAsia="宋体" w:cs="Times New Roman"/>
          <w:szCs w:val="24"/>
        </w:rPr>
        <w:t>，建议清单中风险描述仅为示意说明，企业应结合自身情况补充完善风险分析内容，</w:t>
      </w:r>
      <w:r>
        <w:rPr>
          <w:rFonts w:ascii="Times New Roman" w:hAnsi="Times New Roman" w:eastAsia="宋体" w:cs="Times New Roman"/>
          <w:szCs w:val="24"/>
        </w:rPr>
        <w:t>形成本企业安全风险辨识清单</w:t>
      </w:r>
      <w:r>
        <w:rPr>
          <w:rFonts w:hint="eastAsia" w:ascii="Times New Roman" w:hAnsi="Times New Roman" w:eastAsia="宋体" w:cs="Times New Roman"/>
          <w:szCs w:val="24"/>
        </w:rPr>
        <w:t>。</w:t>
      </w:r>
    </w:p>
    <w:p>
      <w:pPr>
        <w:keepNext/>
        <w:keepLines/>
        <w:spacing w:line="480" w:lineRule="auto"/>
        <w:outlineLvl w:val="0"/>
        <w:rPr>
          <w:rFonts w:ascii="Times New Roman" w:hAnsi="Times New Roman" w:eastAsia="宋体" w:cs="Times New Roman"/>
          <w:b/>
          <w:bCs/>
          <w:kern w:val="44"/>
          <w:sz w:val="24"/>
          <w:szCs w:val="24"/>
        </w:rPr>
      </w:pPr>
      <w:r>
        <w:rPr>
          <w:rFonts w:hint="eastAsia" w:ascii="Times New Roman" w:hAnsi="Times New Roman" w:eastAsia="宋体" w:cs="Times New Roman"/>
          <w:b/>
          <w:bCs/>
          <w:kern w:val="44"/>
          <w:sz w:val="24"/>
          <w:szCs w:val="24"/>
        </w:rPr>
        <w:t>一、加油站安全风险辨识建议清单</w:t>
      </w:r>
    </w:p>
    <w:tbl>
      <w:tblPr>
        <w:tblStyle w:val="40"/>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57"/>
        <w:gridCol w:w="1191"/>
        <w:gridCol w:w="1337"/>
        <w:gridCol w:w="2838"/>
        <w:gridCol w:w="1136"/>
        <w:gridCol w:w="14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327" w:type="pct"/>
            <w:shd w:val="clear" w:color="auto" w:fill="auto"/>
            <w:vAlign w:val="center"/>
          </w:tcPr>
          <w:p>
            <w:pPr>
              <w:adjustRightInd w:val="0"/>
              <w:snapToGrid w:val="0"/>
              <w:spacing w:line="240" w:lineRule="atLeast"/>
              <w:jc w:val="center"/>
              <w:rPr>
                <w:rFonts w:ascii="Times New Roman" w:hAnsi="Times New Roman" w:eastAsia="宋体" w:cs="Times New Roman"/>
                <w:b/>
                <w:sz w:val="18"/>
                <w:szCs w:val="18"/>
              </w:rPr>
            </w:pPr>
            <w:r>
              <w:rPr>
                <w:rFonts w:ascii="Times New Roman" w:hAnsi="Times New Roman" w:eastAsia="宋体" w:cs="Times New Roman"/>
                <w:b/>
                <w:sz w:val="18"/>
                <w:szCs w:val="18"/>
              </w:rPr>
              <w:t>序号</w:t>
            </w:r>
          </w:p>
        </w:tc>
        <w:tc>
          <w:tcPr>
            <w:tcW w:w="698" w:type="pct"/>
            <w:shd w:val="clear" w:color="auto" w:fill="auto"/>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场所/位置</w:t>
            </w:r>
          </w:p>
        </w:tc>
        <w:tc>
          <w:tcPr>
            <w:tcW w:w="784" w:type="pct"/>
            <w:shd w:val="clear" w:color="auto" w:fill="auto"/>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风险源</w:t>
            </w:r>
          </w:p>
        </w:tc>
        <w:tc>
          <w:tcPr>
            <w:tcW w:w="1664" w:type="pct"/>
            <w:shd w:val="clear" w:color="auto" w:fill="auto"/>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风险描述示意</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（仅供参考）</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可能造成的</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后果</w:t>
            </w:r>
          </w:p>
        </w:tc>
        <w:tc>
          <w:tcPr>
            <w:tcW w:w="861" w:type="pct"/>
            <w:shd w:val="clear" w:color="auto" w:fill="auto"/>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bookmarkStart w:id="0" w:name="_Hlk494118255"/>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加油站车辆出入口及道路</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机动车辆</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加油站进出的车辆可能在出入口与加油站内以及加油站附近行人发生碰撞，导致车辆伤害事故。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车辆伤害</w:t>
            </w:r>
          </w:p>
        </w:tc>
      </w:tr>
      <w:bookmarkEnd w:id="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restar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罐区</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储油罐</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.储罐油品发生泄漏，遇火源可导致火灾爆炸事故。</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2.储罐油品发生泄漏，人员大量吸入油品挥发出的油气，可能导致中毒或窒息事故。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油罐人孔操作井</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.人孔井内，油品发生泄漏并积聚，遇火源可能发生火灾爆炸事故。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.人孔井内，油品发生泄漏并积聚，人员大量吸入油品挥发出的油气，可能导致中毒或窒息事故。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车行道下面的人孔井</w:t>
            </w:r>
            <w:r>
              <w:rPr>
                <w:rFonts w:ascii="Times New Roman" w:hAnsi="Times New Roman" w:eastAsia="宋体" w:cs="Times New Roman"/>
                <w:sz w:val="18"/>
                <w:szCs w:val="18"/>
              </w:rPr>
              <w:t>井盖</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车行道下面的</w:t>
            </w:r>
            <w:r>
              <w:rPr>
                <w:rFonts w:ascii="Times New Roman" w:hAnsi="Times New Roman" w:eastAsia="宋体" w:cs="Times New Roman"/>
                <w:sz w:val="18"/>
                <w:szCs w:val="18"/>
              </w:rPr>
              <w:t>人孔井井盖发生破坏，导致车辆或人员跌落。</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其它伤害（跌落）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储罐通气管</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通气管排出的油气遇静电、雷电等火源发生火灾爆炸事故。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储罐区车辆</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加油站储罐区内车辆可能与行人发生碰撞，导致车辆伤害事故。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给排水设施</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给排水设施内积聚的油污、油气，遇火源可能导致火灾爆炸事故。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油罐计量作业</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计量作业场所内的油品，遇静电等火源可能导致火灾爆炸事故。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restar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加油区</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罩棚及附属物</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罩棚及附属物遇大风等原因，可能发生脱落或坍塌，导致人员伤亡事故。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站房、罩棚</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雷电引发油气发生火灾爆炸事故。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加油机</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加油机使用时发生油品泄漏，遇火源可能导致火灾爆炸事故。</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加油机使用时油品发生泄漏并积聚，人员大量吸入油品挥发出的油气，可能导致中毒或窒息事故。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加油机底槽</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加油机底槽</w:t>
            </w:r>
            <w:r>
              <w:rPr>
                <w:rFonts w:ascii="Times New Roman" w:hAnsi="Times New Roman" w:eastAsia="宋体" w:cs="Times New Roman"/>
                <w:sz w:val="18"/>
                <w:szCs w:val="18"/>
              </w:rPr>
              <w:t>发生油品泄漏，遇火源可能导致火灾爆炸事故。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加油作业</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加油过程中，导致油品溢出或泄漏，遇火源引发火灾爆炸事故。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加油机维修作业</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加油机维修过程中，可能产生火花，引燃油气，导致火灾爆炸事故。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kern w:val="0"/>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加油区内的车辆</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.加油站内车辆可能与行人、加油机等发生碰撞，导致车辆伤害、火灾爆炸事故。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.加油过程中，汽车可能存在电路问题，导致油气发生爆炸事故。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车辆伤害</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kern w:val="0"/>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给排水设施</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给排水设施内积聚的油污、油气，遇火源可能导致火灾爆炸事故。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加油枪胶管</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静电可能引燃管道以及加油机内的油品，导致火灾爆炸事故。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加油站外来人员</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外来人员进入加油站加油时</w:t>
            </w:r>
            <w:r>
              <w:rPr>
                <w:rFonts w:hint="eastAsia" w:ascii="Times New Roman" w:hAnsi="Times New Roman" w:eastAsia="宋体" w:cs="Times New Roman"/>
                <w:sz w:val="18"/>
                <w:szCs w:val="18"/>
              </w:rPr>
              <w:t>，</w:t>
            </w:r>
            <w:r>
              <w:rPr>
                <w:rFonts w:ascii="Times New Roman" w:hAnsi="Times New Roman" w:eastAsia="宋体" w:cs="Times New Roman"/>
                <w:sz w:val="18"/>
                <w:szCs w:val="18"/>
              </w:rPr>
              <w:t>未遵守加油站相关安全规定</w:t>
            </w:r>
            <w:r>
              <w:rPr>
                <w:rFonts w:hint="eastAsia" w:ascii="Times New Roman" w:hAnsi="Times New Roman" w:eastAsia="宋体" w:cs="Times New Roman"/>
                <w:sz w:val="18"/>
                <w:szCs w:val="18"/>
              </w:rPr>
              <w:t>，</w:t>
            </w:r>
            <w:r>
              <w:rPr>
                <w:rFonts w:ascii="Times New Roman" w:hAnsi="Times New Roman" w:eastAsia="宋体" w:cs="Times New Roman"/>
                <w:sz w:val="18"/>
                <w:szCs w:val="18"/>
              </w:rPr>
              <w:t>如吸烟</w:t>
            </w:r>
            <w:r>
              <w:rPr>
                <w:rFonts w:hint="eastAsia" w:ascii="Times New Roman" w:hAnsi="Times New Roman" w:eastAsia="宋体" w:cs="Times New Roman"/>
                <w:sz w:val="18"/>
                <w:szCs w:val="18"/>
              </w:rPr>
              <w:t>、</w:t>
            </w:r>
            <w:r>
              <w:rPr>
                <w:rFonts w:ascii="Times New Roman" w:hAnsi="Times New Roman" w:eastAsia="宋体" w:cs="Times New Roman"/>
                <w:sz w:val="18"/>
                <w:szCs w:val="18"/>
              </w:rPr>
              <w:t>打电话等</w:t>
            </w:r>
            <w:r>
              <w:rPr>
                <w:rFonts w:hint="eastAsia" w:ascii="Times New Roman" w:hAnsi="Times New Roman" w:eastAsia="宋体" w:cs="Times New Roman"/>
                <w:sz w:val="18"/>
                <w:szCs w:val="18"/>
              </w:rPr>
              <w:t>，</w:t>
            </w:r>
            <w:r>
              <w:rPr>
                <w:rFonts w:ascii="Times New Roman" w:hAnsi="Times New Roman" w:eastAsia="宋体" w:cs="Times New Roman"/>
                <w:sz w:val="18"/>
                <w:szCs w:val="18"/>
              </w:rPr>
              <w:t>可能带来引火源</w:t>
            </w:r>
            <w:r>
              <w:rPr>
                <w:rFonts w:hint="eastAsia" w:ascii="Times New Roman" w:hAnsi="Times New Roman" w:eastAsia="宋体" w:cs="Times New Roman"/>
                <w:sz w:val="18"/>
                <w:szCs w:val="18"/>
              </w:rPr>
              <w:t>，</w:t>
            </w:r>
            <w:r>
              <w:rPr>
                <w:rFonts w:ascii="Times New Roman" w:hAnsi="Times New Roman" w:eastAsia="宋体" w:cs="Times New Roman"/>
                <w:sz w:val="18"/>
                <w:szCs w:val="18"/>
              </w:rPr>
              <w:t>引燃加油区挥发的油气</w:t>
            </w:r>
            <w:r>
              <w:rPr>
                <w:rFonts w:hint="eastAsia" w:ascii="Times New Roman" w:hAnsi="Times New Roman" w:eastAsia="宋体" w:cs="Times New Roman"/>
                <w:sz w:val="18"/>
                <w:szCs w:val="18"/>
              </w:rPr>
              <w:t>，</w:t>
            </w:r>
            <w:r>
              <w:rPr>
                <w:rFonts w:ascii="Times New Roman" w:hAnsi="Times New Roman" w:eastAsia="宋体" w:cs="Times New Roman"/>
                <w:sz w:val="18"/>
                <w:szCs w:val="18"/>
              </w:rPr>
              <w:t>导致火灾爆炸</w:t>
            </w:r>
            <w:r>
              <w:rPr>
                <w:rFonts w:hint="eastAsia" w:ascii="Times New Roman" w:hAnsi="Times New Roman" w:eastAsia="宋体" w:cs="Times New Roman"/>
                <w:sz w:val="18"/>
                <w:szCs w:val="18"/>
              </w:rPr>
              <w:t>。</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restar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卸油区</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卸油作业</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.卸油区卸油过程中出现跑冒滴漏，遇火源可能导致火灾爆炸事故。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.卸油过程中</w:t>
            </w:r>
            <w:bookmarkStart w:id="1" w:name="OLE_LINK98"/>
            <w:bookmarkStart w:id="2" w:name="OLE_LINK99"/>
            <w:r>
              <w:rPr>
                <w:rFonts w:ascii="Times New Roman" w:hAnsi="Times New Roman" w:eastAsia="宋体" w:cs="Times New Roman"/>
                <w:sz w:val="18"/>
                <w:szCs w:val="18"/>
              </w:rPr>
              <w:t>，卸油口发生跑冒滴漏，</w:t>
            </w:r>
            <w:bookmarkEnd w:id="1"/>
            <w:bookmarkEnd w:id="2"/>
            <w:r>
              <w:rPr>
                <w:rFonts w:ascii="Times New Roman" w:hAnsi="Times New Roman" w:eastAsia="宋体" w:cs="Times New Roman"/>
                <w:sz w:val="18"/>
                <w:szCs w:val="18"/>
              </w:rPr>
              <w:t>人员大量吸入油品挥发出的油气，可能导致中毒或窒息事故。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.卸油作业人员未遵守加油站相关安全规定</w:t>
            </w:r>
            <w:r>
              <w:rPr>
                <w:rFonts w:hint="eastAsia" w:ascii="Times New Roman" w:hAnsi="Times New Roman" w:eastAsia="宋体" w:cs="Times New Roman"/>
                <w:sz w:val="18"/>
                <w:szCs w:val="18"/>
              </w:rPr>
              <w:t>，</w:t>
            </w:r>
            <w:r>
              <w:rPr>
                <w:rFonts w:ascii="Times New Roman" w:hAnsi="Times New Roman" w:eastAsia="宋体" w:cs="Times New Roman"/>
                <w:sz w:val="18"/>
                <w:szCs w:val="18"/>
              </w:rPr>
              <w:t>如吸烟</w:t>
            </w:r>
            <w:r>
              <w:rPr>
                <w:rFonts w:hint="eastAsia" w:ascii="Times New Roman" w:hAnsi="Times New Roman" w:eastAsia="宋体" w:cs="Times New Roman"/>
                <w:sz w:val="18"/>
                <w:szCs w:val="18"/>
              </w:rPr>
              <w:t>、</w:t>
            </w:r>
            <w:r>
              <w:rPr>
                <w:rFonts w:ascii="Times New Roman" w:hAnsi="Times New Roman" w:eastAsia="宋体" w:cs="Times New Roman"/>
                <w:sz w:val="18"/>
                <w:szCs w:val="18"/>
              </w:rPr>
              <w:t>打电话等</w:t>
            </w:r>
            <w:r>
              <w:rPr>
                <w:rFonts w:hint="eastAsia" w:ascii="Times New Roman" w:hAnsi="Times New Roman" w:eastAsia="宋体" w:cs="Times New Roman"/>
                <w:sz w:val="18"/>
                <w:szCs w:val="18"/>
              </w:rPr>
              <w:t>，</w:t>
            </w:r>
            <w:r>
              <w:rPr>
                <w:rFonts w:ascii="Times New Roman" w:hAnsi="Times New Roman" w:eastAsia="宋体" w:cs="Times New Roman"/>
                <w:sz w:val="18"/>
                <w:szCs w:val="18"/>
              </w:rPr>
              <w:t>可能带来引火源</w:t>
            </w:r>
            <w:r>
              <w:rPr>
                <w:rFonts w:hint="eastAsia" w:ascii="Times New Roman" w:hAnsi="Times New Roman" w:eastAsia="宋体" w:cs="Times New Roman"/>
                <w:sz w:val="18"/>
                <w:szCs w:val="18"/>
              </w:rPr>
              <w:t>，</w:t>
            </w:r>
            <w:r>
              <w:rPr>
                <w:rFonts w:ascii="Times New Roman" w:hAnsi="Times New Roman" w:eastAsia="宋体" w:cs="Times New Roman"/>
                <w:sz w:val="18"/>
                <w:szCs w:val="18"/>
              </w:rPr>
              <w:t>引燃挥发的油气</w:t>
            </w:r>
            <w:r>
              <w:rPr>
                <w:rFonts w:hint="eastAsia" w:ascii="Times New Roman" w:hAnsi="Times New Roman" w:eastAsia="宋体" w:cs="Times New Roman"/>
                <w:sz w:val="18"/>
                <w:szCs w:val="18"/>
              </w:rPr>
              <w:t>，</w:t>
            </w:r>
            <w:r>
              <w:rPr>
                <w:rFonts w:ascii="Times New Roman" w:hAnsi="Times New Roman" w:eastAsia="宋体" w:cs="Times New Roman"/>
                <w:sz w:val="18"/>
                <w:szCs w:val="18"/>
              </w:rPr>
              <w:t>可能导致火灾爆炸事故</w:t>
            </w:r>
            <w:r>
              <w:rPr>
                <w:rFonts w:hint="eastAsia" w:ascii="Times New Roman" w:hAnsi="Times New Roman" w:eastAsia="宋体" w:cs="Times New Roman"/>
                <w:sz w:val="18"/>
                <w:szCs w:val="18"/>
              </w:rPr>
              <w:t>。</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卸油车辆</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卸油区车辆可能与行人发生碰撞，导致车辆伤害事故。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卸油口井</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1</w:t>
            </w:r>
            <w:r>
              <w:rPr>
                <w:rFonts w:ascii="Times New Roman" w:hAnsi="Times New Roman" w:eastAsia="宋体" w:cs="Times New Roman"/>
                <w:color w:val="000000"/>
                <w:sz w:val="18"/>
                <w:szCs w:val="18"/>
              </w:rPr>
              <w:t>.卸油口井</w:t>
            </w:r>
            <w:r>
              <w:rPr>
                <w:rFonts w:ascii="Times New Roman" w:hAnsi="Times New Roman" w:eastAsia="宋体" w:cs="Times New Roman"/>
                <w:sz w:val="18"/>
                <w:szCs w:val="18"/>
              </w:rPr>
              <w:t>内，油品发生泄漏并积聚，遇火源可能发生火灾爆炸事故。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color w:val="000000"/>
                <w:sz w:val="18"/>
                <w:szCs w:val="18"/>
              </w:rPr>
              <w:t>2</w:t>
            </w:r>
            <w:r>
              <w:rPr>
                <w:rFonts w:ascii="Times New Roman" w:hAnsi="Times New Roman" w:eastAsia="宋体" w:cs="Times New Roman"/>
                <w:color w:val="000000"/>
                <w:sz w:val="18"/>
                <w:szCs w:val="18"/>
              </w:rPr>
              <w:t>.卸油口井</w:t>
            </w:r>
            <w:r>
              <w:rPr>
                <w:rFonts w:ascii="Times New Roman" w:hAnsi="Times New Roman" w:eastAsia="宋体" w:cs="Times New Roman"/>
                <w:sz w:val="18"/>
                <w:szCs w:val="18"/>
              </w:rPr>
              <w:t>内，油品发生泄漏并积聚，人员大量吸入油品挥发出的油气，可能导致中毒或窒息事故。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bookmarkStart w:id="3" w:name="OLE_LINK92"/>
            <w:bookmarkStart w:id="4" w:name="OLE_LINK93"/>
            <w:r>
              <w:rPr>
                <w:rFonts w:ascii="Times New Roman" w:hAnsi="Times New Roman" w:eastAsia="宋体" w:cs="Times New Roman"/>
                <w:color w:val="000000"/>
                <w:sz w:val="18"/>
                <w:szCs w:val="18"/>
              </w:rPr>
              <w:t>卸油工艺管道</w:t>
            </w:r>
            <w:bookmarkEnd w:id="3"/>
            <w:bookmarkEnd w:id="4"/>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工艺管道因腐蚀、外力破坏发生泄漏，遇火源可能发生火灾爆炸事故。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给排水设施</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给排水设施内积聚的油污、油气，遇火源可能导致火灾爆炸事故。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油品管道及法兰</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静电可能引燃管道及法兰泄漏的油品，导致火灾爆炸事故。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restart"/>
            <w:shd w:val="clear" w:color="auto" w:fill="auto"/>
            <w:vAlign w:val="center"/>
          </w:tcPr>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辅助服务区</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汽车服务场所</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.汽车服务场所内车辆可能与行人发生碰撞，导致车辆伤害事故。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.使用电器设备时，可能发生触电事故。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车辆伤害</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sz w:val="18"/>
                <w:szCs w:val="18"/>
              </w:rPr>
            </w:pPr>
          </w:p>
        </w:tc>
        <w:tc>
          <w:tcPr>
            <w:tcW w:w="784" w:type="pct"/>
            <w:shd w:val="clear" w:color="auto" w:fill="auto"/>
            <w:vAlign w:val="center"/>
          </w:tcPr>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厨房电器设备</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使用电器设备时，可能发生触电事故。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厨房燃气设备</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使用燃气发生泄漏，遇火源可能导致火灾爆炸事故。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员工宿舍</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1.违规使用电热毯、电暖气等大功率用电设备，过载可能引发火灾或触电。</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2.私拉电气线路由于漏电、短路、过负荷等原因，产生电火花、高温、电弧等可能引发周边易燃可燃物发生火灾。私拉电气线路由于绝缘失效或损坏，对接触人员造成触电。</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司机休息室</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人员接触绝缘失效或漏电的电气设备、线路、开关，可能发生触电事故。电气设备线路损坏、短路，可能引发火灾。</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便利店、零售店面</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人员接触绝缘失效或漏电的电气设备、线路、开关，可能发生触电事故。电气设备线路损坏、短路，可能引发火灾。</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bookmarkStart w:id="5" w:name="_Hlk494121025"/>
          </w:p>
        </w:tc>
        <w:tc>
          <w:tcPr>
            <w:tcW w:w="698" w:type="pct"/>
            <w:vMerge w:val="restar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建筑物</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kern w:val="0"/>
                <w:sz w:val="18"/>
                <w:szCs w:val="18"/>
              </w:rPr>
            </w:pPr>
            <w:r>
              <w:rPr>
                <w:rFonts w:ascii="Times New Roman" w:hAnsi="Times New Roman" w:eastAsia="宋体" w:cs="Times New Roman"/>
                <w:color w:val="000000"/>
                <w:sz w:val="18"/>
                <w:szCs w:val="18"/>
              </w:rPr>
              <w:t>加油作业区内的站房及其他附属建筑物</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kern w:val="0"/>
                <w:sz w:val="18"/>
                <w:szCs w:val="18"/>
              </w:rPr>
            </w:pPr>
            <w:r>
              <w:rPr>
                <w:rFonts w:ascii="Times New Roman" w:hAnsi="Times New Roman" w:eastAsia="宋体" w:cs="Times New Roman"/>
                <w:kern w:val="0"/>
                <w:sz w:val="18"/>
                <w:szCs w:val="18"/>
              </w:rPr>
              <w:t>防雷装置缺失或失效，可能引发雷击，造成火灾。</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bookmarkEnd w:id="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阀门井、检查井、排水沟等有地下空间的构筑物</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bookmarkStart w:id="6" w:name="OLE_LINK54"/>
            <w:bookmarkStart w:id="7" w:name="OLE_LINK55"/>
            <w:bookmarkStart w:id="8" w:name="OLE_LINK56"/>
            <w:r>
              <w:rPr>
                <w:rFonts w:hint="eastAsia" w:ascii="Times New Roman" w:hAnsi="Times New Roman" w:eastAsia="宋体" w:cs="Times New Roman"/>
                <w:sz w:val="18"/>
                <w:szCs w:val="18"/>
              </w:rPr>
              <w:t>1</w:t>
            </w:r>
            <w:r>
              <w:rPr>
                <w:rFonts w:ascii="Times New Roman" w:hAnsi="Times New Roman" w:eastAsia="宋体" w:cs="Times New Roman"/>
                <w:sz w:val="18"/>
                <w:szCs w:val="18"/>
              </w:rPr>
              <w:t>.积聚的油气遇火源可能导致火灾爆炸事故。</w:t>
            </w:r>
            <w:bookmarkEnd w:id="6"/>
            <w:bookmarkEnd w:id="7"/>
            <w:bookmarkEnd w:id="8"/>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.人员进入地下空间检修时，可能因有毒气体导致中毒或因缺氧导致窒息事故。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bookmarkStart w:id="9" w:name="_Hlk494121386"/>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加油站的围墙</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加油站围墙可能因为外力作用发生倒塌，导致人员伤亡事故。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bookmarkStart w:id="10" w:name="OLE_LINK77"/>
            <w:bookmarkStart w:id="11" w:name="OLE_LINK78"/>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bookmarkEnd w:id="10"/>
            <w:bookmarkEnd w:id="11"/>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tc>
      </w:tr>
      <w:bookmarkEnd w:id="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20" w:hRule="atLeast"/>
          <w:jc w:val="center"/>
        </w:trPr>
        <w:tc>
          <w:tcPr>
            <w:tcW w:w="327" w:type="pct"/>
            <w:tcBorders>
              <w:bottom w:val="single" w:color="auto" w:sz="4" w:space="0"/>
            </w:tcBorders>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tcBorders>
              <w:bottom w:val="single" w:color="auto" w:sz="4" w:space="0"/>
            </w:tcBorders>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变配电室</w:t>
            </w:r>
          </w:p>
        </w:tc>
        <w:tc>
          <w:tcPr>
            <w:tcW w:w="784" w:type="pct"/>
            <w:tcBorders>
              <w:bottom w:val="single" w:color="auto" w:sz="4" w:space="0"/>
            </w:tcBorders>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变配电室</w:t>
            </w:r>
          </w:p>
        </w:tc>
        <w:tc>
          <w:tcPr>
            <w:tcW w:w="1664"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.邻近泵房的低压配电室，可燃油气或泄漏油品进入配电室，可能引发火灾、爆炸事故。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.高低压配电室门口挡鼠板缺失或配电室的进线沟洞等不密封，配电室房屋结构不能阻挡小动物（鼠、猫、鸟、蛇等）进入措施而发生小动物触电造成短路，引发电气火灾。</w:t>
            </w:r>
          </w:p>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w:t>
            </w:r>
            <w:r>
              <w:rPr>
                <w:rFonts w:hint="eastAsia" w:ascii="Times New Roman" w:hAnsi="Times New Roman" w:eastAsia="宋体" w:cs="Times New Roman"/>
                <w:sz w:val="18"/>
                <w:szCs w:val="18"/>
              </w:rPr>
              <w:t>作业过程中可能引发触电事故。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配电箱（柜）及附近区域</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1.电气元、配件质量不好，绝缘性能不合格，接线不规范，接线端子接线松驰，线型选择过细，引起电气元件或端子接头发热打火引燃可燃物质发生火灾。</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2.箱（柜）内可能存在带电部位裸露在外，人员接触，可能导致触电事故。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电器</w:t>
            </w:r>
            <w:r>
              <w:rPr>
                <w:rFonts w:ascii="Times New Roman" w:hAnsi="Times New Roman" w:eastAsia="宋体" w:cs="Times New Roman"/>
                <w:sz w:val="18"/>
                <w:szCs w:val="18"/>
              </w:rPr>
              <w:t>设备</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加油站的各种</w:t>
            </w:r>
            <w:r>
              <w:rPr>
                <w:rFonts w:hint="eastAsia" w:ascii="Times New Roman" w:hAnsi="Times New Roman" w:eastAsia="宋体" w:cs="Times New Roman"/>
                <w:sz w:val="18"/>
                <w:szCs w:val="18"/>
              </w:rPr>
              <w:t>电器</w:t>
            </w:r>
            <w:r>
              <w:rPr>
                <w:rFonts w:ascii="Times New Roman" w:hAnsi="Times New Roman" w:eastAsia="宋体" w:cs="Times New Roman"/>
                <w:sz w:val="18"/>
                <w:szCs w:val="18"/>
              </w:rPr>
              <w:t>设备、电子广告牌等用电器具</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1.电器设备使用、检修作业时，作业人员接触电流，导致触电事故。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2.电器设备使用中发生过载、短路、导致温度过高，引发火灾事故。</w:t>
            </w:r>
          </w:p>
        </w:tc>
        <w:tc>
          <w:tcPr>
            <w:tcW w:w="666" w:type="pct"/>
            <w:shd w:val="clear" w:color="auto" w:fill="auto"/>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01"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柴油发电机房</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发电机</w:t>
            </w:r>
          </w:p>
        </w:tc>
        <w:tc>
          <w:tcPr>
            <w:tcW w:w="1664" w:type="pct"/>
            <w:shd w:val="clear" w:color="auto" w:fill="auto"/>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.发电用的油品可能发生泄漏，引发火灾</w:t>
            </w:r>
            <w:r>
              <w:rPr>
                <w:rFonts w:hint="eastAsia" w:ascii="Times New Roman" w:hAnsi="Times New Roman" w:eastAsia="宋体" w:cs="Times New Roman"/>
                <w:sz w:val="18"/>
                <w:szCs w:val="18"/>
              </w:rPr>
              <w:t>、</w:t>
            </w:r>
            <w:r>
              <w:rPr>
                <w:rFonts w:ascii="Times New Roman" w:hAnsi="Times New Roman" w:eastAsia="宋体" w:cs="Times New Roman"/>
                <w:sz w:val="18"/>
                <w:szCs w:val="18"/>
              </w:rPr>
              <w:t>爆炸事故。</w:t>
            </w:r>
            <w:r>
              <w:rPr>
                <w:rFonts w:hint="eastAsia" w:ascii="Times New Roman" w:hAnsi="Times New Roman" w:eastAsia="宋体" w:cs="Times New Roman"/>
                <w:sz w:val="18"/>
                <w:szCs w:val="18"/>
              </w:rPr>
              <w:t xml:space="preserve"> </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.发电机产生的有毒有害气体可能引发人员中毒窒息事故。</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.发电机工作过程中，可能发生漏电，导致触电事故。</w:t>
            </w:r>
          </w:p>
        </w:tc>
        <w:tc>
          <w:tcPr>
            <w:tcW w:w="666" w:type="pct"/>
            <w:shd w:val="clear" w:color="auto" w:fill="auto"/>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861" w:type="pct"/>
            <w:shd w:val="clear" w:color="auto" w:fill="auto"/>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供配电系统</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供配电检修作业</w:t>
            </w:r>
          </w:p>
        </w:tc>
        <w:tc>
          <w:tcPr>
            <w:tcW w:w="1664" w:type="pct"/>
            <w:shd w:val="clear" w:color="auto" w:fill="auto"/>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高低压供配电系统检修时，检修人员可能发生触电事故。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动火作业部位及周边区域存在可燃物、油品</w:t>
            </w:r>
          </w:p>
        </w:tc>
        <w:tc>
          <w:tcPr>
            <w:tcW w:w="1664"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加油站动火作业部位、附近区域存在可燃物、油品，遇火源可能导致火灾、爆炸等事故。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16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受限空间作业</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内罐、槽车、管道、隧道、下水管道、沟、坑、井、池、涵洞等封闭、半封闭的设施及场所</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.人员进入受限空间作业时，可能氧气不足，导致窒息事故，或因油气等其他有毒气体导致中毒事故。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.在作业场地狭小、作业人员精力不集中、防护措施不当或夜间照明不足时，也可能会发生碰、挤、擦、刮等其它伤害。</w:t>
            </w:r>
          </w:p>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.在受限空间作业时，聚集的油气可能遇火源导致火灾爆炸事故。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输油管线盲板抽堵作业部位及周边区域</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盲板抽堵作业设施</w:t>
            </w:r>
          </w:p>
        </w:tc>
        <w:tc>
          <w:tcPr>
            <w:tcW w:w="1664"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.盲板抽堵作业部位的油品，遇火源可能导致火灾、爆炸等事故。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.盲板抽堵作业部位油品泄漏，人员大量吸入挥发的油气可能导致中毒窒息事故。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高处作业</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高处作业处的工具</w:t>
            </w:r>
            <w:r>
              <w:rPr>
                <w:rFonts w:hint="eastAsia" w:ascii="Times New Roman" w:hAnsi="Times New Roman" w:eastAsia="宋体" w:cs="Times New Roman"/>
                <w:sz w:val="18"/>
                <w:szCs w:val="18"/>
              </w:rPr>
              <w:t>、</w:t>
            </w:r>
            <w:r>
              <w:rPr>
                <w:rFonts w:ascii="Times New Roman" w:hAnsi="Times New Roman" w:eastAsia="宋体" w:cs="Times New Roman"/>
                <w:sz w:val="18"/>
                <w:szCs w:val="18"/>
              </w:rPr>
              <w:t>物体</w:t>
            </w:r>
            <w:r>
              <w:rPr>
                <w:rFonts w:hint="eastAsia" w:ascii="Times New Roman" w:hAnsi="Times New Roman" w:eastAsia="宋体" w:cs="Times New Roman"/>
                <w:sz w:val="18"/>
                <w:szCs w:val="18"/>
              </w:rPr>
              <w:t>及</w:t>
            </w:r>
            <w:r>
              <w:rPr>
                <w:rFonts w:ascii="Times New Roman" w:hAnsi="Times New Roman" w:eastAsia="宋体" w:cs="Times New Roman"/>
                <w:sz w:val="18"/>
                <w:szCs w:val="18"/>
              </w:rPr>
              <w:t>脚手架</w:t>
            </w:r>
          </w:p>
        </w:tc>
        <w:tc>
          <w:tcPr>
            <w:tcW w:w="1664"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.高处作业时，使用的工具、零件等物品发生坠落，可能会对下部人员或设备造成物体打击。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.在高于2 m的作业平台、脚手架进行操作、检修等高处作业时，可能导致</w:t>
            </w:r>
            <w:r>
              <w:rPr>
                <w:rFonts w:hint="eastAsia" w:ascii="Times New Roman" w:hAnsi="Times New Roman" w:eastAsia="宋体" w:cs="Times New Roman"/>
                <w:sz w:val="18"/>
                <w:szCs w:val="18"/>
              </w:rPr>
              <w:t>高处</w:t>
            </w:r>
            <w:r>
              <w:rPr>
                <w:rFonts w:ascii="Times New Roman" w:hAnsi="Times New Roman" w:eastAsia="宋体" w:cs="Times New Roman"/>
                <w:sz w:val="18"/>
                <w:szCs w:val="18"/>
              </w:rPr>
              <w:t>坠落事故。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.在高处作业时，使用的脚手架、跳板存在问题，可能导致坍塌事故。</w:t>
            </w:r>
          </w:p>
        </w:tc>
        <w:tc>
          <w:tcPr>
            <w:tcW w:w="666" w:type="pct"/>
            <w:shd w:val="clear" w:color="auto" w:fill="auto"/>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restart"/>
            <w:shd w:val="clear" w:color="auto" w:fill="auto"/>
            <w:vAlign w:val="center"/>
          </w:tcPr>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起吊作业及周边区域</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起重机械自身及其移动和旋转部位在起吊过程中，发生整体失稳倾翻、吊具、钢丝绳损坏、移动部位碰撞他人，可能导致起重伤害事故。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adjustRightInd w:val="0"/>
              <w:snapToGrid w:val="0"/>
              <w:spacing w:line="240" w:lineRule="atLeast"/>
              <w:ind w:firstLine="360"/>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起重机械带电部位</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起重机械吊装过程触碰高处物体，或吊起物品坠落碰撞危险物品，可能导致危险物品泄漏，造成火灾爆炸事故。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其他爆炸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adjustRightInd w:val="0"/>
              <w:snapToGrid w:val="0"/>
              <w:spacing w:line="240" w:lineRule="atLeast"/>
              <w:ind w:firstLine="360"/>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吊装物品</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起重机械吊装的重物坠落、挤压、撞击他人或司机，可能导致起重伤害事故。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带电设备、电线</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起重机械操作人员与</w:t>
            </w:r>
            <w:r>
              <w:rPr>
                <w:rFonts w:hint="eastAsia" w:ascii="Times New Roman" w:hAnsi="Times New Roman" w:eastAsia="宋体" w:cs="Times New Roman"/>
                <w:sz w:val="18"/>
                <w:szCs w:val="18"/>
              </w:rPr>
              <w:t>电器</w:t>
            </w:r>
            <w:r>
              <w:rPr>
                <w:rFonts w:ascii="Times New Roman" w:hAnsi="Times New Roman" w:eastAsia="宋体" w:cs="Times New Roman"/>
                <w:sz w:val="18"/>
                <w:szCs w:val="18"/>
              </w:rPr>
              <w:t>设备接触，或起重机械吊装时触碰电线，可能导致司机或他人触电。</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restar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临时用电作业</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临时用电设备及电缆</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临时用电存在带电部位裸露，可能导致触电事故。</w:t>
            </w:r>
          </w:p>
        </w:tc>
        <w:tc>
          <w:tcPr>
            <w:tcW w:w="666" w:type="pct"/>
            <w:shd w:val="clear" w:color="auto" w:fill="auto"/>
            <w:vAlign w:val="center"/>
          </w:tcPr>
          <w:p>
            <w:pPr>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tc>
        <w:tc>
          <w:tcPr>
            <w:tcW w:w="861" w:type="pct"/>
            <w:shd w:val="clear" w:color="auto" w:fill="auto"/>
            <w:vAlign w:val="center"/>
          </w:tcPr>
          <w:p>
            <w:pPr>
              <w:adjustRightInd w:val="0"/>
              <w:snapToGrid w:val="0"/>
              <w:spacing w:line="240" w:lineRule="atLeast"/>
              <w:rPr>
                <w:rFonts w:ascii="Times New Roman" w:hAnsi="Times New Roman" w:eastAsia="宋体" w:cs="Times New Roman"/>
                <w:color w:val="FF0000"/>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vMerge w:val="continue"/>
            <w:shd w:val="clear" w:color="auto" w:fill="auto"/>
            <w:vAlign w:val="center"/>
          </w:tcPr>
          <w:p>
            <w:pPr>
              <w:widowControl/>
              <w:adjustRightInd w:val="0"/>
              <w:snapToGrid w:val="0"/>
              <w:spacing w:line="240" w:lineRule="atLeast"/>
              <w:rPr>
                <w:rFonts w:ascii="Times New Roman" w:hAnsi="Times New Roman" w:eastAsia="宋体" w:cs="Times New Roman"/>
                <w:color w:val="000000"/>
                <w:sz w:val="18"/>
                <w:szCs w:val="18"/>
              </w:rPr>
            </w:pP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color w:val="000000"/>
                <w:sz w:val="18"/>
                <w:szCs w:val="18"/>
              </w:rPr>
              <w:t>加油站临时用电作业</w:t>
            </w:r>
          </w:p>
        </w:tc>
        <w:tc>
          <w:tcPr>
            <w:tcW w:w="166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临时用电线路产生的火花引燃周边的油品及可燃物，导致火灾爆炸事故。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环境影响</w:t>
            </w:r>
          </w:p>
        </w:tc>
        <w:tc>
          <w:tcPr>
            <w:tcW w:w="861" w:type="pct"/>
            <w:shd w:val="clear" w:color="auto" w:fill="auto"/>
            <w:vAlign w:val="center"/>
          </w:tcPr>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7" w:type="pct"/>
            <w:shd w:val="clear" w:color="auto" w:fill="auto"/>
            <w:vAlign w:val="center"/>
          </w:tcPr>
          <w:p>
            <w:pPr>
              <w:numPr>
                <w:ilvl w:val="0"/>
                <w:numId w:val="19"/>
              </w:numPr>
              <w:adjustRightInd w:val="0"/>
              <w:snapToGrid w:val="0"/>
              <w:spacing w:line="240" w:lineRule="atLeast"/>
              <w:jc w:val="center"/>
              <w:rPr>
                <w:rFonts w:ascii="Times New Roman" w:hAnsi="Times New Roman" w:eastAsia="宋体" w:cs="Times New Roman"/>
                <w:sz w:val="18"/>
                <w:szCs w:val="18"/>
              </w:rPr>
            </w:pPr>
          </w:p>
        </w:tc>
        <w:tc>
          <w:tcPr>
            <w:tcW w:w="698"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w:t>
            </w:r>
          </w:p>
        </w:tc>
        <w:tc>
          <w:tcPr>
            <w:tcW w:w="784" w:type="pct"/>
            <w:shd w:val="clear" w:color="auto" w:fill="auto"/>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动土作业部位及周边区域设施</w:t>
            </w:r>
            <w:r>
              <w:rPr>
                <w:rFonts w:hint="eastAsia" w:ascii="Times New Roman" w:hAnsi="Times New Roman" w:eastAsia="宋体" w:cs="Times New Roman"/>
                <w:sz w:val="18"/>
                <w:szCs w:val="18"/>
              </w:rPr>
              <w:t>、作业环境、深基坑</w:t>
            </w:r>
          </w:p>
        </w:tc>
        <w:tc>
          <w:tcPr>
            <w:tcW w:w="1664"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.动土作业部位及周边区域设施内的易燃易爆物质，遇火源可能导致火灾、爆炸事故。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.动土作业部位及周边区域设施内的有毒物质，泄漏后可能导致中毒事故。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.在动土作业时，发生支撑不牢靠，或地下和地面水渗入作业区，可能导致作业区坍塌事故。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.动土作业现场高差大于2m时，人员可能坠入坑内，导致高处坠落事故。</w:t>
            </w:r>
          </w:p>
        </w:tc>
        <w:tc>
          <w:tcPr>
            <w:tcW w:w="666" w:type="pct"/>
            <w:shd w:val="clear" w:color="auto" w:fill="auto"/>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861" w:type="pct"/>
            <w:shd w:val="clear" w:color="auto" w:fill="auto"/>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tc>
      </w:tr>
    </w:tbl>
    <w:p>
      <w:pPr>
        <w:rPr>
          <w:rFonts w:ascii="Times New Roman" w:hAnsi="Times New Roman" w:eastAsia="宋体" w:cs="Times New Roman"/>
          <w:szCs w:val="24"/>
        </w:rPr>
      </w:pPr>
    </w:p>
    <w:p>
      <w:pPr>
        <w:rPr>
          <w:rFonts w:ascii="Times New Roman" w:hAnsi="Times New Roman" w:eastAsia="宋体" w:cs="Times New Roman"/>
          <w:szCs w:val="24"/>
        </w:rPr>
      </w:pPr>
      <w:r>
        <w:rPr>
          <w:rFonts w:ascii="Times New Roman" w:hAnsi="Times New Roman" w:eastAsia="宋体" w:cs="Times New Roman"/>
          <w:szCs w:val="24"/>
        </w:rPr>
        <w:br w:type="page"/>
      </w:r>
    </w:p>
    <w:p>
      <w:pPr>
        <w:keepNext/>
        <w:keepLines/>
        <w:spacing w:line="480" w:lineRule="auto"/>
        <w:outlineLvl w:val="0"/>
        <w:rPr>
          <w:rFonts w:ascii="Times New Roman" w:hAnsi="Times New Roman" w:eastAsia="宋体" w:cs="Times New Roman"/>
          <w:b/>
          <w:bCs/>
          <w:kern w:val="44"/>
          <w:sz w:val="24"/>
          <w:szCs w:val="24"/>
        </w:rPr>
      </w:pPr>
      <w:r>
        <w:rPr>
          <w:rFonts w:hint="eastAsia" w:ascii="Times New Roman" w:hAnsi="Times New Roman" w:eastAsia="宋体" w:cs="Times New Roman"/>
          <w:b/>
          <w:bCs/>
          <w:kern w:val="44"/>
          <w:sz w:val="24"/>
          <w:szCs w:val="24"/>
        </w:rPr>
        <w:t>二、危险化学品经营企业（带储存）安全风险辨识建议清单</w:t>
      </w:r>
    </w:p>
    <w:tbl>
      <w:tblPr>
        <w:tblStyle w:val="40"/>
        <w:tblW w:w="496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2"/>
        <w:gridCol w:w="873"/>
        <w:gridCol w:w="1688"/>
        <w:gridCol w:w="3216"/>
        <w:gridCol w:w="983"/>
        <w:gridCol w:w="1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320" w:type="pct"/>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序号</w:t>
            </w:r>
          </w:p>
        </w:tc>
        <w:tc>
          <w:tcPr>
            <w:tcW w:w="516" w:type="pct"/>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场所/位置</w:t>
            </w:r>
          </w:p>
        </w:tc>
        <w:tc>
          <w:tcPr>
            <w:tcW w:w="997" w:type="pct"/>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风险源</w:t>
            </w:r>
          </w:p>
        </w:tc>
        <w:tc>
          <w:tcPr>
            <w:tcW w:w="1900" w:type="pct"/>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风险描述示意</w:t>
            </w:r>
          </w:p>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bCs/>
                <w:kern w:val="0"/>
                <w:sz w:val="18"/>
                <w:szCs w:val="18"/>
              </w:rPr>
              <w:t>（仅供参考）</w:t>
            </w:r>
          </w:p>
        </w:tc>
        <w:tc>
          <w:tcPr>
            <w:tcW w:w="581" w:type="pct"/>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可能造成的后果</w:t>
            </w:r>
          </w:p>
        </w:tc>
        <w:tc>
          <w:tcPr>
            <w:tcW w:w="686" w:type="pct"/>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零售店面</w:t>
            </w: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电器设备</w:t>
            </w:r>
          </w:p>
        </w:tc>
        <w:tc>
          <w:tcPr>
            <w:tcW w:w="1900"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电线老化、设备漏电可能导致触电。</w:t>
            </w:r>
          </w:p>
        </w:tc>
        <w:tc>
          <w:tcPr>
            <w:tcW w:w="581" w:type="pct"/>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财产损失</w:t>
            </w:r>
          </w:p>
        </w:tc>
        <w:tc>
          <w:tcPr>
            <w:tcW w:w="686"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可燃物</w:t>
            </w:r>
          </w:p>
        </w:tc>
        <w:tc>
          <w:tcPr>
            <w:tcW w:w="1900"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零售店面堆积可燃性物品，遇到静电火花、电气火花、明火等，可能引发火灾或爆炸。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kern w:val="0"/>
                <w:sz w:val="18"/>
                <w:szCs w:val="18"/>
              </w:rPr>
              <w:t>危险化学品仓库</w:t>
            </w: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易燃气体、液体等易燃、可燃物</w:t>
            </w:r>
          </w:p>
        </w:tc>
        <w:tc>
          <w:tcPr>
            <w:tcW w:w="1900" w:type="pct"/>
            <w:vAlign w:val="center"/>
          </w:tcPr>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防雷和防静电设施失效，仓库入口处人体静电导除装置失效，空调、通风机等未采用防爆型设备等原因可能出现静电火花、电气火花等，遇到易燃气体、液体包装破损泄漏，可燃气体报警装置失效造成易燃气体、液体聚积时，可能引发火灾爆炸。</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.易燃气体、易燃液体与氧化剂等禁忌物混存，可能引发火灾或爆炸。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毒害性危险化学品</w:t>
            </w:r>
          </w:p>
        </w:tc>
        <w:tc>
          <w:tcPr>
            <w:tcW w:w="1900" w:type="pct"/>
            <w:vAlign w:val="center"/>
          </w:tcPr>
          <w:p>
            <w:pPr>
              <w:autoSpaceDE w:val="0"/>
              <w:autoSpaceDN w:val="0"/>
              <w:adjustRightInd w:val="0"/>
              <w:snapToGrid w:val="0"/>
              <w:rPr>
                <w:rFonts w:ascii="Times New Roman" w:hAnsi="Times New Roman" w:eastAsia="宋体" w:cs="Times New Roman"/>
                <w:kern w:val="0"/>
                <w:sz w:val="18"/>
                <w:szCs w:val="18"/>
              </w:rPr>
            </w:pPr>
            <w:r>
              <w:rPr>
                <w:rFonts w:ascii="Times New Roman" w:hAnsi="Times New Roman" w:eastAsia="宋体" w:cs="Times New Roman"/>
                <w:sz w:val="18"/>
                <w:szCs w:val="18"/>
              </w:rPr>
              <w:t>包装破损等引起有毒化学品泄漏，人员大量吸入可能导致中毒。</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腐蚀性危险化学品</w:t>
            </w:r>
          </w:p>
        </w:tc>
        <w:tc>
          <w:tcPr>
            <w:tcW w:w="1900"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仓库通风及湿度控制不佳等原因，可能发生反应造成泄漏，导致酸碱腐蚀灼烫事故。</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autoSpaceDE w:val="0"/>
              <w:autoSpaceDN w:val="0"/>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常温下能自行分解或在空气中氧化能导致迅速自燃或爆炸的物质</w:t>
            </w:r>
          </w:p>
        </w:tc>
        <w:tc>
          <w:tcPr>
            <w:tcW w:w="1900"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仓库高窗未采取避光措施，温、湿度调节设备失效等导致仓库温度过高，可能引发火灾爆炸。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autoSpaceDE w:val="0"/>
              <w:autoSpaceDN w:val="0"/>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遇湿易放出易燃气体的物质</w:t>
            </w:r>
          </w:p>
        </w:tc>
        <w:tc>
          <w:tcPr>
            <w:tcW w:w="1900"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温、湿度调节设备失效、防止水浸渍措施失效等导致仓库湿度过大，可能引发火灾爆炸。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autoSpaceDE w:val="0"/>
              <w:autoSpaceDN w:val="0"/>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助燃气体（如氧气）等氧化剂</w:t>
            </w:r>
          </w:p>
        </w:tc>
        <w:tc>
          <w:tcPr>
            <w:tcW w:w="1900"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存在油污类物质，与禁忌物混存等</w:t>
            </w:r>
            <w:r>
              <w:rPr>
                <w:rFonts w:hint="eastAsia" w:ascii="Times New Roman" w:hAnsi="Times New Roman" w:eastAsia="宋体" w:cs="Times New Roman"/>
                <w:sz w:val="18"/>
                <w:szCs w:val="18"/>
              </w:rPr>
              <w:t>可能</w:t>
            </w:r>
            <w:r>
              <w:rPr>
                <w:rFonts w:ascii="Times New Roman" w:hAnsi="Times New Roman" w:eastAsia="宋体" w:cs="Times New Roman"/>
                <w:sz w:val="18"/>
                <w:szCs w:val="18"/>
              </w:rPr>
              <w:t>引发火灾爆炸。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工业管道及管道附近区域</w:t>
            </w: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易燃气体、易燃液体等易燃、可燃物</w:t>
            </w:r>
          </w:p>
        </w:tc>
        <w:tc>
          <w:tcPr>
            <w:tcW w:w="1900"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管道内易燃气体、易燃液体等易燃、可燃物泄漏，遇到静电火花、电气火花、明火等，可能引发火灾爆炸。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毒害性危险化学品</w:t>
            </w:r>
          </w:p>
        </w:tc>
        <w:tc>
          <w:tcPr>
            <w:tcW w:w="1900"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管道内毒害性危险化学品泄漏，人员大量吸入可能导致中毒。</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34" w:hRule="atLeast"/>
          <w:jc w:val="center"/>
        </w:trPr>
        <w:tc>
          <w:tcPr>
            <w:tcW w:w="320" w:type="pct"/>
            <w:vAlign w:val="center"/>
          </w:tcPr>
          <w:p>
            <w:pPr>
              <w:numPr>
                <w:ilvl w:val="0"/>
                <w:numId w:val="20"/>
              </w:numPr>
              <w:adjustRightInd w:val="0"/>
              <w:snapToGrid w:val="0"/>
              <w:jc w:val="center"/>
              <w:rPr>
                <w:rFonts w:ascii="Times New Roman" w:hAnsi="Times New Roman" w:eastAsia="宋体" w:cs="Times New Roman"/>
                <w:sz w:val="18"/>
                <w:szCs w:val="18"/>
              </w:rPr>
            </w:pPr>
          </w:p>
        </w:tc>
        <w:tc>
          <w:tcPr>
            <w:tcW w:w="516" w:type="pct"/>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罐区</w:t>
            </w: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危险化学品储罐</w:t>
            </w:r>
          </w:p>
        </w:tc>
        <w:tc>
          <w:tcPr>
            <w:tcW w:w="1900" w:type="pct"/>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.易燃易爆危险化学品罐发生泄漏，遇到静电火花、电气火花、明火等，可能引发火灾爆炸。</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.有毒有害危险化学品罐发生泄漏，人员大量吸入可能导致中毒事故。</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.储罐内物料充装过量，罐内压力过高，可能导致容器爆炸事故。</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.储罐的安全附件失效，造成显示和安全泄放装置失灵，可能导致容器爆炸事故。</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320" w:type="pct"/>
            <w:vAlign w:val="center"/>
          </w:tcPr>
          <w:p>
            <w:pPr>
              <w:numPr>
                <w:ilvl w:val="0"/>
                <w:numId w:val="20"/>
              </w:numPr>
              <w:adjustRightInd w:val="0"/>
              <w:snapToGrid w:val="0"/>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危险化学品罐人孔操作井</w:t>
            </w:r>
          </w:p>
        </w:tc>
        <w:tc>
          <w:tcPr>
            <w:tcW w:w="1900" w:type="pct"/>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.人孔井内，易燃易爆危险化学品发生泄漏并积聚，遇到静电火花、电气火花、明火等，可能引发火灾爆炸。</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.人孔井内，有毒有害危险化学品发生泄漏并积聚，人员大量吸入导致中毒窒息事故。</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adjustRightInd w:val="0"/>
              <w:snapToGrid w:val="0"/>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危险化学品罐通气管</w:t>
            </w:r>
          </w:p>
        </w:tc>
        <w:tc>
          <w:tcPr>
            <w:tcW w:w="1900"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排出挥发性气体遇静电、雷电等火源发生火灾爆炸事故。</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adjustRightInd w:val="0"/>
              <w:snapToGrid w:val="0"/>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给排水设施</w:t>
            </w:r>
          </w:p>
        </w:tc>
        <w:tc>
          <w:tcPr>
            <w:tcW w:w="1900"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给排水设施内积聚的易燃易爆化学气体，遇到静电火花、电气火花、明火等，可能引发火灾爆炸。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Merge w:val="continue"/>
            <w:vAlign w:val="center"/>
          </w:tcPr>
          <w:p>
            <w:pPr>
              <w:widowControl/>
              <w:adjustRightInd w:val="0"/>
              <w:snapToGrid w:val="0"/>
              <w:rPr>
                <w:rFonts w:ascii="Times New Roman" w:hAnsi="Times New Roman" w:eastAsia="宋体" w:cs="Times New Roman"/>
                <w:sz w:val="18"/>
                <w:szCs w:val="18"/>
              </w:rPr>
            </w:pPr>
          </w:p>
        </w:tc>
        <w:tc>
          <w:tcPr>
            <w:tcW w:w="997" w:type="pct"/>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危险化学品罐计量作业</w:t>
            </w:r>
          </w:p>
        </w:tc>
        <w:tc>
          <w:tcPr>
            <w:tcW w:w="1900"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计量作业场所内的易燃易爆化学品，遇到静电火花、电气火花、明火等，可能引发火灾爆炸。</w:t>
            </w:r>
          </w:p>
        </w:tc>
        <w:tc>
          <w:tcPr>
            <w:tcW w:w="581"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686"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80" w:hRule="atLeast"/>
          <w:jc w:val="center"/>
        </w:trPr>
        <w:tc>
          <w:tcPr>
            <w:tcW w:w="320" w:type="pct"/>
            <w:tcBorders>
              <w:bottom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bottom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变配电室</w:t>
            </w:r>
          </w:p>
        </w:tc>
        <w:tc>
          <w:tcPr>
            <w:tcW w:w="997" w:type="pct"/>
            <w:tcBorders>
              <w:bottom w:val="single" w:color="auto" w:sz="4" w:space="0"/>
            </w:tcBorders>
            <w:vAlign w:val="center"/>
          </w:tcPr>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变配电室</w:t>
            </w:r>
          </w:p>
        </w:tc>
        <w:tc>
          <w:tcPr>
            <w:tcW w:w="1900" w:type="pct"/>
            <w:tcBorders>
              <w:bottom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.高低压配电室门口挡鼠板缺失或配电室的进线沟洞等不密封，配电室房屋结构不能阻挡小动物（鼠、猫、鸟、蛇等）进入措施而发生小动物触电造成短路，引发电气火灾。</w:t>
            </w:r>
          </w:p>
        </w:tc>
        <w:tc>
          <w:tcPr>
            <w:tcW w:w="581" w:type="pct"/>
            <w:tcBorders>
              <w:bottom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bottom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配电箱（柜）及附近区域</w:t>
            </w:r>
          </w:p>
        </w:tc>
        <w:tc>
          <w:tcPr>
            <w:tcW w:w="997" w:type="pct"/>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配电箱（柜）</w:t>
            </w:r>
          </w:p>
        </w:tc>
        <w:tc>
          <w:tcPr>
            <w:tcW w:w="1900"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.配电箱（柜）的电源线路、开关等设施，使用中可能产生火花，引燃可燃物，可能导致火灾事故。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.箱（柜）内可能存在带电部位裸露在外，人员接触，可能导致触电事故。</w:t>
            </w:r>
          </w:p>
        </w:tc>
        <w:tc>
          <w:tcPr>
            <w:tcW w:w="581"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vAlign w:val="center"/>
          </w:tcPr>
          <w:p>
            <w:pPr>
              <w:numPr>
                <w:ilvl w:val="0"/>
                <w:numId w:val="20"/>
              </w:numPr>
              <w:jc w:val="center"/>
              <w:rPr>
                <w:rFonts w:ascii="Times New Roman" w:hAnsi="Times New Roman" w:eastAsia="宋体" w:cs="Times New Roman"/>
                <w:sz w:val="18"/>
                <w:szCs w:val="18"/>
              </w:rPr>
            </w:pPr>
          </w:p>
        </w:tc>
        <w:tc>
          <w:tcPr>
            <w:tcW w:w="516"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供配电系统</w:t>
            </w:r>
          </w:p>
        </w:tc>
        <w:tc>
          <w:tcPr>
            <w:tcW w:w="997" w:type="pct"/>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供配电检修作业</w:t>
            </w:r>
          </w:p>
        </w:tc>
        <w:tc>
          <w:tcPr>
            <w:tcW w:w="1900"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高低压供配电系统检修时，检修人员可能发生触电事故。</w:t>
            </w:r>
          </w:p>
        </w:tc>
        <w:tc>
          <w:tcPr>
            <w:tcW w:w="581"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气瓶间或气瓶使用部位</w:t>
            </w:r>
          </w:p>
        </w:tc>
        <w:tc>
          <w:tcPr>
            <w:tcW w:w="997" w:type="pct"/>
            <w:tcBorders>
              <w:top w:val="single" w:color="auto" w:sz="4" w:space="0"/>
              <w:left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气瓶</w:t>
            </w:r>
          </w:p>
        </w:tc>
        <w:tc>
          <w:tcPr>
            <w:tcW w:w="1900"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.气瓶内易燃易爆介质泄漏，遇火源可能导致火灾、爆炸事故。</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.气瓶内有毒物质泄漏，可能导致中毒等事故。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w:t>
            </w:r>
            <w:r>
              <w:rPr>
                <w:rFonts w:hint="eastAsia" w:ascii="Times New Roman" w:hAnsi="Times New Roman" w:eastAsia="宋体" w:cs="Times New Roman"/>
                <w:sz w:val="18"/>
                <w:szCs w:val="18"/>
              </w:rPr>
              <w:t>气瓶当受热、撞击或强烈震动时，容器内压力急剧增大，可能致使容器破裂爆炸，对周围人员和设备造成损坏。</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压力容器</w:t>
            </w: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移动式和固定式压力容器的承压部件</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压力容器内部因压力过高，可能导致容器爆炸事故。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continue"/>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997" w:type="pct"/>
            <w:tcBorders>
              <w:top w:val="single" w:color="auto" w:sz="4" w:space="0"/>
              <w:left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压力容器</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.压力容器内部易燃易爆物品发生泄漏，遇火源可能导致火灾、爆炸事故。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.压力容器内毒性介质发生泄漏或装卸过程中，人员接触可能导致中毒窒息事故。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其他爆炸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restar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厨房</w:t>
            </w:r>
          </w:p>
        </w:tc>
        <w:tc>
          <w:tcPr>
            <w:tcW w:w="997" w:type="pct"/>
            <w:tcBorders>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厨房电器设备</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.使用电器设备时，可能发生触电事故。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部分高温设备使用中，可能发生灼烫。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w:t>
            </w:r>
            <w:r>
              <w:rPr>
                <w:rFonts w:hint="eastAsia" w:ascii="Times New Roman" w:hAnsi="Times New Roman" w:eastAsia="宋体" w:cs="Times New Roman"/>
                <w:sz w:val="18"/>
                <w:szCs w:val="18"/>
              </w:rPr>
              <w:t>部分设备在使用过程中，可能造成机械伤害或者刀具伤手等伤害。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w:t>
            </w:r>
            <w:r>
              <w:rPr>
                <w:rFonts w:hint="eastAsia" w:ascii="Times New Roman" w:hAnsi="Times New Roman" w:eastAsia="宋体" w:cs="Times New Roman"/>
                <w:sz w:val="18"/>
                <w:szCs w:val="18"/>
              </w:rPr>
              <w:t>抽油烟机运转中会产生噪声，外加厨房内多为高温环境，可能会对人员造成一定程度的人身伤害。</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机械伤害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continue"/>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997" w:type="pct"/>
            <w:tcBorders>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厨房燃气设备</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使用燃气发生泄漏，遇火源可能导致火灾爆炸事故。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员工宿舍</w:t>
            </w:r>
          </w:p>
        </w:tc>
        <w:tc>
          <w:tcPr>
            <w:tcW w:w="997" w:type="pct"/>
            <w:tcBorders>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电气设备及线路</w:t>
            </w:r>
          </w:p>
        </w:tc>
        <w:tc>
          <w:tcPr>
            <w:tcW w:w="1900"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违规使用电热毯、电暖气等大功率用电设备，过载可能引发火灾或触电。</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私拉电气线路由于漏电、短路、过负荷等原因，产生电火花、高温、电弧等可能引发周边易燃可燃物发生火灾。私拉电气线路由于绝缘失效或损坏，对接触人员造成触电。</w:t>
            </w:r>
          </w:p>
        </w:tc>
        <w:tc>
          <w:tcPr>
            <w:tcW w:w="58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kern w:val="0"/>
                <w:sz w:val="18"/>
                <w:szCs w:val="18"/>
              </w:rPr>
              <w:t>环境影响</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w:t>
            </w: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动火作业</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使用电器设备时，可能引发火灾事故。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受限空间作业</w:t>
            </w:r>
          </w:p>
        </w:tc>
        <w:tc>
          <w:tcPr>
            <w:tcW w:w="997" w:type="pct"/>
            <w:tcBorders>
              <w:left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内罐、仓、管道、隧道、沟、坑、井、池、涵洞、下水管道等封闭、半封闭的设施及场所</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1.人员进入受限空间作业时，可能氧气不足，导致中毒窒息事故。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 在作业场地狭小、作业人员精力不集中、防护措施不当或夜间照明不足时，也可能会发生碰、挤、擦、刮等其它伤害。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 受限空间作业部位存在可燃物、易燃易爆危险化学品，遇火源可能导致火灾、爆炸、中毒窒息等事故。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 进入高温受限空间作业，可能导致高温灼伤事故。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临时用电作业</w:t>
            </w: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临时用电设备及电缆</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临时用电存在带电部位裸露，可能导致触电事故。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临时用电作业</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临时用电线路产生的火花引燃周边的油品及可燃物，导致火灾爆炸事故。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w:t>
            </w:r>
          </w:p>
        </w:tc>
        <w:tc>
          <w:tcPr>
            <w:tcW w:w="997" w:type="pct"/>
            <w:tcBorders>
              <w:top w:val="single" w:color="auto" w:sz="4" w:space="0"/>
              <w:left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动土作业部位及周边区域设施</w:t>
            </w:r>
            <w:r>
              <w:rPr>
                <w:rFonts w:hint="eastAsia" w:ascii="Times New Roman" w:hAnsi="Times New Roman" w:eastAsia="宋体" w:cs="Times New Roman"/>
                <w:sz w:val="18"/>
                <w:szCs w:val="18"/>
              </w:rPr>
              <w:t>、</w:t>
            </w:r>
            <w:r>
              <w:rPr>
                <w:rFonts w:ascii="Times New Roman" w:hAnsi="Times New Roman" w:eastAsia="宋体" w:cs="Times New Roman"/>
                <w:sz w:val="18"/>
                <w:szCs w:val="18"/>
              </w:rPr>
              <w:t>深基坑</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.动土作业部位及周边区域设施内的易燃易爆物质，遇火源可能导致火灾、爆炸事故。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.动土作业部位及周边区域设施内的有毒物质，泄漏后可能导致中毒事故。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.在动土作业时，发生支撑不牢靠，或地下和地面水渗入作业区，可能导致作业区坍塌事故。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.动土作业现场高差大于2m时，人员可能坠入坑内，导致高处坠落事故。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高处作业</w:t>
            </w: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高处作业时的工具</w:t>
            </w:r>
            <w:r>
              <w:rPr>
                <w:rFonts w:hint="eastAsia" w:ascii="Times New Roman" w:hAnsi="Times New Roman" w:eastAsia="宋体" w:cs="Times New Roman"/>
                <w:sz w:val="18"/>
                <w:szCs w:val="18"/>
              </w:rPr>
              <w:t>、</w:t>
            </w:r>
            <w:r>
              <w:rPr>
                <w:rFonts w:ascii="Times New Roman" w:hAnsi="Times New Roman" w:eastAsia="宋体" w:cs="Times New Roman"/>
                <w:sz w:val="18"/>
                <w:szCs w:val="18"/>
              </w:rPr>
              <w:t>物体</w:t>
            </w:r>
            <w:r>
              <w:rPr>
                <w:rFonts w:hint="eastAsia" w:ascii="Times New Roman" w:hAnsi="Times New Roman" w:eastAsia="宋体" w:cs="Times New Roman"/>
                <w:sz w:val="18"/>
                <w:szCs w:val="18"/>
              </w:rPr>
              <w:t>以及</w:t>
            </w:r>
            <w:r>
              <w:rPr>
                <w:rFonts w:ascii="Times New Roman" w:hAnsi="Times New Roman" w:eastAsia="宋体" w:cs="Times New Roman"/>
                <w:sz w:val="18"/>
                <w:szCs w:val="18"/>
              </w:rPr>
              <w:t>登高工具、脚手架</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.高处作业时，使用的工具、零件等物品发生坠落，可能会对下部人员或设备造成物体打击。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.在高于2 m的作业平台、脚手架进行操作、检修等高处作业时，可能导致</w:t>
            </w:r>
            <w:r>
              <w:rPr>
                <w:rFonts w:hint="eastAsia" w:ascii="Times New Roman" w:hAnsi="Times New Roman" w:eastAsia="宋体" w:cs="Times New Roman"/>
                <w:sz w:val="18"/>
                <w:szCs w:val="18"/>
              </w:rPr>
              <w:t>高处</w:t>
            </w:r>
            <w:r>
              <w:rPr>
                <w:rFonts w:ascii="Times New Roman" w:hAnsi="Times New Roman" w:eastAsia="宋体" w:cs="Times New Roman"/>
                <w:sz w:val="18"/>
                <w:szCs w:val="18"/>
              </w:rPr>
              <w:t>坠落事故。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.在高处作业时，使用的脚手架、跳板存在问题，可能导致坍塌事故。</w:t>
            </w:r>
          </w:p>
        </w:tc>
        <w:tc>
          <w:tcPr>
            <w:tcW w:w="581"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top w:val="single" w:color="auto" w:sz="4" w:space="0"/>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起吊作业及周边区域</w:t>
            </w: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起重机械自身及其移动和旋转部位在起吊过程中，发生整体失稳倾翻、吊具、钢丝绳损坏、移动部位碰撞他人，可能导致起重伤害事故。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continue"/>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起重机械带电部位</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起重机械吊装过程触碰高处物体，或吊起物品坠落碰撞危险物品，可能导致危险物品泄漏，造成火灾爆炸事故。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其他爆炸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continue"/>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吊装的物品</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起重机械吊装的重物坠落、挤压、撞击他人或司机，可能导致起重伤害事故。</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0" w:type="pct"/>
            <w:tcBorders>
              <w:left w:val="single" w:color="auto" w:sz="4" w:space="0"/>
              <w:bottom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997"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带电设备、电线</w:t>
            </w:r>
          </w:p>
        </w:tc>
        <w:tc>
          <w:tcPr>
            <w:tcW w:w="1900"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起重机械操作人员与电器设备接触，或起重机械吊装时触碰电线，可能导致司机或他人触电。</w:t>
            </w:r>
          </w:p>
        </w:tc>
        <w:tc>
          <w:tcPr>
            <w:tcW w:w="581"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686"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87" w:hRule="atLeast"/>
          <w:jc w:val="center"/>
        </w:trPr>
        <w:tc>
          <w:tcPr>
            <w:tcW w:w="320" w:type="pct"/>
            <w:tcBorders>
              <w:left w:val="single" w:color="auto" w:sz="4" w:space="0"/>
              <w:right w:val="single" w:color="auto" w:sz="4" w:space="0"/>
            </w:tcBorders>
            <w:vAlign w:val="center"/>
          </w:tcPr>
          <w:p>
            <w:pPr>
              <w:numPr>
                <w:ilvl w:val="0"/>
                <w:numId w:val="20"/>
              </w:numPr>
              <w:jc w:val="center"/>
              <w:rPr>
                <w:rFonts w:ascii="Times New Roman" w:hAnsi="Times New Roman" w:eastAsia="宋体" w:cs="Times New Roman"/>
                <w:sz w:val="18"/>
                <w:szCs w:val="18"/>
              </w:rPr>
            </w:pPr>
          </w:p>
        </w:tc>
        <w:tc>
          <w:tcPr>
            <w:tcW w:w="516" w:type="pc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危险化学品装卸</w:t>
            </w:r>
            <w:r>
              <w:rPr>
                <w:rFonts w:hint="eastAsia" w:ascii="Times New Roman" w:hAnsi="Times New Roman" w:eastAsia="宋体" w:cs="Times New Roman"/>
                <w:sz w:val="18"/>
                <w:szCs w:val="18"/>
              </w:rPr>
              <w:t>、</w:t>
            </w:r>
            <w:r>
              <w:rPr>
                <w:rFonts w:ascii="Times New Roman" w:hAnsi="Times New Roman" w:eastAsia="宋体" w:cs="Times New Roman"/>
                <w:sz w:val="18"/>
                <w:szCs w:val="18"/>
              </w:rPr>
              <w:t>搬运作业</w:t>
            </w:r>
          </w:p>
        </w:tc>
        <w:tc>
          <w:tcPr>
            <w:tcW w:w="997" w:type="pct"/>
            <w:tcBorders>
              <w:top w:val="single" w:color="auto" w:sz="4" w:space="0"/>
              <w:left w:val="single" w:color="auto" w:sz="4" w:space="0"/>
              <w:right w:val="single" w:color="auto" w:sz="4" w:space="0"/>
            </w:tcBorders>
            <w:vAlign w:val="center"/>
          </w:tcPr>
          <w:p>
            <w:pPr>
              <w:widowControl/>
              <w:adjustRightInd w:val="0"/>
              <w:snapToGrid w:val="0"/>
              <w:spacing w:line="240" w:lineRule="atLeast"/>
              <w:jc w:val="left"/>
              <w:rPr>
                <w:rFonts w:ascii="Times New Roman" w:hAnsi="Times New Roman" w:eastAsia="宋体" w:cs="Times New Roman"/>
                <w:sz w:val="18"/>
                <w:szCs w:val="18"/>
              </w:rPr>
            </w:pPr>
            <w:r>
              <w:rPr>
                <w:rFonts w:ascii="Times New Roman" w:hAnsi="Times New Roman" w:eastAsia="宋体" w:cs="Times New Roman"/>
                <w:sz w:val="18"/>
                <w:szCs w:val="18"/>
              </w:rPr>
              <w:t>装卸</w:t>
            </w:r>
            <w:r>
              <w:rPr>
                <w:rFonts w:hint="eastAsia" w:ascii="Times New Roman" w:hAnsi="Times New Roman" w:eastAsia="宋体" w:cs="Times New Roman"/>
                <w:sz w:val="18"/>
                <w:szCs w:val="18"/>
              </w:rPr>
              <w:t>、</w:t>
            </w:r>
            <w:r>
              <w:rPr>
                <w:rFonts w:ascii="Times New Roman" w:hAnsi="Times New Roman" w:eastAsia="宋体" w:cs="Times New Roman"/>
                <w:sz w:val="18"/>
                <w:szCs w:val="18"/>
              </w:rPr>
              <w:t>搬运作业</w:t>
            </w:r>
          </w:p>
        </w:tc>
        <w:tc>
          <w:tcPr>
            <w:tcW w:w="1900" w:type="pct"/>
            <w:tcBorders>
              <w:top w:val="single" w:color="auto" w:sz="4" w:space="0"/>
              <w:left w:val="single" w:color="auto" w:sz="4" w:space="0"/>
              <w:right w:val="single" w:color="auto" w:sz="4" w:space="0"/>
            </w:tcBorders>
            <w:vAlign w:val="center"/>
          </w:tcPr>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.危险化学品装卸、搬运作业过程，由于未使用专用工器具等原因，造成包装物损坏的，易燃易爆物质泄漏，遇到静电火花、电气火花、明火等，可能引发火灾或爆炸。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.装卸区域内，罐车、罐装管线等静电导除出现问题，可能引发火灾爆炸。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.危险化学品装卸、搬运作业过程，由于未使用专用工器具等原因，造成包装物损坏的，毒害性危险化学品泄漏，人员大量吸入可能导致中毒窒息等。</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.危险化学品装卸、搬运作业过程，由于未使用专用工器具等原因，造成包装物损坏的，酸碱等腐蚀性危险化学品泄漏，可能导致酸碱腐蚀灼烫事故。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.危险化学品装卸、搬运作业</w:t>
            </w:r>
            <w:r>
              <w:rPr>
                <w:rFonts w:hint="eastAsia" w:ascii="Times New Roman" w:hAnsi="Times New Roman" w:eastAsia="宋体" w:cs="Times New Roman"/>
                <w:sz w:val="18"/>
                <w:szCs w:val="18"/>
              </w:rPr>
              <w:t>过程中，可能造成物品意外跌落，进而打击人体造成人身伤亡事故。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6</w:t>
            </w:r>
            <w:r>
              <w:rPr>
                <w:rFonts w:ascii="Times New Roman" w:hAnsi="Times New Roman" w:eastAsia="宋体" w:cs="Times New Roman"/>
                <w:sz w:val="18"/>
                <w:szCs w:val="18"/>
              </w:rPr>
              <w:t>.危险化学品装卸、搬运作业</w:t>
            </w:r>
            <w:r>
              <w:rPr>
                <w:rFonts w:hint="eastAsia" w:ascii="Times New Roman" w:hAnsi="Times New Roman" w:eastAsia="宋体" w:cs="Times New Roman"/>
                <w:sz w:val="18"/>
                <w:szCs w:val="18"/>
              </w:rPr>
              <w:t>过程中，使用的机动车辆可能会对周围人员造成车辆伤害。</w:t>
            </w:r>
          </w:p>
        </w:tc>
        <w:tc>
          <w:tcPr>
            <w:tcW w:w="581" w:type="pct"/>
            <w:tcBorders>
              <w:top w:val="single" w:color="auto" w:sz="4" w:space="0"/>
              <w:left w:val="single" w:color="auto" w:sz="4" w:space="0"/>
              <w:right w:val="single" w:color="auto" w:sz="4" w:space="0"/>
            </w:tcBorders>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686" w:type="pct"/>
            <w:tcBorders>
              <w:top w:val="single" w:color="auto" w:sz="4" w:space="0"/>
              <w:left w:val="single" w:color="auto" w:sz="4" w:space="0"/>
              <w:right w:val="single" w:color="auto" w:sz="4" w:space="0"/>
            </w:tcBorders>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车辆伤害</w:t>
            </w:r>
          </w:p>
        </w:tc>
      </w:tr>
    </w:tbl>
    <w:p>
      <w:pPr>
        <w:ind w:firstLine="420" w:firstLineChars="200"/>
        <w:rPr>
          <w:rFonts w:ascii="Times New Roman" w:hAnsi="Times New Roman" w:eastAsia="宋体" w:cs="Times New Roman"/>
          <w:szCs w:val="24"/>
        </w:rPr>
      </w:pPr>
      <w:r>
        <w:rPr>
          <w:rFonts w:ascii="Times New Roman" w:hAnsi="Times New Roman" w:eastAsia="宋体" w:cs="Times New Roman"/>
          <w:szCs w:val="24"/>
        </w:rPr>
        <w:br w:type="page"/>
      </w:r>
    </w:p>
    <w:p>
      <w:pPr>
        <w:keepNext/>
        <w:keepLines/>
        <w:spacing w:line="480" w:lineRule="auto"/>
        <w:outlineLvl w:val="0"/>
        <w:rPr>
          <w:rFonts w:ascii="Times New Roman" w:hAnsi="Times New Roman" w:eastAsia="宋体" w:cs="Times New Roman"/>
          <w:b/>
          <w:bCs/>
          <w:kern w:val="44"/>
          <w:sz w:val="24"/>
          <w:szCs w:val="24"/>
        </w:rPr>
      </w:pPr>
      <w:r>
        <w:rPr>
          <w:rFonts w:hint="eastAsia" w:ascii="Times New Roman" w:hAnsi="Times New Roman" w:eastAsia="宋体" w:cs="Times New Roman"/>
          <w:b/>
          <w:bCs/>
          <w:kern w:val="44"/>
          <w:sz w:val="24"/>
          <w:szCs w:val="24"/>
        </w:rPr>
        <w:t>三、瓶装工业气经营企业安全风险辨识建议清单</w:t>
      </w:r>
    </w:p>
    <w:tbl>
      <w:tblPr>
        <w:tblStyle w:val="40"/>
        <w:tblW w:w="500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62"/>
        <w:gridCol w:w="1192"/>
        <w:gridCol w:w="1337"/>
        <w:gridCol w:w="2839"/>
        <w:gridCol w:w="1135"/>
        <w:gridCol w:w="14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329" w:type="pct"/>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序号</w:t>
            </w:r>
          </w:p>
        </w:tc>
        <w:tc>
          <w:tcPr>
            <w:tcW w:w="698" w:type="pct"/>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场所/位置</w:t>
            </w:r>
          </w:p>
        </w:tc>
        <w:tc>
          <w:tcPr>
            <w:tcW w:w="783" w:type="pct"/>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风险源</w:t>
            </w:r>
          </w:p>
        </w:tc>
        <w:tc>
          <w:tcPr>
            <w:tcW w:w="1663" w:type="pct"/>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风险描述示意</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（仅供参考）</w:t>
            </w:r>
          </w:p>
        </w:tc>
        <w:tc>
          <w:tcPr>
            <w:tcW w:w="665" w:type="pct"/>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可能造成的</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后果</w:t>
            </w:r>
          </w:p>
        </w:tc>
        <w:tc>
          <w:tcPr>
            <w:tcW w:w="862" w:type="pct"/>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氧气充装站</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氧气充装站的灌氧站房和气瓶灌装设施</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.灌氧站房氧气发生泄漏，与可燃物及火源接触，可能发生火灾爆炸事故。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.氧气充装台因阀门质量或密封质量发生泄漏，与可燃物及火源接触，引发火灾爆炸事故。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与氧气接触的一切安全附件、密封元件及工器具</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与氧气接触的器具上具有油脂的，可能导致油脂氧化，发生火灾事故。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充装容器</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.氧气充装时发生混装，导致氧气充入装过其他介质的容器，发生爆炸事故。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充装容器在充装过程中，产生超压充装等，可能导致容器爆炸。</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氢气充装站</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氢气充装设施</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.氢气充装站氢气发生泄漏，可燃气体报警器失效造成气体泄漏大量堆积的，或事故状态下强制排风设施失效，遇火源，可能发生火灾爆炸事故。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容器在充装过程中，产生超压充装等，可能导致容器爆炸。</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.压缩机排放口氢气大量积聚，遇火源，可能发生火灾爆炸事故。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氮气充装站</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氮气充装设施</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氮气充装站氮气发生泄漏，人员大量吸入，可能发生造成窒息事故。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充装毒性气体的充装站</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充装毒性气体的充装站</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充装站有毒有害气体发生泄漏，人员吸入导致中毒窒息事故。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充装站充装与水形成强腐蚀介质的气体的设备、管道阀门、气瓶</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充装站充装与水形成强腐蚀介质的气体的设备、管道阀门、气瓶</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气体与水汽接触，产生腐蚀性介质，导致管道设备、气瓶发生腐蚀破坏。</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其它伤害（设备腐蚀破坏）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低温液体储罐</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低温液体储罐</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.低温液体充装管路、阀门发生撕裂、储罐等部位发生泄漏，人员大量接触低温液体，发生冻伤事故。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.低温液体充装管路、阀门发生撕裂、储罐等部位发生泄漏，泄漏介质为可燃物质或强氧化剂，遇火源发生火灾爆炸事故。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.低温液体充装管路、阀门发生撕裂、储罐等部位发生泄漏，泄漏介质有毒有害介质或强氧化剂，人员大量吸入，导致中毒窒息事故。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其它伤害（冻伤）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8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低温液体泵</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低温液体泵</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.低温液体在充装过程中发生软管断裂，可燃气体或强氧化剂发生泄漏，遇火源发生火灾爆炸事故。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.低温液体在充装过程中发生软管断裂，有毒有害气体，人员吸入导致中毒窒息事故。</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3.安全阀、吹除阀连接管路断裂，可燃气体或强氧化剂发生泄漏，遇火源发生火灾爆炸事故。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.安全阀、吹除阀连接管路断裂，有毒有害气体，人员吸入导致中毒窒息事故。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.阀门发生严重卡滞无法关闭，可燃气体或强氧化剂发生泄漏，遇火源发生火灾爆炸事故。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6</w:t>
            </w:r>
            <w:r>
              <w:rPr>
                <w:rFonts w:ascii="Times New Roman" w:hAnsi="Times New Roman" w:eastAsia="宋体" w:cs="Times New Roman"/>
                <w:sz w:val="18"/>
                <w:szCs w:val="18"/>
              </w:rPr>
              <w:t>.阀门发生严重卡滞无法关闭，人员吸入有毒有害气体，导致中毒窒息事故。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7</w:t>
            </w:r>
            <w:r>
              <w:rPr>
                <w:rFonts w:ascii="Times New Roman" w:hAnsi="Times New Roman" w:eastAsia="宋体" w:cs="Times New Roman"/>
                <w:sz w:val="18"/>
                <w:szCs w:val="18"/>
              </w:rPr>
              <w:t>.轴承温度过高，可能引燃泵内可燃液体，导致火灾爆炸事故。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8</w:t>
            </w:r>
            <w:r>
              <w:rPr>
                <w:rFonts w:ascii="Times New Roman" w:hAnsi="Times New Roman" w:eastAsia="宋体" w:cs="Times New Roman"/>
                <w:sz w:val="18"/>
                <w:szCs w:val="18"/>
              </w:rPr>
              <w:t>.低温液体泵电源线路发生短路或线路破损，人员接触，可能引起触电事故。</w:t>
            </w:r>
          </w:p>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9.低温液体泵电源线路发生短路或线路破损，可能引燃可燃液体，发生火灾爆炸事故。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低温液体汽化器</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低温液体汽化器</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.汽化器出口温度过低，导致钢瓶发生冻脆事故，从而发生泄漏，遇火源导致火灾爆炸事故。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.汽化器出口温度过低，导致钢瓶发生冻脆事故，从而发生泄漏，人员大量吸入，导致中毒窒息事故。</w:t>
            </w:r>
          </w:p>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.汽化器出口压力过高，导致瓶内超压超量充装，可能导致钢瓶发生爆炸。</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tcBorders>
              <w:top w:val="single" w:color="auto" w:sz="4" w:space="0"/>
              <w:left w:val="single" w:color="auto" w:sz="4" w:space="0"/>
              <w:bottom w:val="single" w:color="auto" w:sz="4" w:space="0"/>
              <w:right w:val="single" w:color="auto" w:sz="4" w:space="0"/>
            </w:tcBorders>
            <w:vAlign w:val="center"/>
          </w:tcPr>
          <w:p>
            <w:pPr>
              <w:numPr>
                <w:ilvl w:val="0"/>
                <w:numId w:val="21"/>
              </w:numPr>
              <w:jc w:val="center"/>
              <w:rPr>
                <w:rFonts w:ascii="Times New Roman" w:hAnsi="Times New Roman" w:eastAsia="宋体" w:cs="Times New Roman"/>
                <w:sz w:val="18"/>
                <w:szCs w:val="18"/>
              </w:rPr>
            </w:pPr>
          </w:p>
        </w:tc>
        <w:tc>
          <w:tcPr>
            <w:tcW w:w="698" w:type="pct"/>
            <w:vMerge w:val="restar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放散管</w:t>
            </w:r>
          </w:p>
        </w:tc>
        <w:tc>
          <w:tcPr>
            <w:tcW w:w="783"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氧气放散管</w:t>
            </w:r>
          </w:p>
        </w:tc>
        <w:tc>
          <w:tcPr>
            <w:tcW w:w="1663"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氧气放散管内的氧气，与可燃物接触，可能导致火灾爆炸事故。</w:t>
            </w:r>
          </w:p>
        </w:tc>
        <w:tc>
          <w:tcPr>
            <w:tcW w:w="66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tcBorders>
              <w:top w:val="single" w:color="auto" w:sz="4" w:space="0"/>
              <w:left w:val="single" w:color="auto" w:sz="4" w:space="0"/>
              <w:bottom w:val="single" w:color="auto" w:sz="4" w:space="0"/>
              <w:right w:val="single" w:color="auto" w:sz="4" w:space="0"/>
            </w:tcBorders>
            <w:vAlign w:val="center"/>
          </w:tcPr>
          <w:p>
            <w:pPr>
              <w:numPr>
                <w:ilvl w:val="0"/>
                <w:numId w:val="21"/>
              </w:numPr>
              <w:jc w:val="center"/>
              <w:rPr>
                <w:rFonts w:ascii="Times New Roman" w:hAnsi="Times New Roman" w:eastAsia="宋体" w:cs="Times New Roman"/>
                <w:sz w:val="18"/>
                <w:szCs w:val="18"/>
              </w:rPr>
            </w:pPr>
          </w:p>
        </w:tc>
        <w:tc>
          <w:tcPr>
            <w:tcW w:w="698" w:type="pct"/>
            <w:vMerge w:val="continue"/>
            <w:tcBorders>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可燃气体放散管</w:t>
            </w:r>
          </w:p>
        </w:tc>
        <w:tc>
          <w:tcPr>
            <w:tcW w:w="1663"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可燃气体放散管内的可燃气体，遇火源可能导致火灾爆炸事故。</w:t>
            </w:r>
          </w:p>
        </w:tc>
        <w:tc>
          <w:tcPr>
            <w:tcW w:w="665" w:type="pct"/>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2" w:type="pct"/>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罐区</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罐区</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.储罐内可燃气体、可燃液体、强氧化剂等泄漏，遇火源发生火灾爆炸事故。</w:t>
            </w:r>
          </w:p>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.储罐内有毒有害气体泄漏，人员吸入导致中毒窒息事故。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00" w:hRule="atLeast"/>
          <w:jc w:val="center"/>
        </w:trPr>
        <w:tc>
          <w:tcPr>
            <w:tcW w:w="329" w:type="pct"/>
            <w:tcBorders>
              <w:top w:val="single" w:color="auto" w:sz="4" w:space="0"/>
              <w:left w:val="single" w:color="auto" w:sz="4" w:space="0"/>
              <w:right w:val="single" w:color="auto" w:sz="4" w:space="0"/>
            </w:tcBorders>
            <w:vAlign w:val="center"/>
          </w:tcPr>
          <w:p>
            <w:pPr>
              <w:numPr>
                <w:ilvl w:val="0"/>
                <w:numId w:val="21"/>
              </w:numPr>
              <w:jc w:val="center"/>
              <w:rPr>
                <w:rFonts w:ascii="Times New Roman" w:hAnsi="Times New Roman" w:eastAsia="宋体" w:cs="Times New Roman"/>
                <w:sz w:val="18"/>
                <w:szCs w:val="18"/>
              </w:rPr>
            </w:pPr>
          </w:p>
        </w:tc>
        <w:tc>
          <w:tcPr>
            <w:tcW w:w="698"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深冷大型液氧贮罐</w:t>
            </w:r>
          </w:p>
        </w:tc>
        <w:tc>
          <w:tcPr>
            <w:tcW w:w="783"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深冷大型液氧贮罐</w:t>
            </w:r>
          </w:p>
        </w:tc>
        <w:tc>
          <w:tcPr>
            <w:tcW w:w="1663"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.储罐内液氧发生泄漏，与可燃物及火源接触，可能发生火灾爆炸事故。</w:t>
            </w:r>
          </w:p>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.储罐内液氧发生泄漏，与人员接触，可能发生冻伤事故。</w:t>
            </w:r>
          </w:p>
        </w:tc>
        <w:tc>
          <w:tcPr>
            <w:tcW w:w="665" w:type="pc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862" w:type="pct"/>
            <w:tcBorders>
              <w:top w:val="single" w:color="auto" w:sz="4" w:space="0"/>
              <w:left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其它伤害（低温伤害）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0" w:hRule="atLeast"/>
          <w:jc w:val="center"/>
        </w:trPr>
        <w:tc>
          <w:tcPr>
            <w:tcW w:w="329" w:type="pct"/>
            <w:tcBorders>
              <w:left w:val="single" w:color="auto" w:sz="4" w:space="0"/>
              <w:right w:val="single" w:color="auto" w:sz="4" w:space="0"/>
            </w:tcBorders>
            <w:vAlign w:val="center"/>
          </w:tcPr>
          <w:p>
            <w:pPr>
              <w:numPr>
                <w:ilvl w:val="0"/>
                <w:numId w:val="21"/>
              </w:numPr>
              <w:jc w:val="center"/>
              <w:rPr>
                <w:rFonts w:ascii="Times New Roman" w:hAnsi="Times New Roman" w:eastAsia="宋体" w:cs="Times New Roman"/>
                <w:sz w:val="18"/>
                <w:szCs w:val="18"/>
              </w:rPr>
            </w:pPr>
          </w:p>
        </w:tc>
        <w:tc>
          <w:tcPr>
            <w:tcW w:w="698" w:type="pc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深冷大型液</w:t>
            </w:r>
            <w:r>
              <w:rPr>
                <w:rFonts w:hint="eastAsia" w:ascii="Times New Roman" w:hAnsi="Times New Roman" w:eastAsia="宋体" w:cs="Times New Roman"/>
                <w:sz w:val="18"/>
                <w:szCs w:val="18"/>
              </w:rPr>
              <w:t>氮</w:t>
            </w:r>
            <w:r>
              <w:rPr>
                <w:rFonts w:ascii="Times New Roman" w:hAnsi="Times New Roman" w:eastAsia="宋体" w:cs="Times New Roman"/>
                <w:sz w:val="18"/>
                <w:szCs w:val="18"/>
              </w:rPr>
              <w:t>贮罐</w:t>
            </w:r>
          </w:p>
        </w:tc>
        <w:tc>
          <w:tcPr>
            <w:tcW w:w="783" w:type="pc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深冷大型液</w:t>
            </w:r>
            <w:r>
              <w:rPr>
                <w:rFonts w:hint="eastAsia" w:ascii="Times New Roman" w:hAnsi="Times New Roman" w:eastAsia="宋体" w:cs="Times New Roman"/>
                <w:sz w:val="18"/>
                <w:szCs w:val="18"/>
              </w:rPr>
              <w:t>氮</w:t>
            </w:r>
            <w:r>
              <w:rPr>
                <w:rFonts w:ascii="Times New Roman" w:hAnsi="Times New Roman" w:eastAsia="宋体" w:cs="Times New Roman"/>
                <w:sz w:val="18"/>
                <w:szCs w:val="18"/>
              </w:rPr>
              <w:t>贮罐</w:t>
            </w:r>
          </w:p>
        </w:tc>
        <w:tc>
          <w:tcPr>
            <w:tcW w:w="1663"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储罐内</w:t>
            </w:r>
            <w:r>
              <w:rPr>
                <w:rFonts w:ascii="Times New Roman" w:hAnsi="Times New Roman" w:eastAsia="宋体" w:cs="Times New Roman"/>
                <w:sz w:val="18"/>
                <w:szCs w:val="18"/>
              </w:rPr>
              <w:t>液</w:t>
            </w:r>
            <w:r>
              <w:rPr>
                <w:rFonts w:hint="eastAsia" w:ascii="Times New Roman" w:hAnsi="Times New Roman" w:eastAsia="宋体" w:cs="Times New Roman"/>
                <w:sz w:val="18"/>
                <w:szCs w:val="18"/>
              </w:rPr>
              <w:t>氮</w:t>
            </w:r>
            <w:r>
              <w:rPr>
                <w:rFonts w:ascii="Times New Roman" w:hAnsi="Times New Roman" w:eastAsia="宋体" w:cs="Times New Roman"/>
                <w:sz w:val="18"/>
                <w:szCs w:val="18"/>
              </w:rPr>
              <w:t>发生泄漏，</w:t>
            </w:r>
            <w:r>
              <w:rPr>
                <w:rFonts w:hint="eastAsia" w:ascii="Times New Roman" w:hAnsi="Times New Roman" w:eastAsia="宋体" w:cs="Times New Roman"/>
                <w:sz w:val="18"/>
                <w:szCs w:val="18"/>
              </w:rPr>
              <w:t>作业场所的空气中氮气浓度过高，使人体吸入空气中的氧分压下降，引起缺氧窒息。气体在空气中积累达到可以发生中毒和窒息的浓度，当员工由于工作需要或误入此场所时有可能产生中毒和窒息。</w:t>
            </w:r>
          </w:p>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.泄漏</w:t>
            </w:r>
            <w:r>
              <w:rPr>
                <w:rFonts w:hint="eastAsia" w:ascii="Times New Roman" w:hAnsi="Times New Roman" w:eastAsia="宋体" w:cs="Times New Roman"/>
                <w:sz w:val="18"/>
                <w:szCs w:val="18"/>
              </w:rPr>
              <w:t>出来的液氮</w:t>
            </w:r>
            <w:r>
              <w:rPr>
                <w:rFonts w:ascii="Times New Roman" w:hAnsi="Times New Roman" w:eastAsia="宋体" w:cs="Times New Roman"/>
                <w:sz w:val="18"/>
                <w:szCs w:val="18"/>
              </w:rPr>
              <w:t>，与人员接触，</w:t>
            </w:r>
            <w:r>
              <w:rPr>
                <w:rFonts w:hint="eastAsia" w:ascii="Times New Roman" w:hAnsi="Times New Roman" w:eastAsia="宋体" w:cs="Times New Roman"/>
                <w:sz w:val="18"/>
                <w:szCs w:val="18"/>
              </w:rPr>
              <w:t>低温</w:t>
            </w:r>
            <w:r>
              <w:rPr>
                <w:rFonts w:ascii="Times New Roman" w:hAnsi="Times New Roman" w:eastAsia="宋体" w:cs="Times New Roman"/>
                <w:sz w:val="18"/>
                <w:szCs w:val="18"/>
              </w:rPr>
              <w:t>可能发生冻伤事故。</w:t>
            </w:r>
          </w:p>
        </w:tc>
        <w:tc>
          <w:tcPr>
            <w:tcW w:w="665" w:type="pct"/>
            <w:tcBorders>
              <w:top w:val="single" w:color="auto" w:sz="4" w:space="0"/>
              <w:left w:val="single" w:color="auto" w:sz="4" w:space="0"/>
              <w:right w:val="single" w:color="auto" w:sz="4" w:space="0"/>
            </w:tcBorders>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tc>
        <w:tc>
          <w:tcPr>
            <w:tcW w:w="862" w:type="pct"/>
            <w:tcBorders>
              <w:top w:val="single" w:color="auto" w:sz="4" w:space="0"/>
              <w:left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其它伤害（低温伤害）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0" w:hRule="atLeast"/>
          <w:jc w:val="center"/>
        </w:trPr>
        <w:tc>
          <w:tcPr>
            <w:tcW w:w="329" w:type="pct"/>
            <w:tcBorders>
              <w:left w:val="single" w:color="auto" w:sz="4" w:space="0"/>
              <w:right w:val="single" w:color="auto" w:sz="4" w:space="0"/>
            </w:tcBorders>
            <w:vAlign w:val="center"/>
          </w:tcPr>
          <w:p>
            <w:pPr>
              <w:numPr>
                <w:ilvl w:val="0"/>
                <w:numId w:val="21"/>
              </w:numPr>
              <w:jc w:val="center"/>
              <w:rPr>
                <w:rFonts w:ascii="Times New Roman" w:hAnsi="Times New Roman" w:eastAsia="宋体" w:cs="Times New Roman"/>
                <w:sz w:val="18"/>
                <w:szCs w:val="18"/>
              </w:rPr>
            </w:pPr>
          </w:p>
        </w:tc>
        <w:tc>
          <w:tcPr>
            <w:tcW w:w="698" w:type="pc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bCs/>
                <w:kern w:val="0"/>
                <w:sz w:val="18"/>
                <w:szCs w:val="18"/>
              </w:rPr>
              <w:t>压缩机</w:t>
            </w:r>
          </w:p>
        </w:tc>
        <w:tc>
          <w:tcPr>
            <w:tcW w:w="783" w:type="pc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bCs/>
                <w:kern w:val="0"/>
                <w:sz w:val="18"/>
                <w:szCs w:val="18"/>
              </w:rPr>
              <w:t>压缩机</w:t>
            </w:r>
          </w:p>
        </w:tc>
        <w:tc>
          <w:tcPr>
            <w:tcW w:w="1663" w:type="pct"/>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bCs/>
                <w:kern w:val="0"/>
                <w:sz w:val="18"/>
                <w:szCs w:val="18"/>
              </w:rPr>
              <w:t>1</w:t>
            </w:r>
            <w:r>
              <w:rPr>
                <w:rFonts w:ascii="Times New Roman" w:hAnsi="Times New Roman" w:eastAsia="宋体" w:cs="Times New Roman"/>
                <w:bCs/>
                <w:kern w:val="0"/>
                <w:sz w:val="18"/>
                <w:szCs w:val="18"/>
              </w:rPr>
              <w:t>.缸体连接处、吸排气阀门、轴封处、设备和管道的法兰、焊口和密封等缺陷部位发生泄漏；设备局部腐蚀穿孔、疲劳断裂引发泄漏；压缩机房通风不良，油气积聚</w:t>
            </w:r>
            <w:r>
              <w:rPr>
                <w:rFonts w:hint="eastAsia" w:ascii="Times New Roman" w:hAnsi="Times New Roman" w:eastAsia="宋体" w:cs="Times New Roman"/>
                <w:bCs/>
                <w:kern w:val="0"/>
                <w:sz w:val="18"/>
                <w:szCs w:val="18"/>
              </w:rPr>
              <w:t>等可能</w:t>
            </w:r>
            <w:r>
              <w:rPr>
                <w:rFonts w:ascii="Times New Roman" w:hAnsi="Times New Roman" w:eastAsia="宋体" w:cs="Times New Roman"/>
                <w:bCs/>
                <w:kern w:val="0"/>
                <w:sz w:val="18"/>
                <w:szCs w:val="18"/>
              </w:rPr>
              <w:t>造成易燃易爆液体或气体泄漏，</w:t>
            </w:r>
            <w:r>
              <w:rPr>
                <w:rFonts w:hint="eastAsia" w:ascii="Times New Roman" w:hAnsi="Times New Roman" w:eastAsia="宋体" w:cs="Times New Roman"/>
                <w:bCs/>
                <w:kern w:val="0"/>
                <w:sz w:val="18"/>
                <w:szCs w:val="18"/>
              </w:rPr>
              <w:t>引起窒息中毒；如果泄漏中</w:t>
            </w:r>
            <w:r>
              <w:rPr>
                <w:rFonts w:ascii="Times New Roman" w:hAnsi="Times New Roman" w:eastAsia="宋体" w:cs="Times New Roman"/>
                <w:bCs/>
                <w:kern w:val="0"/>
                <w:sz w:val="18"/>
                <w:szCs w:val="18"/>
              </w:rPr>
              <w:t>遇到静电火花、电气火花、明火等，可能引发火灾或爆炸。</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bCs/>
                <w:kern w:val="0"/>
                <w:sz w:val="18"/>
                <w:szCs w:val="18"/>
              </w:rPr>
              <w:t>2</w:t>
            </w:r>
            <w:r>
              <w:rPr>
                <w:rFonts w:ascii="Times New Roman" w:hAnsi="Times New Roman" w:eastAsia="宋体" w:cs="Times New Roman"/>
                <w:bCs/>
                <w:kern w:val="0"/>
                <w:sz w:val="18"/>
                <w:szCs w:val="18"/>
              </w:rPr>
              <w:t>.高温可能引起某些介质聚合、分解、自然引起火灾。</w:t>
            </w:r>
            <w:r>
              <w:rPr>
                <w:rFonts w:hint="eastAsia" w:ascii="Times New Roman" w:hAnsi="Times New Roman" w:eastAsia="宋体" w:cs="Times New Roman"/>
                <w:bCs/>
                <w:kern w:val="0"/>
                <w:sz w:val="18"/>
                <w:szCs w:val="18"/>
              </w:rPr>
              <w:t>运</w:t>
            </w:r>
            <w:r>
              <w:rPr>
                <w:rFonts w:ascii="Times New Roman" w:hAnsi="Times New Roman" w:eastAsia="宋体" w:cs="Times New Roman"/>
                <w:bCs/>
                <w:kern w:val="0"/>
                <w:sz w:val="18"/>
                <w:szCs w:val="18"/>
              </w:rPr>
              <w:t>转部件装配吻合不良或润滑油不足，磨损产生高温，可能引发润滑油分解、气化，导致曲轴箱内发生火灾爆炸。</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bCs/>
                <w:kern w:val="0"/>
                <w:sz w:val="18"/>
                <w:szCs w:val="18"/>
              </w:rPr>
              <w:t>3</w:t>
            </w:r>
            <w:r>
              <w:rPr>
                <w:rFonts w:ascii="Times New Roman" w:hAnsi="Times New Roman" w:eastAsia="宋体" w:cs="Times New Roman"/>
                <w:bCs/>
                <w:kern w:val="0"/>
                <w:sz w:val="18"/>
                <w:szCs w:val="18"/>
              </w:rPr>
              <w:t>.压缩机联轴器裸露，可能造成机械伤害。</w:t>
            </w:r>
          </w:p>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bCs/>
                <w:kern w:val="0"/>
                <w:sz w:val="18"/>
                <w:szCs w:val="18"/>
              </w:rPr>
              <w:t>压缩机运转过程中会产生噪声，不仅干扰了机房相关操作人员的正常作业，而且会对操作工的听力造成一定程度的损坏。</w:t>
            </w:r>
          </w:p>
        </w:tc>
        <w:tc>
          <w:tcPr>
            <w:tcW w:w="665" w:type="pct"/>
            <w:tcBorders>
              <w:top w:val="single" w:color="auto" w:sz="4" w:space="0"/>
              <w:left w:val="single" w:color="auto" w:sz="4" w:space="0"/>
              <w:right w:val="single" w:color="auto" w:sz="4" w:space="0"/>
            </w:tcBorders>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862" w:type="pct"/>
            <w:tcBorders>
              <w:top w:val="single" w:color="auto" w:sz="4" w:space="0"/>
              <w:left w:val="single" w:color="auto" w:sz="4" w:space="0"/>
              <w:right w:val="single" w:color="auto" w:sz="4" w:space="0"/>
            </w:tcBorders>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机械伤害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气瓶储存场所</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气瓶储存场所</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钢瓶内可燃气体泄漏，遇火源发生火灾爆炸事故。</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钢瓶内有毒有害气体泄漏，人员吸入导致中毒窒息事故。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Merge w:val="restar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固定式压力容器</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固定式压力容器的承压部件</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压力容器内部因压力、温度过高，可能导致容器爆炸事故。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Merge w:val="continue"/>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固定式压力容器</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.压力容器内部易燃易爆物品发生泄漏，遇火源可能导致火灾、爆炸事故。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.压力容器内毒性介质发生泄漏或装卸过程中，人员接触可能导致中毒窒息事故。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场内机动车辆</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场内机动车辆</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运输场内机动车辆与行人发生碰撞，导致车辆伤害事故。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液氧槽车</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液氧槽车</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液氧槽车氧气发生泄漏，与可燃物及火源接触，可能发生火灾爆炸事故。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锅炉房</w:t>
            </w:r>
          </w:p>
        </w:tc>
        <w:tc>
          <w:tcPr>
            <w:tcW w:w="78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锅炉房的燃气调压间、油泵间及燃气锅炉间</w:t>
            </w:r>
          </w:p>
        </w:tc>
        <w:tc>
          <w:tcPr>
            <w:tcW w:w="1663" w:type="pct"/>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.锅炉房内可燃物、燃料等物质，遇火源可能导致火灾、爆炸事故。</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.锅炉房内可燃物、燃料等物质，发生泄漏，人员大量吸入可导致中毒窒息等事故。</w:t>
            </w:r>
          </w:p>
        </w:tc>
        <w:tc>
          <w:tcPr>
            <w:tcW w:w="665" w:type="pct"/>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sz w:val="18"/>
                <w:szCs w:val="18"/>
              </w:rPr>
              <w:t>环境影响</w:t>
            </w:r>
          </w:p>
        </w:tc>
        <w:tc>
          <w:tcPr>
            <w:tcW w:w="862"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adjustRightInd w:val="0"/>
              <w:snapToGrid w:val="0"/>
              <w:rPr>
                <w:rFonts w:ascii="Times New Roman" w:hAnsi="Times New Roman" w:eastAsia="宋体" w:cs="Times New Roman"/>
                <w:sz w:val="18"/>
                <w:szCs w:val="18"/>
              </w:rPr>
            </w:pPr>
          </w:p>
        </w:tc>
        <w:tc>
          <w:tcPr>
            <w:tcW w:w="78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蒸汽锅炉、热水锅炉及其管道的高温表面和高温热水和蒸汽</w:t>
            </w:r>
          </w:p>
        </w:tc>
        <w:tc>
          <w:tcPr>
            <w:tcW w:w="166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锅炉及其管道的高温表面和高温介质，可能导致灼烫事故。</w:t>
            </w:r>
          </w:p>
        </w:tc>
        <w:tc>
          <w:tcPr>
            <w:tcW w:w="665"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rPr>
                <w:rFonts w:ascii="Times New Roman" w:hAnsi="Times New Roman" w:eastAsia="宋体" w:cs="Times New Roman"/>
                <w:sz w:val="18"/>
                <w:szCs w:val="18"/>
              </w:rPr>
            </w:pPr>
          </w:p>
        </w:tc>
        <w:tc>
          <w:tcPr>
            <w:tcW w:w="78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w:t>
            </w:r>
          </w:p>
        </w:tc>
        <w:tc>
          <w:tcPr>
            <w:tcW w:w="1663" w:type="pct"/>
            <w:vAlign w:val="center"/>
          </w:tcPr>
          <w:p>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665"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工业管道及管道附近区域</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工业管道</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.工业管道内易燃易爆化学品，遇火源可能导致火灾、爆炸事故。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.工业管道内有毒有害化学品，人员大量吸入，可能导致中毒窒息事故。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20" w:hRule="atLeast"/>
          <w:jc w:val="center"/>
        </w:trPr>
        <w:tc>
          <w:tcPr>
            <w:tcW w:w="329" w:type="pct"/>
            <w:tcBorders>
              <w:bottom w:val="single" w:color="auto" w:sz="4" w:space="0"/>
            </w:tcBorders>
            <w:vAlign w:val="center"/>
          </w:tcPr>
          <w:p>
            <w:pPr>
              <w:numPr>
                <w:ilvl w:val="0"/>
                <w:numId w:val="21"/>
              </w:numPr>
              <w:jc w:val="center"/>
              <w:rPr>
                <w:rFonts w:ascii="Times New Roman" w:hAnsi="Times New Roman" w:eastAsia="宋体" w:cs="Times New Roman"/>
                <w:sz w:val="18"/>
                <w:szCs w:val="18"/>
              </w:rPr>
            </w:pPr>
          </w:p>
        </w:tc>
        <w:tc>
          <w:tcPr>
            <w:tcW w:w="698" w:type="pct"/>
            <w:tcBorders>
              <w:bottom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变配电室</w:t>
            </w:r>
          </w:p>
        </w:tc>
        <w:tc>
          <w:tcPr>
            <w:tcW w:w="783" w:type="pct"/>
            <w:tcBorders>
              <w:bottom w:val="single" w:color="auto" w:sz="4" w:space="0"/>
            </w:tcBorders>
            <w:vAlign w:val="center"/>
          </w:tcPr>
          <w:p>
            <w:pPr>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变配电室</w:t>
            </w:r>
          </w:p>
        </w:tc>
        <w:tc>
          <w:tcPr>
            <w:tcW w:w="1663" w:type="pct"/>
            <w:tcBorders>
              <w:bottom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电压互感器、电流互感器、变压器、空气开关、电缆等一次设备，因长期过负荷或设备自身的短路故障，以及连接端接触不良时，会使上述电器设备绝缘老化，自身发热，可能导致电器火灾事故。严重的还会使电压器、避雷器、电容器发生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.高低压配电室门口挡鼠板缺失或配电室的进线沟洞等不密封，配电室房屋结构不能阻挡小动物（鼠、猫、鸟、蛇等）进入措施而发生小动物触电造成短路，引发电气火灾。</w:t>
            </w:r>
          </w:p>
        </w:tc>
        <w:tc>
          <w:tcPr>
            <w:tcW w:w="665" w:type="pct"/>
            <w:tcBorders>
              <w:bottom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tcBorders>
              <w:bottom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配电箱（柜）及附近区域</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1.电气元、配件质量不好，绝缘性能不合格，接线不规范，接线端子接线松驰，线型选择过细，引起电气元件或端子接头发热打火引燃可燃物质发生火灾。</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2.箱（柜）内可能存在带电部位裸露在外，人员接触，可能导致触电事故。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供配电系统</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供配电检修作业</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高低压供配电系统检修时，检修人员可能发生触电事故。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电器设备</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电器设备、电子广告牌等用电器具</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1.电器设备使用、检修作业时，作业人员接触电流，导致触电事故。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2.电器设备使用中发生过载、短路、导致温度过高，引发火灾事故。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厨房</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厨房电器设备</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.使用电器设备时，可能发生触电事故。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部分高温设备使用中，可能发生灼烫。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w:t>
            </w:r>
            <w:r>
              <w:rPr>
                <w:rFonts w:hint="eastAsia" w:ascii="Times New Roman" w:hAnsi="Times New Roman" w:eastAsia="宋体" w:cs="Times New Roman"/>
                <w:sz w:val="18"/>
                <w:szCs w:val="18"/>
              </w:rPr>
              <w:t>部分设备在使用过程中，可能造成机械伤害或者刀具伤手等伤害。</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w:t>
            </w:r>
            <w:r>
              <w:rPr>
                <w:rFonts w:hint="eastAsia" w:ascii="Times New Roman" w:hAnsi="Times New Roman" w:eastAsia="宋体" w:cs="Times New Roman"/>
                <w:sz w:val="18"/>
                <w:szCs w:val="18"/>
              </w:rPr>
              <w:t>抽油烟机运转中会产生噪声，外加厨房内多为高温环境，可能会对人员造成一定程度的人身伤害。</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机械伤害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厨房燃气设备</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使用燃气发生泄漏，遇火源可能导致火灾爆炸事故。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员工宿舍</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电气设备及线路</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违规使用电热毯、电暖气等大功率用电设备，过载可能引发火灾或触电。</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私拉电气线路由于漏电、短路、过负荷等原因，产生电火花、高温、电弧等可能引发周边易燃可燃物发生火灾。私拉电气线路由于绝缘失效或损坏，对接触人员造成触电。</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厂区临时用电作业</w:t>
            </w:r>
          </w:p>
        </w:tc>
        <w:tc>
          <w:tcPr>
            <w:tcW w:w="78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临时用电设备及电缆</w:t>
            </w:r>
          </w:p>
        </w:tc>
        <w:tc>
          <w:tcPr>
            <w:tcW w:w="166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临时用电存在带电部位裸露，可能导致触电事故。</w:t>
            </w:r>
          </w:p>
        </w:tc>
        <w:tc>
          <w:tcPr>
            <w:tcW w:w="665" w:type="pct"/>
            <w:vAlign w:val="center"/>
          </w:tcPr>
          <w:p>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tc>
        <w:tc>
          <w:tcPr>
            <w:tcW w:w="862" w:type="pc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rPr>
                <w:rFonts w:ascii="Times New Roman" w:hAnsi="Times New Roman" w:eastAsia="宋体" w:cs="Times New Roman"/>
                <w:sz w:val="18"/>
                <w:szCs w:val="18"/>
              </w:rPr>
            </w:pPr>
          </w:p>
        </w:tc>
        <w:tc>
          <w:tcPr>
            <w:tcW w:w="78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厂区临时用电作业</w:t>
            </w:r>
          </w:p>
        </w:tc>
        <w:tc>
          <w:tcPr>
            <w:tcW w:w="166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临时用电线路产生的火花引燃周边的可燃物，导致火灾爆炸事故。</w:t>
            </w:r>
          </w:p>
        </w:tc>
        <w:tc>
          <w:tcPr>
            <w:tcW w:w="665" w:type="pct"/>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环境影响</w:t>
            </w:r>
          </w:p>
        </w:tc>
        <w:tc>
          <w:tcPr>
            <w:tcW w:w="862" w:type="pc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气瓶运输及装卸作业</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.气瓶装卸、运输过程中发生泄漏，可燃气体、液体遇火源发生火灾爆炸事故。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.气瓶装卸、运输过程中发生泄漏，人员大量吸入有毒有害气体，导致中毒窒息事故。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w:t>
            </w:r>
            <w:r>
              <w:rPr>
                <w:rFonts w:hint="eastAsia" w:ascii="Times New Roman" w:hAnsi="Times New Roman" w:eastAsia="宋体" w:cs="Times New Roman"/>
                <w:sz w:val="18"/>
                <w:szCs w:val="18"/>
              </w:rPr>
              <w:t>和</w:t>
            </w:r>
            <w:r>
              <w:rPr>
                <w:rFonts w:ascii="Times New Roman" w:hAnsi="Times New Roman" w:eastAsia="宋体" w:cs="Times New Roman"/>
                <w:sz w:val="18"/>
                <w:szCs w:val="18"/>
              </w:rPr>
              <w:t>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充装作业</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充装站台的低温液态气体</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充装人员接触低温液态气体，导致冻伤事故。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其它伤害（冻伤）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充装站台的腐蚀性气体</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操作人员与充装的腐蚀性气体接触，可能导致腐蚀性灼伤事故。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充装站台的可燃性气体</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操作人员的产生的静电可能导致火灾爆炸事故。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气瓶、移动式压力容器等充装容器</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充装过程中，容器内充装过量，导致发生气瓶爆炸事故。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检修作业</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各类充装站台</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.氮气、氩气及稀有气体等泄漏，人员大量吸入，导致窒息事故。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.操作人作业过程中可能产静电，引燃可燃气体，导致火灾爆炸事故。</w:t>
            </w:r>
          </w:p>
        </w:tc>
        <w:tc>
          <w:tcPr>
            <w:tcW w:w="665" w:type="pct"/>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动火作业</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动火作业部位、附近区域存在可燃物、氧气，遇火源可能导致火灾、爆炸等事故。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受限空间作业</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储罐、锅炉等容器，以及管沟、烟道、隧道、沟、井、池、涵洞、下水管道等进出受到限制和约束的封闭、半封闭设备、设施、场所</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1.人员进入受限空间作业时，可能氧气不足，导致中毒窒息事故。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 在作业场地狭小、作业人员精力不集中、防护措施不当或夜间照明不足时，也可能会发生碰、挤、擦、刮等其它伤害。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 受限空间作业部位存在可燃物、易燃易爆危险化学品，遇火源可能导致火灾、爆炸、中毒窒息等事故。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 进入高温受限空间作业，可能导致高温灼伤事故。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临时用电作业</w:t>
            </w:r>
          </w:p>
        </w:tc>
        <w:tc>
          <w:tcPr>
            <w:tcW w:w="78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临时用电设备及电缆</w:t>
            </w:r>
          </w:p>
        </w:tc>
        <w:tc>
          <w:tcPr>
            <w:tcW w:w="166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临时用电存在带电部位裸露，可能导致触电事故。</w:t>
            </w:r>
          </w:p>
        </w:tc>
        <w:tc>
          <w:tcPr>
            <w:tcW w:w="665" w:type="pct"/>
            <w:vAlign w:val="center"/>
          </w:tcPr>
          <w:p>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tc>
        <w:tc>
          <w:tcPr>
            <w:tcW w:w="862" w:type="pc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厂区临时用电作业</w:t>
            </w:r>
          </w:p>
        </w:tc>
        <w:tc>
          <w:tcPr>
            <w:tcW w:w="1663" w:type="pc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临时用电线路产生的火花引燃周边的可燃物，导致火灾爆炸事故。</w:t>
            </w:r>
          </w:p>
        </w:tc>
        <w:tc>
          <w:tcPr>
            <w:tcW w:w="665" w:type="pct"/>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环境影响</w:t>
            </w:r>
          </w:p>
        </w:tc>
        <w:tc>
          <w:tcPr>
            <w:tcW w:w="862" w:type="pc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动土作业部位及周边区域设施</w:t>
            </w:r>
            <w:r>
              <w:rPr>
                <w:rFonts w:hint="eastAsia" w:ascii="Times New Roman" w:hAnsi="Times New Roman" w:eastAsia="宋体" w:cs="Times New Roman"/>
                <w:sz w:val="18"/>
                <w:szCs w:val="18"/>
              </w:rPr>
              <w:t>、深基坑</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.动土作业部位及周边区域设施内的易燃易爆物质，遇火源可能导致火灾、爆炸事故。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.动土作业部位及周边区域设施内的有毒物质，泄漏后可能导致中毒事故。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.在动土作业时，发生支撑不牢靠，或地下和地面水渗入作业区，可能导致作业区坍塌事故。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.动土作业现场高差大于2m时，人员可能坠入坑内，导致高处坠落事故。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高处作业（梯子、扶手、平台等处）</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高处作业时的工具</w:t>
            </w:r>
            <w:r>
              <w:rPr>
                <w:rFonts w:hint="eastAsia" w:ascii="Times New Roman" w:hAnsi="Times New Roman" w:eastAsia="宋体" w:cs="Times New Roman"/>
                <w:sz w:val="18"/>
                <w:szCs w:val="18"/>
              </w:rPr>
              <w:t>、</w:t>
            </w:r>
            <w:r>
              <w:rPr>
                <w:rFonts w:ascii="Times New Roman" w:hAnsi="Times New Roman" w:eastAsia="宋体" w:cs="Times New Roman"/>
                <w:sz w:val="18"/>
                <w:szCs w:val="18"/>
              </w:rPr>
              <w:t>物体</w:t>
            </w:r>
            <w:r>
              <w:rPr>
                <w:rFonts w:hint="eastAsia" w:ascii="Times New Roman" w:hAnsi="Times New Roman" w:eastAsia="宋体" w:cs="Times New Roman"/>
                <w:sz w:val="18"/>
                <w:szCs w:val="18"/>
              </w:rPr>
              <w:t>及</w:t>
            </w:r>
            <w:r>
              <w:rPr>
                <w:rFonts w:ascii="Times New Roman" w:hAnsi="Times New Roman" w:eastAsia="宋体" w:cs="Times New Roman"/>
                <w:sz w:val="18"/>
                <w:szCs w:val="18"/>
              </w:rPr>
              <w:t>脚手架</w:t>
            </w:r>
          </w:p>
        </w:tc>
        <w:tc>
          <w:tcPr>
            <w:tcW w:w="1663"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.高处作业时，使用的工具、零件等物品发生坠落，可能会对下部人员或设备造成物体打击。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.在高于2 m的作业平台、脚手架进行操作、检修等高处作业时，可能导致</w:t>
            </w:r>
            <w:r>
              <w:rPr>
                <w:rFonts w:hint="eastAsia" w:ascii="Times New Roman" w:hAnsi="Times New Roman" w:eastAsia="宋体" w:cs="Times New Roman"/>
                <w:sz w:val="18"/>
                <w:szCs w:val="18"/>
              </w:rPr>
              <w:t>高处</w:t>
            </w:r>
            <w:r>
              <w:rPr>
                <w:rFonts w:ascii="Times New Roman" w:hAnsi="Times New Roman" w:eastAsia="宋体" w:cs="Times New Roman"/>
                <w:sz w:val="18"/>
                <w:szCs w:val="18"/>
              </w:rPr>
              <w:t>坠落事故。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.在高处作业时，使用的脚手架、跳板存在问题，可能导致坍塌事故。</w:t>
            </w:r>
          </w:p>
        </w:tc>
        <w:tc>
          <w:tcPr>
            <w:tcW w:w="665" w:type="pct"/>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restart"/>
            <w:vAlign w:val="center"/>
          </w:tcPr>
          <w:p>
            <w:pPr>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气瓶起吊作业及周边区域</w:t>
            </w: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起重机械自身及其移动和旋转部位在起吊过程中，发生整体失稳倾翻、吊具、钢丝绳损坏、移动部位碰撞他人，可能导致起重伤害事故。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adjustRightInd w:val="0"/>
              <w:snapToGrid w:val="0"/>
              <w:spacing w:line="240" w:lineRule="atLeast"/>
              <w:ind w:firstLine="360"/>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起重机械带电部位</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起重机械吊装过程触碰高处物体，或吊起物品坠落碰撞危险物品，可能导致危险物品泄漏，造成火灾爆炸事故。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adjustRightInd w:val="0"/>
              <w:snapToGrid w:val="0"/>
              <w:spacing w:line="240" w:lineRule="atLeast"/>
              <w:ind w:firstLine="360"/>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吊装的物品</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起重机械吊装的</w:t>
            </w:r>
            <w:bookmarkStart w:id="12" w:name="OLE_LINK131"/>
            <w:bookmarkStart w:id="13" w:name="OLE_LINK132"/>
            <w:r>
              <w:rPr>
                <w:rFonts w:ascii="Times New Roman" w:hAnsi="Times New Roman" w:eastAsia="宋体" w:cs="Times New Roman"/>
                <w:sz w:val="18"/>
                <w:szCs w:val="18"/>
              </w:rPr>
              <w:t>低温绝热气瓶未按要</w:t>
            </w:r>
            <w:bookmarkEnd w:id="12"/>
            <w:bookmarkEnd w:id="13"/>
            <w:r>
              <w:rPr>
                <w:rFonts w:ascii="Times New Roman" w:hAnsi="Times New Roman" w:eastAsia="宋体" w:cs="Times New Roman"/>
                <w:sz w:val="18"/>
                <w:szCs w:val="18"/>
              </w:rPr>
              <w:t>求吊装孔进行吊装，导致气瓶坠落、挤压、撞击他人或司机，可能导致起重伤害事故。</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329" w:type="pct"/>
            <w:vAlign w:val="center"/>
          </w:tcPr>
          <w:p>
            <w:pPr>
              <w:numPr>
                <w:ilvl w:val="0"/>
                <w:numId w:val="21"/>
              </w:numPr>
              <w:jc w:val="center"/>
              <w:rPr>
                <w:rFonts w:ascii="Times New Roman" w:hAnsi="Times New Roman" w:eastAsia="宋体" w:cs="Times New Roman"/>
                <w:sz w:val="18"/>
                <w:szCs w:val="18"/>
              </w:rPr>
            </w:pPr>
          </w:p>
        </w:tc>
        <w:tc>
          <w:tcPr>
            <w:tcW w:w="698" w:type="pct"/>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78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带电设备、电线</w:t>
            </w:r>
          </w:p>
        </w:tc>
        <w:tc>
          <w:tcPr>
            <w:tcW w:w="1663" w:type="pc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起重机械操作人员与电器设备接触，或起重机械吊装时触碰电线，可能导致司机或他人触电。</w:t>
            </w:r>
          </w:p>
        </w:tc>
        <w:tc>
          <w:tcPr>
            <w:tcW w:w="665" w:type="pct"/>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862" w:type="pct"/>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bl>
    <w:p>
      <w:pPr>
        <w:ind w:firstLine="420" w:firstLineChars="200"/>
        <w:rPr>
          <w:rFonts w:ascii="Times New Roman" w:hAnsi="Times New Roman" w:eastAsia="宋体" w:cs="Times New Roman"/>
          <w:szCs w:val="24"/>
        </w:rPr>
      </w:pPr>
      <w:r>
        <w:rPr>
          <w:rFonts w:ascii="Times New Roman" w:hAnsi="Times New Roman" w:eastAsia="宋体" w:cs="Times New Roman"/>
          <w:szCs w:val="24"/>
        </w:rPr>
        <w:br w:type="page"/>
      </w:r>
    </w:p>
    <w:p>
      <w:pPr>
        <w:keepNext/>
        <w:keepLines/>
        <w:spacing w:line="480" w:lineRule="auto"/>
        <w:outlineLvl w:val="0"/>
        <w:rPr>
          <w:rFonts w:ascii="Times New Roman" w:hAnsi="Times New Roman" w:eastAsia="宋体" w:cs="Times New Roman"/>
          <w:b/>
          <w:bCs/>
          <w:kern w:val="44"/>
          <w:sz w:val="24"/>
          <w:szCs w:val="24"/>
        </w:rPr>
      </w:pPr>
      <w:r>
        <w:rPr>
          <w:rFonts w:hint="eastAsia" w:ascii="Times New Roman" w:hAnsi="Times New Roman" w:eastAsia="宋体" w:cs="Times New Roman"/>
          <w:b/>
          <w:bCs/>
          <w:kern w:val="44"/>
          <w:sz w:val="24"/>
          <w:szCs w:val="24"/>
        </w:rPr>
        <w:t>四、化工制造企业安全风险辨识建议清单</w:t>
      </w:r>
    </w:p>
    <w:tbl>
      <w:tblPr>
        <w:tblStyle w:val="4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850"/>
        <w:gridCol w:w="1276"/>
        <w:gridCol w:w="3685"/>
        <w:gridCol w:w="993"/>
        <w:gridCol w:w="11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tblHeader/>
          <w:jc w:val="center"/>
        </w:trPr>
        <w:tc>
          <w:tcPr>
            <w:tcW w:w="534" w:type="dxa"/>
            <w:vAlign w:val="center"/>
          </w:tcPr>
          <w:p>
            <w:pPr>
              <w:adjustRightInd w:val="0"/>
              <w:snapToGrid w:val="0"/>
              <w:spacing w:line="240" w:lineRule="atLeast"/>
              <w:jc w:val="center"/>
              <w:rPr>
                <w:rFonts w:ascii="Times New Roman" w:hAnsi="Times New Roman" w:eastAsia="宋体" w:cs="Times New Roman"/>
                <w:b/>
                <w:sz w:val="18"/>
                <w:szCs w:val="18"/>
              </w:rPr>
            </w:pPr>
            <w:r>
              <w:rPr>
                <w:rFonts w:ascii="Times New Roman" w:hAnsi="Times New Roman" w:eastAsia="宋体" w:cs="Times New Roman"/>
                <w:b/>
                <w:sz w:val="18"/>
                <w:szCs w:val="18"/>
              </w:rPr>
              <w:t>序号</w:t>
            </w:r>
          </w:p>
        </w:tc>
        <w:tc>
          <w:tcPr>
            <w:tcW w:w="850" w:type="dxa"/>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场所/位置</w:t>
            </w:r>
          </w:p>
        </w:tc>
        <w:tc>
          <w:tcPr>
            <w:tcW w:w="1276" w:type="dxa"/>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风险源</w:t>
            </w:r>
          </w:p>
        </w:tc>
        <w:tc>
          <w:tcPr>
            <w:tcW w:w="3685" w:type="dxa"/>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风险描述示意</w:t>
            </w:r>
          </w:p>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（仅供参考）</w:t>
            </w:r>
          </w:p>
        </w:tc>
        <w:tc>
          <w:tcPr>
            <w:tcW w:w="993" w:type="dxa"/>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可能造成的后果</w:t>
            </w:r>
          </w:p>
        </w:tc>
        <w:tc>
          <w:tcPr>
            <w:tcW w:w="1184" w:type="dxa"/>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炉类（汽化炉）</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汽化炉</w:t>
            </w:r>
          </w:p>
        </w:tc>
        <w:tc>
          <w:tcPr>
            <w:tcW w:w="3685" w:type="dxa"/>
            <w:vAlign w:val="center"/>
          </w:tcPr>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.汽化炉内压力过高，</w:t>
            </w:r>
            <w:r>
              <w:rPr>
                <w:rFonts w:ascii="Times New Roman" w:hAnsi="Times New Roman" w:eastAsia="宋体" w:cs="Times New Roman"/>
                <w:bCs/>
                <w:kern w:val="0"/>
                <w:sz w:val="18"/>
                <w:szCs w:val="18"/>
              </w:rPr>
              <w:t>超过容器承压极限，可能发生物理性容器爆炸。</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.汽化炉内温度过高，可能发生化学性爆炸。</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.汽化炉运转中温度高，可能导致灼烫事故。</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.汽化炉</w:t>
            </w:r>
            <w:r>
              <w:rPr>
                <w:rFonts w:hint="eastAsia" w:ascii="Times New Roman" w:hAnsi="Times New Roman" w:eastAsia="宋体" w:cs="Times New Roman"/>
                <w:sz w:val="18"/>
                <w:szCs w:val="18"/>
              </w:rPr>
              <w:t>运转中温度高，作业人员长期在高温环境下作业时，身体产生一定不良影响。</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容器爆炸</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灼烫</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其他伤害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塔类（蒸馏塔）</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蒸馏塔</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1、蒸馏设备的出口管道凝结、堵塞，会造成设备内压力升高；</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2、蒸馏操作过程控制不当，可能出现泛液、冲料、过热分解、自燃、淹塔等危险；</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3、设备破裂或操作失误使物料泄漏或吸入空气，或由于冷凝、冷却不足，使大量蒸气经贮槽等部位逸出，形成爆炸性气体混合物。</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上述原因可能引发火灾爆炸。</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反应器类（反应釜）</w:t>
            </w:r>
          </w:p>
        </w:tc>
        <w:tc>
          <w:tcPr>
            <w:tcW w:w="1276"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反应釜</w:t>
            </w:r>
            <w:r>
              <w:rPr>
                <w:rFonts w:ascii="Times New Roman" w:hAnsi="Times New Roman" w:eastAsia="宋体" w:cs="Times New Roman"/>
                <w:sz w:val="18"/>
                <w:szCs w:val="18"/>
              </w:rPr>
              <w:t>（器）</w:t>
            </w:r>
          </w:p>
        </w:tc>
        <w:tc>
          <w:tcPr>
            <w:tcW w:w="3685" w:type="dxa"/>
            <w:vAlign w:val="center"/>
          </w:tcPr>
          <w:p>
            <w:pPr>
              <w:widowControl/>
              <w:adjustRightInd w:val="0"/>
              <w:snapToGrid w:val="0"/>
              <w:jc w:val="lef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ascii="Times New Roman" w:hAnsi="Times New Roman" w:eastAsia="宋体" w:cs="Times New Roman"/>
                <w:bCs/>
                <w:kern w:val="0"/>
                <w:sz w:val="18"/>
                <w:szCs w:val="18"/>
              </w:rPr>
              <w:t>.反应失控或突遇停电、停水，造成反应热蓄积，反应釜内温度急剧升高、压力增大，超过其耐压能力，导致容器破裂，物料喷出，可能引起火灾爆炸事故。</w:t>
            </w:r>
          </w:p>
          <w:p>
            <w:pPr>
              <w:widowControl/>
              <w:adjustRightInd w:val="0"/>
              <w:snapToGrid w:val="0"/>
              <w:jc w:val="lef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w:t>
            </w:r>
            <w:r>
              <w:rPr>
                <w:rFonts w:ascii="Times New Roman" w:hAnsi="Times New Roman" w:eastAsia="宋体" w:cs="Times New Roman"/>
                <w:bCs/>
                <w:kern w:val="0"/>
                <w:sz w:val="18"/>
                <w:szCs w:val="18"/>
              </w:rPr>
              <w:t>.反应釜设计不合理，容器壳体受到腐蚀介质的侵蚀，安全附件缺失或失效等，在使用过程中可能发生爆炸。</w:t>
            </w:r>
          </w:p>
          <w:p>
            <w:pPr>
              <w:widowControl/>
              <w:adjustRightInd w:val="0"/>
              <w:snapToGrid w:val="0"/>
              <w:jc w:val="lef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3</w:t>
            </w:r>
            <w:r>
              <w:rPr>
                <w:rFonts w:ascii="Times New Roman" w:hAnsi="Times New Roman" w:eastAsia="宋体" w:cs="Times New Roman"/>
                <w:bCs/>
                <w:kern w:val="0"/>
                <w:sz w:val="18"/>
                <w:szCs w:val="18"/>
              </w:rPr>
              <w:t>.管道等处易燃易爆物料泄漏，遇到静电火花、电气火花、明火等，可能引发火灾</w:t>
            </w:r>
            <w:r>
              <w:rPr>
                <w:rFonts w:hint="eastAsia" w:ascii="Times New Roman" w:hAnsi="Times New Roman" w:eastAsia="宋体" w:cs="Times New Roman"/>
                <w:bCs/>
                <w:kern w:val="0"/>
                <w:sz w:val="18"/>
                <w:szCs w:val="18"/>
              </w:rPr>
              <w:t>、</w:t>
            </w:r>
            <w:r>
              <w:rPr>
                <w:rFonts w:ascii="Times New Roman" w:hAnsi="Times New Roman" w:eastAsia="宋体" w:cs="Times New Roman"/>
                <w:bCs/>
                <w:kern w:val="0"/>
                <w:sz w:val="18"/>
                <w:szCs w:val="18"/>
              </w:rPr>
              <w:t>爆炸</w:t>
            </w:r>
            <w:r>
              <w:rPr>
                <w:rFonts w:hint="eastAsia" w:ascii="Times New Roman" w:hAnsi="Times New Roman" w:eastAsia="宋体" w:cs="Times New Roman"/>
                <w:bCs/>
                <w:kern w:val="0"/>
                <w:sz w:val="18"/>
                <w:szCs w:val="18"/>
              </w:rPr>
              <w:t>或中毒窒息事故</w:t>
            </w:r>
            <w:r>
              <w:rPr>
                <w:rFonts w:ascii="Times New Roman" w:hAnsi="Times New Roman" w:eastAsia="宋体" w:cs="Times New Roman"/>
                <w:bCs/>
                <w:kern w:val="0"/>
                <w:sz w:val="18"/>
                <w:szCs w:val="18"/>
              </w:rPr>
              <w:t>。</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与反应釜相连的常压或低压设备</w:t>
            </w:r>
          </w:p>
        </w:tc>
        <w:tc>
          <w:tcPr>
            <w:tcW w:w="3685" w:type="dxa"/>
            <w:vAlign w:val="center"/>
          </w:tcPr>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与反应容器相连的常压或低压设备，由于高压物料窜入，超过反应容器承压极限，可能发生物理性容器爆炸。</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储罐及容器类</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储罐、缓冲罐等</w:t>
            </w:r>
          </w:p>
        </w:tc>
        <w:tc>
          <w:tcPr>
            <w:tcW w:w="3685" w:type="dxa"/>
            <w:vAlign w:val="center"/>
          </w:tcPr>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.易燃易爆危险化学品罐发生泄漏</w:t>
            </w:r>
            <w:r>
              <w:rPr>
                <w:rFonts w:ascii="Times New Roman" w:hAnsi="Times New Roman" w:eastAsia="宋体" w:cs="Times New Roman"/>
                <w:bCs/>
                <w:kern w:val="0"/>
                <w:sz w:val="18"/>
                <w:szCs w:val="18"/>
              </w:rPr>
              <w:t>，遇到静电火花、电气火花、明火等，可能引发火灾或爆炸。</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.储罐内物料充装过量，罐内压力过高，储罐的安全附件失效，造成显示和安全泄放装置失灵</w:t>
            </w:r>
            <w:r>
              <w:rPr>
                <w:rFonts w:hint="eastAsia" w:ascii="Times New Roman" w:hAnsi="Times New Roman" w:eastAsia="宋体" w:cs="Times New Roman"/>
                <w:sz w:val="18"/>
                <w:szCs w:val="18"/>
              </w:rPr>
              <w:t>等</w:t>
            </w:r>
            <w:r>
              <w:rPr>
                <w:rFonts w:ascii="Times New Roman" w:hAnsi="Times New Roman" w:eastAsia="宋体" w:cs="Times New Roman"/>
                <w:sz w:val="18"/>
                <w:szCs w:val="18"/>
              </w:rPr>
              <w:t>，可能导致容器爆炸事故。</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.有毒有害危险化学品罐发生泄漏，人员大量吸入可能导致中毒。</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容器爆炸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储罐人孔操作井</w:t>
            </w:r>
          </w:p>
        </w:tc>
        <w:tc>
          <w:tcPr>
            <w:tcW w:w="3685" w:type="dxa"/>
            <w:vAlign w:val="center"/>
          </w:tcPr>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.人孔井内，易燃易爆物质发生泄漏并积聚</w:t>
            </w:r>
            <w:r>
              <w:rPr>
                <w:rFonts w:ascii="Times New Roman" w:hAnsi="Times New Roman" w:eastAsia="宋体" w:cs="Times New Roman"/>
                <w:bCs/>
                <w:kern w:val="0"/>
                <w:sz w:val="18"/>
                <w:szCs w:val="18"/>
              </w:rPr>
              <w:t>，遇到静电火花、电气火花、明火等，可能引发火灾或爆炸。</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.人孔井内，有毒物质发生泄漏并积聚，人员大量吸入导致中毒事故。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储罐通气管</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排出挥发性气体遇静电、雷电等点火源发生火灾爆炸事故。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给排水设施</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给排水设施内积聚的易燃易爆气体</w:t>
            </w:r>
            <w:r>
              <w:rPr>
                <w:rFonts w:ascii="Times New Roman" w:hAnsi="Times New Roman" w:eastAsia="宋体" w:cs="Times New Roman"/>
                <w:bCs/>
                <w:kern w:val="0"/>
                <w:sz w:val="18"/>
                <w:szCs w:val="18"/>
              </w:rPr>
              <w:t>，遇到静电火花、电气火花、明火等，可能引发火灾或爆炸。</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换热设备类（换热器）</w:t>
            </w:r>
          </w:p>
        </w:tc>
        <w:tc>
          <w:tcPr>
            <w:tcW w:w="1276" w:type="dxa"/>
            <w:vAlign w:val="center"/>
          </w:tcPr>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换热器</w:t>
            </w:r>
          </w:p>
        </w:tc>
        <w:tc>
          <w:tcPr>
            <w:tcW w:w="3685" w:type="dxa"/>
            <w:vAlign w:val="center"/>
          </w:tcPr>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由于腐蚀，耐压强度下降产生泄漏；由于开停车频繁，温度变化过大设备急剧膨胀或收缩，使花板胀管泄漏；换热器本身制造缺陷，焊接接头泄漏；因操作温度升高，螺栓伸长，紧固部位松动，引起法兰泄漏；因管束组装部位松动、管子振动、开停车和紧急停车造成的热冲击，以及定期检修时操作不当产生的机械冲击而引起泄漏</w:t>
            </w:r>
            <w:r>
              <w:rPr>
                <w:rFonts w:hint="eastAsia" w:ascii="Times New Roman" w:hAnsi="Times New Roman" w:eastAsia="宋体" w:cs="Times New Roman"/>
                <w:bCs/>
                <w:kern w:val="0"/>
                <w:sz w:val="18"/>
                <w:szCs w:val="18"/>
              </w:rPr>
              <w:t>，泄漏出来的</w:t>
            </w:r>
            <w:r>
              <w:rPr>
                <w:rFonts w:ascii="Times New Roman" w:hAnsi="Times New Roman" w:eastAsia="宋体" w:cs="Times New Roman"/>
                <w:bCs/>
                <w:kern w:val="0"/>
                <w:sz w:val="18"/>
                <w:szCs w:val="18"/>
              </w:rPr>
              <w:t>有毒液体或气体泄漏可能引起窒息中毒</w:t>
            </w:r>
            <w:r>
              <w:rPr>
                <w:rFonts w:hint="eastAsia" w:ascii="Times New Roman" w:hAnsi="Times New Roman" w:eastAsia="宋体" w:cs="Times New Roman"/>
                <w:bCs/>
                <w:kern w:val="0"/>
                <w:sz w:val="18"/>
                <w:szCs w:val="18"/>
              </w:rPr>
              <w:t>；泄漏出来的</w:t>
            </w:r>
            <w:r>
              <w:rPr>
                <w:rFonts w:ascii="Times New Roman" w:hAnsi="Times New Roman" w:eastAsia="宋体" w:cs="Times New Roman"/>
                <w:bCs/>
                <w:kern w:val="0"/>
                <w:sz w:val="18"/>
                <w:szCs w:val="18"/>
              </w:rPr>
              <w:t>强腐蚀液体泄漏可能引起</w:t>
            </w:r>
            <w:r>
              <w:rPr>
                <w:rFonts w:hint="eastAsia" w:ascii="Times New Roman" w:hAnsi="Times New Roman" w:eastAsia="宋体" w:cs="Times New Roman"/>
                <w:bCs/>
                <w:kern w:val="0"/>
                <w:sz w:val="18"/>
                <w:szCs w:val="18"/>
              </w:rPr>
              <w:t>灼烫；泄漏出来的</w:t>
            </w:r>
            <w:r>
              <w:rPr>
                <w:rFonts w:ascii="Times New Roman" w:hAnsi="Times New Roman" w:eastAsia="宋体" w:cs="Times New Roman"/>
                <w:bCs/>
                <w:kern w:val="0"/>
                <w:sz w:val="18"/>
                <w:szCs w:val="18"/>
              </w:rPr>
              <w:t>易燃易爆液体或气体泄漏，遇到静电火花、电气火花、明火等，可能引发火灾或爆炸。</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转动设备类（压缩机）</w:t>
            </w:r>
          </w:p>
        </w:tc>
        <w:tc>
          <w:tcPr>
            <w:tcW w:w="1276" w:type="dxa"/>
            <w:vAlign w:val="center"/>
          </w:tcPr>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压缩机</w:t>
            </w:r>
          </w:p>
        </w:tc>
        <w:tc>
          <w:tcPr>
            <w:tcW w:w="3685" w:type="dxa"/>
            <w:vAlign w:val="center"/>
          </w:tcPr>
          <w:p>
            <w:pPr>
              <w:widowControl/>
              <w:adjustRightInd w:val="0"/>
              <w:snapToGrid w:val="0"/>
              <w:jc w:val="lef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ascii="Times New Roman" w:hAnsi="Times New Roman" w:eastAsia="宋体" w:cs="Times New Roman"/>
                <w:bCs/>
                <w:kern w:val="0"/>
                <w:sz w:val="18"/>
                <w:szCs w:val="18"/>
              </w:rPr>
              <w:t>.缸体连接处、吸排气阀门、轴封处、设备和管道的法兰、焊口和密封等缺陷部位发生泄漏；设备局部腐蚀穿孔、疲劳断裂引发泄漏；压缩机房通风不良，油气积聚</w:t>
            </w:r>
            <w:r>
              <w:rPr>
                <w:rFonts w:hint="eastAsia" w:ascii="Times New Roman" w:hAnsi="Times New Roman" w:eastAsia="宋体" w:cs="Times New Roman"/>
                <w:bCs/>
                <w:kern w:val="0"/>
                <w:sz w:val="18"/>
                <w:szCs w:val="18"/>
              </w:rPr>
              <w:t>等可能</w:t>
            </w:r>
            <w:r>
              <w:rPr>
                <w:rFonts w:ascii="Times New Roman" w:hAnsi="Times New Roman" w:eastAsia="宋体" w:cs="Times New Roman"/>
                <w:bCs/>
                <w:kern w:val="0"/>
                <w:sz w:val="18"/>
                <w:szCs w:val="18"/>
              </w:rPr>
              <w:t>造成易燃易爆液体或气体泄漏，</w:t>
            </w:r>
            <w:r>
              <w:rPr>
                <w:rFonts w:hint="eastAsia" w:ascii="Times New Roman" w:hAnsi="Times New Roman" w:eastAsia="宋体" w:cs="Times New Roman"/>
                <w:bCs/>
                <w:kern w:val="0"/>
                <w:sz w:val="18"/>
                <w:szCs w:val="18"/>
              </w:rPr>
              <w:t>引起窒息中毒；如果泄漏中</w:t>
            </w:r>
            <w:r>
              <w:rPr>
                <w:rFonts w:ascii="Times New Roman" w:hAnsi="Times New Roman" w:eastAsia="宋体" w:cs="Times New Roman"/>
                <w:bCs/>
                <w:kern w:val="0"/>
                <w:sz w:val="18"/>
                <w:szCs w:val="18"/>
              </w:rPr>
              <w:t>遇到静电火花、电气火花、明火等，可能引发火灾或爆炸。</w:t>
            </w:r>
          </w:p>
          <w:p>
            <w:pPr>
              <w:widowControl/>
              <w:adjustRightInd w:val="0"/>
              <w:snapToGrid w:val="0"/>
              <w:jc w:val="lef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w:t>
            </w:r>
            <w:r>
              <w:rPr>
                <w:rFonts w:ascii="Times New Roman" w:hAnsi="Times New Roman" w:eastAsia="宋体" w:cs="Times New Roman"/>
                <w:bCs/>
                <w:kern w:val="0"/>
                <w:sz w:val="18"/>
                <w:szCs w:val="18"/>
              </w:rPr>
              <w:t>.高温可能引起某些介质聚合、分解、自然引起火灾。</w:t>
            </w:r>
            <w:r>
              <w:rPr>
                <w:rFonts w:hint="eastAsia" w:ascii="Times New Roman" w:hAnsi="Times New Roman" w:eastAsia="宋体" w:cs="Times New Roman"/>
                <w:bCs/>
                <w:kern w:val="0"/>
                <w:sz w:val="18"/>
                <w:szCs w:val="18"/>
              </w:rPr>
              <w:t>运</w:t>
            </w:r>
            <w:r>
              <w:rPr>
                <w:rFonts w:ascii="Times New Roman" w:hAnsi="Times New Roman" w:eastAsia="宋体" w:cs="Times New Roman"/>
                <w:bCs/>
                <w:kern w:val="0"/>
                <w:sz w:val="18"/>
                <w:szCs w:val="18"/>
              </w:rPr>
              <w:t>转部件装配吻合不良或润滑油不足，磨损产生高温，可能引发润滑油分解、气化，导致曲轴箱内发生火灾爆炸。</w:t>
            </w:r>
          </w:p>
          <w:p>
            <w:pPr>
              <w:widowControl/>
              <w:adjustRightInd w:val="0"/>
              <w:snapToGrid w:val="0"/>
              <w:jc w:val="lef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3</w:t>
            </w:r>
            <w:r>
              <w:rPr>
                <w:rFonts w:ascii="Times New Roman" w:hAnsi="Times New Roman" w:eastAsia="宋体" w:cs="Times New Roman"/>
                <w:bCs/>
                <w:kern w:val="0"/>
                <w:sz w:val="18"/>
                <w:szCs w:val="18"/>
              </w:rPr>
              <w:t>.压缩机联轴器裸露，可能造成机械伤害。</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转动设备类（泵）</w:t>
            </w:r>
          </w:p>
        </w:tc>
        <w:tc>
          <w:tcPr>
            <w:tcW w:w="1276"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泵</w:t>
            </w:r>
          </w:p>
        </w:tc>
        <w:tc>
          <w:tcPr>
            <w:tcW w:w="3685" w:type="dxa"/>
            <w:vAlign w:val="center"/>
          </w:tcPr>
          <w:p>
            <w:pPr>
              <w:widowControl/>
              <w:adjustRightInd w:val="0"/>
              <w:snapToGrid w:val="0"/>
              <w:jc w:val="lef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泵机械密封、进出口阀门法兰、垫片和填料处发生泄漏，泵机组电机接地装置接地不良、电机漏电等可能产生静电火花、电气火花或遇到明火等，可能引发火灾或爆炸。</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bCs/>
                <w:kern w:val="0"/>
                <w:sz w:val="18"/>
                <w:szCs w:val="18"/>
              </w:rPr>
              <w:t>转动设备类</w:t>
            </w:r>
            <w:r>
              <w:rPr>
                <w:rFonts w:ascii="Times New Roman" w:hAnsi="Times New Roman" w:eastAsia="宋体" w:cs="Times New Roman"/>
                <w:sz w:val="18"/>
                <w:szCs w:val="18"/>
              </w:rPr>
              <w:t>（离心机）</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离心机</w:t>
            </w:r>
          </w:p>
        </w:tc>
        <w:tc>
          <w:tcPr>
            <w:tcW w:w="3685"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.物料中含有易燃易爆液体、气体，操作不当或设备故障等产生高热、火花、明火等，可能引起离心机内可燃物料火灾爆炸。</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.离心机腐蚀导致转鼓或外壳变薄变脆，可能发生转鼓、外壳破裂伤人事故。</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.离心机转鼓固定螺栓松动，高速运转是可能发生转鼓飞出伤人事故。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蒸煮设备</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蒸煮设备</w:t>
            </w:r>
          </w:p>
        </w:tc>
        <w:tc>
          <w:tcPr>
            <w:tcW w:w="3685"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蒸煮容器超压、超温、超负荷运行，可能造成爆炸。</w:t>
            </w:r>
          </w:p>
        </w:tc>
        <w:tc>
          <w:tcPr>
            <w:tcW w:w="993"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4"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sz w:val="18"/>
                <w:szCs w:val="18"/>
              </w:rPr>
              <w:t>干燥机</w:t>
            </w:r>
          </w:p>
        </w:tc>
        <w:tc>
          <w:tcPr>
            <w:tcW w:w="1276"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sz w:val="18"/>
                <w:szCs w:val="18"/>
              </w:rPr>
              <w:t>干燥机</w:t>
            </w:r>
          </w:p>
        </w:tc>
        <w:tc>
          <w:tcPr>
            <w:tcW w:w="3685"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.烘干过程中固体粉末和溶剂高浓度挥发，遇到电火花等可能造成火灾爆炸</w:t>
            </w:r>
            <w:r>
              <w:rPr>
                <w:rFonts w:hint="eastAsia" w:ascii="Times New Roman" w:hAnsi="Times New Roman" w:eastAsia="宋体" w:cs="Times New Roman"/>
                <w:sz w:val="18"/>
                <w:szCs w:val="18"/>
              </w:rPr>
              <w:t>，如果碰触到附近操作人员可能造成灼烫</w:t>
            </w:r>
            <w:r>
              <w:rPr>
                <w:rFonts w:ascii="Times New Roman" w:hAnsi="Times New Roman" w:eastAsia="宋体" w:cs="Times New Roman"/>
                <w:sz w:val="18"/>
                <w:szCs w:val="18"/>
              </w:rPr>
              <w:t>。</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w:t>
            </w:r>
            <w:r>
              <w:rPr>
                <w:rFonts w:ascii="Times New Roman" w:hAnsi="Times New Roman" w:eastAsia="宋体" w:cs="Times New Roman"/>
                <w:bCs/>
                <w:kern w:val="0"/>
                <w:sz w:val="18"/>
                <w:szCs w:val="18"/>
              </w:rPr>
              <w:t>.温度控制不当造成局部过热，引起物料分解，可能造成火灾爆炸。</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危险化学品仓库、专柜、储存室</w:t>
            </w:r>
          </w:p>
        </w:tc>
        <w:tc>
          <w:tcPr>
            <w:tcW w:w="1276" w:type="dxa"/>
            <w:vAlign w:val="center"/>
          </w:tcPr>
          <w:p>
            <w:pPr>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sz w:val="18"/>
                <w:szCs w:val="18"/>
              </w:rPr>
              <w:t>危险化学品仓库、专柜、储存室</w:t>
            </w:r>
          </w:p>
        </w:tc>
        <w:tc>
          <w:tcPr>
            <w:tcW w:w="3685" w:type="dxa"/>
            <w:vAlign w:val="center"/>
          </w:tcPr>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ascii="Times New Roman" w:hAnsi="Times New Roman" w:eastAsia="宋体" w:cs="Times New Roman"/>
                <w:bCs/>
                <w:kern w:val="0"/>
                <w:sz w:val="18"/>
                <w:szCs w:val="18"/>
              </w:rPr>
              <w:t>.储存温度过高、储存场所潮湿、禁忌物料混存、包装破损物料泄漏等可能引起火灾爆炸事故。</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w:t>
            </w:r>
            <w:r>
              <w:rPr>
                <w:rFonts w:ascii="Times New Roman" w:hAnsi="Times New Roman" w:eastAsia="宋体" w:cs="Times New Roman"/>
                <w:bCs/>
                <w:kern w:val="0"/>
                <w:sz w:val="18"/>
                <w:szCs w:val="18"/>
              </w:rPr>
              <w:t>.有毒液体或气体泄漏可能引起人员中毒。</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3</w:t>
            </w:r>
            <w:r>
              <w:rPr>
                <w:rFonts w:ascii="Times New Roman" w:hAnsi="Times New Roman" w:eastAsia="宋体" w:cs="Times New Roman"/>
                <w:bCs/>
                <w:kern w:val="0"/>
                <w:sz w:val="18"/>
                <w:szCs w:val="18"/>
              </w:rPr>
              <w:t>.腐蚀性物质泄漏，作业人员直接接触可能引起人员化学性灼伤事故。</w:t>
            </w:r>
          </w:p>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4.</w:t>
            </w:r>
            <w:r>
              <w:rPr>
                <w:rFonts w:hint="eastAsia" w:ascii="Times New Roman" w:hAnsi="Times New Roman" w:eastAsia="宋体" w:cs="Times New Roman"/>
                <w:bCs/>
                <w:kern w:val="0"/>
                <w:sz w:val="18"/>
                <w:szCs w:val="18"/>
              </w:rPr>
              <w:t>物体堆放过程中，或者堆垛不符合安全要求，可能引发坍塌，对工作人员造成物体打击。</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火灾</w:t>
            </w:r>
          </w:p>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其它爆炸</w:t>
            </w:r>
          </w:p>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中毒与窒息</w:t>
            </w:r>
          </w:p>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灼烫</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物体打击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化验室</w:t>
            </w:r>
          </w:p>
        </w:tc>
        <w:tc>
          <w:tcPr>
            <w:tcW w:w="1276" w:type="dxa"/>
            <w:vAlign w:val="center"/>
          </w:tcPr>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bCs/>
                <w:kern w:val="0"/>
                <w:sz w:val="18"/>
                <w:szCs w:val="18"/>
              </w:rPr>
              <w:t>危险化学品</w:t>
            </w:r>
          </w:p>
        </w:tc>
        <w:tc>
          <w:tcPr>
            <w:tcW w:w="3685" w:type="dxa"/>
            <w:vAlign w:val="center"/>
          </w:tcPr>
          <w:p>
            <w:pPr>
              <w:autoSpaceDE w:val="0"/>
              <w:autoSpaceDN w:val="0"/>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1.化验室使用的易燃易爆物质泄漏或包装破损，可能导致火灾爆炸事故。</w:t>
            </w:r>
          </w:p>
          <w:p>
            <w:pPr>
              <w:autoSpaceDE w:val="0"/>
              <w:autoSpaceDN w:val="0"/>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2.化验室使用的有毒物质泄漏或包装破损，可能导致中毒事故。</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3.化验室使用的腐蚀性物质泄漏或包装破损，作业人员直接接触可能引起人员化学性灼伤事故。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大功率电器设备</w:t>
            </w:r>
          </w:p>
        </w:tc>
        <w:tc>
          <w:tcPr>
            <w:tcW w:w="3685"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sz w:val="18"/>
                <w:szCs w:val="18"/>
              </w:rPr>
              <w:t>电炉、高温炉、烘箱、马弗炉等设备产生高温，可能引起灼烫事故；高温可能引燃周边可燃物，导致火灾。</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人员伤亡</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气瓶</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.化验室气瓶使用不当</w:t>
            </w:r>
            <w:r>
              <w:rPr>
                <w:rFonts w:hint="eastAsia" w:ascii="Times New Roman" w:hAnsi="Times New Roman" w:eastAsia="宋体" w:cs="Times New Roman"/>
                <w:sz w:val="18"/>
                <w:szCs w:val="18"/>
              </w:rPr>
              <w:t>，气瓶内易燃易爆介质泄漏，遇火源可能导致火灾、爆炸事故。</w:t>
            </w:r>
          </w:p>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sz w:val="18"/>
                <w:szCs w:val="18"/>
              </w:rPr>
              <w:t>2.化验室气瓶使用不当</w:t>
            </w:r>
            <w:r>
              <w:rPr>
                <w:rFonts w:hint="eastAsia" w:ascii="Times New Roman" w:hAnsi="Times New Roman" w:eastAsia="宋体" w:cs="Times New Roman"/>
                <w:sz w:val="18"/>
                <w:szCs w:val="18"/>
              </w:rPr>
              <w:t>，气瓶内有毒物质泄漏，可能导致中毒等事故。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其它爆炸</w:t>
            </w:r>
          </w:p>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压力容器</w:t>
            </w:r>
          </w:p>
        </w:tc>
        <w:tc>
          <w:tcPr>
            <w:tcW w:w="3685" w:type="dxa"/>
            <w:vAlign w:val="center"/>
          </w:tcPr>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化验室内使用的压力容器，在运转过程中，由于压力升高可能会造成容器爆炸，对周围人员和设备造成损坏。</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1184" w:type="dxa"/>
            <w:vAlign w:val="center"/>
          </w:tcPr>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罐车</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罐车</w:t>
            </w:r>
          </w:p>
        </w:tc>
        <w:tc>
          <w:tcPr>
            <w:tcW w:w="3685"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.罐体装卸超重，或不当使用导致罐体表面腐蚀及部件金属疲劳，罐体可能发生物理性爆炸。</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.安全阀、阀门、法兰、管道、罐体本体等部位发生泄漏，易燃易爆物质遇到静电火花、电气火花、明火等，可能引发火灾或爆炸。</w:t>
            </w:r>
          </w:p>
        </w:tc>
        <w:tc>
          <w:tcPr>
            <w:tcW w:w="993" w:type="dxa"/>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制冷系统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液氨储罐、压缩机、阀体、调节站</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管路系统（包括管道、阀门、连接法兰、泵的密封等设备及部位）、液氨储罐、制冷系统设备部件（蒸发器、压缩机、冷凝器）在使用中发生泄漏，氨气浓度过高造成中毒窒息事故；遇到静电火花、电气火花、明火等，可能引发火灾或爆炸。</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液氨储罐等压力容器存在质量低劣、超高压等情况下，可能会造成容器爆炸。</w:t>
            </w:r>
          </w:p>
        </w:tc>
        <w:tc>
          <w:tcPr>
            <w:tcW w:w="993"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restar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工业管道</w:t>
            </w:r>
          </w:p>
        </w:tc>
        <w:tc>
          <w:tcPr>
            <w:tcW w:w="1276" w:type="dxa"/>
            <w:vAlign w:val="center"/>
          </w:tcPr>
          <w:p>
            <w:pPr>
              <w:autoSpaceDE w:val="0"/>
              <w:autoSpaceDN w:val="0"/>
              <w:adjustRightInd w:val="0"/>
              <w:jc w:val="left"/>
              <w:rPr>
                <w:rFonts w:ascii="Times New Roman" w:hAnsi="Times New Roman" w:eastAsia="宋体" w:cs="Times New Roman"/>
                <w:sz w:val="18"/>
                <w:szCs w:val="18"/>
              </w:rPr>
            </w:pPr>
            <w:r>
              <w:rPr>
                <w:rFonts w:ascii="Times New Roman" w:hAnsi="Times New Roman" w:eastAsia="宋体" w:cs="Times New Roman"/>
                <w:sz w:val="18"/>
                <w:szCs w:val="18"/>
              </w:rPr>
              <w:t>液氨管线</w:t>
            </w:r>
          </w:p>
        </w:tc>
        <w:tc>
          <w:tcPr>
            <w:tcW w:w="3685" w:type="dxa"/>
            <w:vAlign w:val="center"/>
          </w:tcPr>
          <w:p>
            <w:pPr>
              <w:autoSpaceDE w:val="0"/>
              <w:autoSpaceDN w:val="0"/>
              <w:adjustRightInd w:val="0"/>
              <w:jc w:val="left"/>
              <w:rPr>
                <w:rFonts w:ascii="Times New Roman" w:hAnsi="Times New Roman" w:eastAsia="宋体" w:cs="Times New Roman"/>
                <w:sz w:val="18"/>
                <w:szCs w:val="18"/>
              </w:rPr>
            </w:pPr>
            <w:r>
              <w:rPr>
                <w:rFonts w:ascii="Times New Roman" w:hAnsi="Times New Roman" w:eastAsia="宋体" w:cs="Times New Roman"/>
                <w:sz w:val="18"/>
                <w:szCs w:val="18"/>
              </w:rPr>
              <w:t>液氨管线超压破裂造成液氨泄漏，可能引起中毒。</w:t>
            </w:r>
          </w:p>
        </w:tc>
        <w:tc>
          <w:tcPr>
            <w:tcW w:w="993"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tcBorders>
              <w:top w:val="single" w:color="auto" w:sz="4" w:space="0"/>
              <w:left w:val="single" w:color="auto" w:sz="4" w:space="0"/>
              <w:bottom w:val="single" w:color="auto" w:sz="4" w:space="0"/>
            </w:tcBorders>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tcBorders>
              <w:top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易燃气体、易燃液体等易燃、可燃物</w:t>
            </w:r>
            <w:r>
              <w:rPr>
                <w:rFonts w:hint="eastAsia" w:ascii="Times New Roman" w:hAnsi="Times New Roman" w:eastAsia="宋体" w:cs="Times New Roman"/>
                <w:sz w:val="18"/>
                <w:szCs w:val="18"/>
              </w:rPr>
              <w:t>管线</w:t>
            </w:r>
          </w:p>
        </w:tc>
        <w:tc>
          <w:tcPr>
            <w:tcW w:w="36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管道占压、安全距离不足、外力破坏、超压、腐蚀、制造缺陷等原因，造成易燃、可燃物泄漏，遇到静电火花、电气火花、明火等，可能引发火灾或爆炸。</w:t>
            </w: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tcBorders>
              <w:top w:val="single" w:color="auto" w:sz="4" w:space="0"/>
              <w:left w:val="single" w:color="auto" w:sz="4" w:space="0"/>
              <w:bottom w:val="single" w:color="auto" w:sz="4" w:space="0"/>
            </w:tcBorders>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tcBorders>
              <w:top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氧气等助燃气体</w:t>
            </w:r>
            <w:r>
              <w:rPr>
                <w:rFonts w:hint="eastAsia" w:ascii="Times New Roman" w:hAnsi="Times New Roman" w:eastAsia="宋体" w:cs="Times New Roman"/>
                <w:sz w:val="18"/>
                <w:szCs w:val="18"/>
              </w:rPr>
              <w:t>管线</w:t>
            </w:r>
          </w:p>
        </w:tc>
        <w:tc>
          <w:tcPr>
            <w:tcW w:w="36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1、氧气管道在出现跑冒滴漏等现象时，氧气浓度很高，与周围管道可燃气体混合，遇到明火可能造成火灾爆炸事故。</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2、氧气管道内气体压力差大，气体流速过快，遇有静电或金属残渣会发生燃烧爆炸。</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3、氧气管道使用前未进行脱脂、吹扫，所有的部件粘有油脂的可能发生火灾。</w:t>
            </w: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tcBorders>
              <w:top w:val="single" w:color="auto" w:sz="4" w:space="0"/>
              <w:left w:val="single" w:color="auto" w:sz="4" w:space="0"/>
              <w:bottom w:val="single" w:color="auto" w:sz="4" w:space="0"/>
            </w:tcBorders>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tcBorders>
              <w:top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毒害性危险化学品</w:t>
            </w:r>
            <w:r>
              <w:rPr>
                <w:rFonts w:hint="eastAsia" w:ascii="Times New Roman" w:hAnsi="Times New Roman" w:eastAsia="宋体" w:cs="Times New Roman"/>
                <w:sz w:val="18"/>
                <w:szCs w:val="18"/>
              </w:rPr>
              <w:t>管线</w:t>
            </w:r>
          </w:p>
        </w:tc>
        <w:tc>
          <w:tcPr>
            <w:tcW w:w="36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管道内毒害性危险化学品泄漏，人员大量吸入可能导致中毒等。</w:t>
            </w: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tcBorders>
              <w:top w:val="single" w:color="auto" w:sz="4" w:space="0"/>
              <w:left w:val="single" w:color="auto" w:sz="4" w:space="0"/>
              <w:bottom w:val="single" w:color="auto" w:sz="4" w:space="0"/>
            </w:tcBorders>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tcBorders>
              <w:top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高温物质</w:t>
            </w:r>
            <w:r>
              <w:rPr>
                <w:rFonts w:hint="eastAsia" w:ascii="Times New Roman" w:hAnsi="Times New Roman" w:eastAsia="宋体" w:cs="Times New Roman"/>
                <w:sz w:val="18"/>
                <w:szCs w:val="18"/>
              </w:rPr>
              <w:t>管线</w:t>
            </w:r>
          </w:p>
        </w:tc>
        <w:tc>
          <w:tcPr>
            <w:tcW w:w="36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管道内高温危险化学品泄漏，可能导致烫伤。</w:t>
            </w: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灼烫</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tcBorders>
              <w:top w:val="single" w:color="auto" w:sz="4" w:space="0"/>
              <w:left w:val="single" w:color="auto" w:sz="4" w:space="0"/>
              <w:right w:val="single" w:color="auto" w:sz="4" w:space="0"/>
            </w:tcBorders>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tcBorders>
              <w:top w:val="single" w:color="auto" w:sz="4" w:space="0"/>
              <w:left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气瓶间或气瓶使用部位</w:t>
            </w:r>
          </w:p>
        </w:tc>
        <w:tc>
          <w:tcPr>
            <w:tcW w:w="1276" w:type="dxa"/>
            <w:tcBorders>
              <w:top w:val="single" w:color="auto" w:sz="4" w:space="0"/>
              <w:left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气瓶</w:t>
            </w:r>
          </w:p>
        </w:tc>
        <w:tc>
          <w:tcPr>
            <w:tcW w:w="36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.气瓶内易燃易爆介质泄漏，遇火源可能导致火灾、爆炸事故。</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.气瓶内有毒物质泄漏，可能导致中毒等事故。</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w:t>
            </w:r>
            <w:r>
              <w:rPr>
                <w:rFonts w:hint="eastAsia" w:ascii="Times New Roman" w:hAnsi="Times New Roman" w:eastAsia="宋体" w:cs="Times New Roman"/>
                <w:sz w:val="18"/>
                <w:szCs w:val="18"/>
              </w:rPr>
              <w:t>气瓶当受热、撞击或强烈震动时，容器内压力急剧增大，可能致使容器破裂爆炸，对周围人员和设备造成损坏。</w:t>
            </w:r>
          </w:p>
        </w:tc>
        <w:tc>
          <w:tcPr>
            <w:tcW w:w="993"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tcBorders>
              <w:top w:val="single" w:color="auto" w:sz="4" w:space="0"/>
              <w:left w:val="single" w:color="auto" w:sz="4" w:space="0"/>
              <w:bottom w:val="single" w:color="auto" w:sz="4" w:space="0"/>
              <w:right w:val="single" w:color="auto" w:sz="4" w:space="0"/>
            </w:tcBorders>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restar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锅炉房</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锅炉房的燃气调压间、油泵间及燃气锅炉间</w:t>
            </w:r>
          </w:p>
        </w:tc>
        <w:tc>
          <w:tcPr>
            <w:tcW w:w="3685"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1.锅炉房内可燃物、燃料等物质，遇火源可能导致火灾、爆炸事故。</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2.锅炉房内可燃物、燃料等物质，发生泄漏，人员大量吸入可导致中毒窒息等事故。</w:t>
            </w:r>
          </w:p>
        </w:tc>
        <w:tc>
          <w:tcPr>
            <w:tcW w:w="993" w:type="dxa"/>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蒸汽锅炉、热水锅炉及其管道的高温表面和高温热水和蒸汽</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锅炉及其管道的高温表面和高温介质，可能导致灼烫事故。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w:t>
            </w:r>
          </w:p>
        </w:tc>
        <w:tc>
          <w:tcPr>
            <w:tcW w:w="3685" w:type="dxa"/>
            <w:vAlign w:val="center"/>
          </w:tcPr>
          <w:p>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变配电室</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电压互感器</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因长期过负荷或设备自身的短路故障，以及连接端接触不良时，会使设备绝缘老化，自身发热，可能导致电器火灾事故。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电流互感器</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因长期过负荷或设备自身的短路故障，以及连接端接触不良时，会使电器设备绝缘老化，自身发热，可能导致电器火灾事故。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变压器</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.因长期过负荷或设备自身的短路故障，以及连接端接触不良时，会使设备绝缘老化，自身发热，可能导致电器火灾事故。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变压器超负荷运行时，变压器油温升高，其蒸气与空气混合形成爆炸性气体，遇高温可能发生爆炸。</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空气开关</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因长期过负荷或设备自身的短路故障，以及连接端接触不良时，会使电器设备绝缘老化，自身发热，可能导致电器火灾事故。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电缆线路</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因长期过负荷或设备自身的短路故障，以及连接端接触不良时，会使上述电器设备绝缘老化，自身发热，可能导致电器火灾事故。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电压器、避雷器、电容器</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因长期过负荷或设备自身的短路故障，以及连接端接触不良时，会使上述电器设备绝缘老化，自身发热，可能导致电器火灾事故。严重的还会使电压器、避雷器、电容器发生爆炸。</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进线沟洞</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高低压配电室门口挡鼠板缺失或配电室的进线沟洞等不密封，配电室房屋结构不能阻挡小动物（鼠、猫、鸟、蛇等）进入措施而发生小动物触电造成短路，引发电气火灾。</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配电箱（柜）及附近区域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1.电气元、配件质量不好，绝缘性能不合格，接线不规范，接线端子接线松驰，线型选择过细，引起电气元件或端子接头发热打火引燃可燃物质发生火灾。</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2.箱（柜）内可能存在带电部位裸露在外，人员接触，可能导致触电事故。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电器设备</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电器设备、电子广告牌等用电器具</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1.电器设备使用、检修作业时，作业人员接触电流，导致触电事故。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2.电器设备使用中发生过载、短路、导致温度过高，引发火灾事故。</w:t>
            </w:r>
          </w:p>
        </w:tc>
        <w:tc>
          <w:tcPr>
            <w:tcW w:w="993"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污水处理系统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储罐区、加药间</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液氯、次氯酸钠等泄漏，造成附近人员中毒和窒息。</w:t>
            </w:r>
          </w:p>
        </w:tc>
        <w:tc>
          <w:tcPr>
            <w:tcW w:w="993"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澄清池、过滤池</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人员掉入池中导致淹溺。</w:t>
            </w:r>
          </w:p>
        </w:tc>
        <w:tc>
          <w:tcPr>
            <w:tcW w:w="993"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高压架空线路附近区域</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高压架空线路附近区域内可燃物、易燃易爆危险化学品</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架空线路与储存危险化学品的仓库、储罐距离太近，可能导致火灾、爆炸事故。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电缆沟附近区域</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电缆沟内及附近区域内可燃物、易燃易爆危险化学品</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易燃易爆气体可能进入电缆沟，在沟内积聚，遇火源可能导致火灾、爆炸事故。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循环水池和事故水收集池</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循环水池和事故水收集池</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循环水池和事故水收集池若安全防护不够，或安全警示标志缺失，有可能使人发生坠落，产生淹溺事故。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充电区域</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充电动力车</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1、充电动力车充电产生高温，可能引燃可燃物，导致火灾爆炸事故；</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2、充电过程中释放的氢气遇火源可能导致火灾、爆炸事故；</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3、充电动力车在充电过程中，可能导致触电事故。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厨房</w:t>
            </w: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厨房电器设备</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.使用电器设备时，可能发生触电事故。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部分高温设备使用中，可能发生灼烫。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w:t>
            </w:r>
            <w:r>
              <w:rPr>
                <w:rFonts w:hint="eastAsia" w:ascii="Times New Roman" w:hAnsi="Times New Roman" w:eastAsia="宋体" w:cs="Times New Roman"/>
                <w:sz w:val="18"/>
                <w:szCs w:val="18"/>
              </w:rPr>
              <w:t>部分设备在使用过程中，可能造成机械伤害或者刀具伤手等伤害。</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w:t>
            </w:r>
            <w:r>
              <w:rPr>
                <w:rFonts w:hint="eastAsia" w:ascii="Times New Roman" w:hAnsi="Times New Roman" w:eastAsia="宋体" w:cs="Times New Roman"/>
                <w:sz w:val="18"/>
                <w:szCs w:val="18"/>
              </w:rPr>
              <w:t>抽油烟机运转中会产生噪声，外加厨房内多为高温环境，可能会对人员造成一定程度的人身伤害。</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机械伤害</w:t>
            </w:r>
          </w:p>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其他伤害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厨房燃气设备</w:t>
            </w:r>
          </w:p>
        </w:tc>
        <w:tc>
          <w:tcPr>
            <w:tcW w:w="3685"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使用燃气发生泄漏，遇火源可能导致火灾爆炸事故。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环境影响</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 w:hRule="atLeast"/>
          <w:jc w:val="center"/>
        </w:trPr>
        <w:tc>
          <w:tcPr>
            <w:tcW w:w="534" w:type="dxa"/>
            <w:vAlign w:val="center"/>
          </w:tcPr>
          <w:p>
            <w:pPr>
              <w:numPr>
                <w:ilvl w:val="0"/>
                <w:numId w:val="22"/>
              </w:numPr>
              <w:adjustRightInd w:val="0"/>
              <w:snapToGrid w:val="0"/>
              <w:spacing w:line="240" w:lineRule="atLeast"/>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员工宿舍</w:t>
            </w:r>
          </w:p>
        </w:tc>
        <w:tc>
          <w:tcPr>
            <w:tcW w:w="1276"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电气设备及线路</w:t>
            </w:r>
          </w:p>
        </w:tc>
        <w:tc>
          <w:tcPr>
            <w:tcW w:w="3685"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违规使用电热毯、电暖气等大功率用电设备，过载可能引发火灾或触电。</w:t>
            </w:r>
          </w:p>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私拉电气线路由于漏电、短路、过负荷等原因，产生电火花、高温、电弧等可能引发周边易燃可燃物发生火灾。私拉电气线路由于绝缘失效或损坏，对接触人员造成触电。</w:t>
            </w:r>
          </w:p>
        </w:tc>
        <w:tc>
          <w:tcPr>
            <w:tcW w:w="993"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供配电系统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供配电检修作业</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高低压供配电系统检修时，检修人员可能发生触电事故。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厂区临时用电作业</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临时用电设备及电缆</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临时用电存在带电部位裸露，可能导致触电事故。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人员伤亡</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厂区临时用电作业</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临时用电线路产生的火花引燃周边的可燃物，导致火灾爆炸事故。</w:t>
            </w:r>
          </w:p>
        </w:tc>
        <w:tc>
          <w:tcPr>
            <w:tcW w:w="993" w:type="dxa"/>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4" w:type="dxa"/>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分装作业</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分装作业</w:t>
            </w:r>
          </w:p>
        </w:tc>
        <w:tc>
          <w:tcPr>
            <w:tcW w:w="3685" w:type="dxa"/>
            <w:vAlign w:val="center"/>
          </w:tcPr>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1．</w:t>
            </w:r>
            <w:r>
              <w:rPr>
                <w:rFonts w:ascii="Times New Roman" w:hAnsi="Times New Roman" w:eastAsia="宋体" w:cs="Times New Roman"/>
                <w:bCs/>
                <w:kern w:val="0"/>
                <w:sz w:val="18"/>
                <w:szCs w:val="18"/>
              </w:rPr>
              <w:t>分装作业场所通风不良，分装过程中分装的有机物泄漏挥发达到一定浓度，形成爆炸性混合物，遇到静电火花、电气火花、明火等，可能引发火灾爆炸。</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2</w:t>
            </w:r>
            <w:r>
              <w:rPr>
                <w:rFonts w:ascii="Times New Roman" w:hAnsi="Times New Roman" w:eastAsia="宋体" w:cs="Times New Roman"/>
                <w:bCs/>
                <w:kern w:val="0"/>
                <w:sz w:val="18"/>
                <w:szCs w:val="18"/>
              </w:rPr>
              <w:t>.分装作业过程中，禁忌物料直接接触、混合，可能发生火灾爆炸事故。</w:t>
            </w:r>
          </w:p>
          <w:p>
            <w:pPr>
              <w:autoSpaceDE w:val="0"/>
              <w:autoSpaceDN w:val="0"/>
              <w:adjustRightInd w:val="0"/>
              <w:snapToGrid w:val="0"/>
              <w:spacing w:line="240" w:lineRule="atLeast"/>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3</w:t>
            </w:r>
            <w:r>
              <w:rPr>
                <w:rFonts w:ascii="Times New Roman" w:hAnsi="Times New Roman" w:eastAsia="宋体" w:cs="Times New Roman"/>
                <w:bCs/>
                <w:kern w:val="0"/>
                <w:sz w:val="18"/>
                <w:szCs w:val="18"/>
              </w:rPr>
              <w:t>.分装过程中操作不当或作业人员未正确穿戴防护用品等，直接接触有化学灼伤、腐蚀性的危险化学品可能造成的人员化学性灼伤。</w:t>
            </w:r>
          </w:p>
          <w:p>
            <w:pPr>
              <w:autoSpaceDE w:val="0"/>
              <w:autoSpaceDN w:val="0"/>
              <w:adjustRightInd w:val="0"/>
              <w:snapToGrid w:val="0"/>
              <w:spacing w:line="240" w:lineRule="atLeas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4.分装场所通风不良，作业人员未按规定穿戴防护用品，有毒物质泄漏挥发，可能引起人员中毒。</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bCs/>
                <w:kern w:val="0"/>
                <w:sz w:val="18"/>
                <w:szCs w:val="18"/>
              </w:rPr>
              <w:t>5.分装物料在搬运、分装、打包过程中可能造成作业人员夹伤、碰伤等伤害事故。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widowControl/>
              <w:adjustRightInd w:val="0"/>
              <w:snapToGrid w:val="0"/>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火灾</w:t>
            </w:r>
          </w:p>
          <w:p>
            <w:pPr>
              <w:autoSpaceDE w:val="0"/>
              <w:autoSpaceDN w:val="0"/>
              <w:adjustRightInd w:val="0"/>
              <w:snapToGrid w:val="0"/>
              <w:spacing w:line="240" w:lineRule="atLeast"/>
              <w:rPr>
                <w:rFonts w:ascii="Times New Roman" w:hAnsi="Times New Roman" w:eastAsia="宋体" w:cs="Times New Roman"/>
                <w:bCs/>
                <w:kern w:val="0"/>
                <w:sz w:val="18"/>
                <w:szCs w:val="18"/>
              </w:rPr>
            </w:pPr>
            <w:r>
              <w:rPr>
                <w:rFonts w:ascii="Times New Roman" w:hAnsi="Times New Roman" w:eastAsia="宋体" w:cs="Times New Roman"/>
                <w:bCs/>
                <w:kern w:val="0"/>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bCs/>
                <w:kern w:val="0"/>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bCs/>
                <w:kern w:val="0"/>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bCs/>
                <w:kern w:val="0"/>
                <w:sz w:val="18"/>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装卸搬运作业</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装卸搬运作业</w:t>
            </w:r>
          </w:p>
        </w:tc>
        <w:tc>
          <w:tcPr>
            <w:tcW w:w="3685" w:type="dxa"/>
            <w:vAlign w:val="center"/>
          </w:tcPr>
          <w:p>
            <w:pPr>
              <w:autoSpaceDE w:val="0"/>
              <w:autoSpaceDN w:val="0"/>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.危险化学品装卸、搬运作业过程，由于未使用专用工器具等原因，造成包装物损坏的，易燃易爆物质泄漏，遇到静电火花、电气火花、明火等，可能引发火灾或爆炸。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.装卸区域内，罐车、罐装管线等静电导除出现问题，可能引发火灾爆炸。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.危险化学品装卸、搬运作业过程，由于未使用专用工器具等原因，造成包装物损坏的，毒害性危险化学品泄漏，人员大量吸入可能导致中毒窒息等。</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.危险化学品装卸、搬运作业过程，由于未使用专用工器具等原因，造成包装物损坏的，酸碱等腐蚀性危险化学品泄漏，可能导致酸碱腐蚀灼烫事故。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.危险化学品装卸、搬运作业</w:t>
            </w:r>
            <w:r>
              <w:rPr>
                <w:rFonts w:hint="eastAsia" w:ascii="Times New Roman" w:hAnsi="Times New Roman" w:eastAsia="宋体" w:cs="Times New Roman"/>
                <w:sz w:val="18"/>
                <w:szCs w:val="18"/>
              </w:rPr>
              <w:t>过程中，可能造成物品意外跌落，进而打击人体造成人身伤亡事故。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6</w:t>
            </w:r>
            <w:r>
              <w:rPr>
                <w:rFonts w:ascii="Times New Roman" w:hAnsi="Times New Roman" w:eastAsia="宋体" w:cs="Times New Roman"/>
                <w:sz w:val="18"/>
                <w:szCs w:val="18"/>
              </w:rPr>
              <w:t>.危险化学品装卸、搬运作业</w:t>
            </w:r>
            <w:r>
              <w:rPr>
                <w:rFonts w:hint="eastAsia" w:ascii="Times New Roman" w:hAnsi="Times New Roman" w:eastAsia="宋体" w:cs="Times New Roman"/>
                <w:sz w:val="18"/>
                <w:szCs w:val="18"/>
              </w:rPr>
              <w:t>过程中，使用的机动车辆可能会对周围人员造成车辆伤害。</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充装作业</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充装低温液态气体</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充装人员接触低温液态气体，导致冻伤事故。</w:t>
            </w:r>
          </w:p>
        </w:tc>
        <w:tc>
          <w:tcPr>
            <w:tcW w:w="993"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其它伤害（冻伤）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充装腐蚀性气体</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操作人员与充装的腐蚀性气体接触，可能导致腐蚀性灼伤事故。</w:t>
            </w:r>
          </w:p>
        </w:tc>
        <w:tc>
          <w:tcPr>
            <w:tcW w:w="993"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充装可燃性气体</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操作人员的产生的静电可能导致火灾爆炸事故。</w:t>
            </w:r>
          </w:p>
        </w:tc>
        <w:tc>
          <w:tcPr>
            <w:tcW w:w="993"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气瓶、移动式压力容器等充装容器</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充装过程中，容器内充装过量，导致发生气瓶爆炸事故。</w:t>
            </w:r>
          </w:p>
        </w:tc>
        <w:tc>
          <w:tcPr>
            <w:tcW w:w="993"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盲板抽堵作业部位及周边区域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盲板抽堵作业设施</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.盲板抽堵作业部位的易燃易爆物质发生泄漏，遇到静电火花、电气火花、明火等，可能引发火灾或爆炸。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.盲板抽堵作业部位有毒物质发生泄漏，可能导致中毒事故。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.在盲板抽堵作业时，高温介质发生泄漏，可能导致作业人员发生灼烫伤害。</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危险化学品储存设施清洗作业</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清洗作业</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危险化学品储存设施清洗作业时，残留的有毒物质可能导致中毒。</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动火作业部位及周边区域存在易燃易爆危险化学品区域</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厂区动火作业部位、附近区域存在可燃物，遇火源可能导致火灾、爆炸等事故。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4"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动土作业部位及周边区域设施</w:t>
            </w:r>
            <w:r>
              <w:rPr>
                <w:rFonts w:hint="eastAsia" w:ascii="Times New Roman" w:hAnsi="Times New Roman" w:eastAsia="宋体" w:cs="Times New Roman"/>
                <w:sz w:val="18"/>
                <w:szCs w:val="18"/>
              </w:rPr>
              <w:t>、深基坑</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.动土作业部位及周边区域设施内的易燃易爆物质，遇火源可能导致火灾、爆炸事故。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.动土作业部位及周边区域设施内的有毒物质，泄漏后可能导致中毒事故。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.在动土作业时，发生支撑不牢靠，或地下和地面水渗入作业区，可能导致作业区坍塌事故。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.动土作业现场高差大于2m时，人员可能坠入坑内，导致高处坠落事故。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受限空间作业</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下水管道、内罐、仓、槽车、管道、隧道、沟、坑、井、池、涵洞等封闭、半封闭的设施及场所</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1.人员进入受限空间作业时，可能氧气不足，导致中毒窒息事故。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 在作业场地狭小、作业人员精力不集中、防护措施不当或夜间照明不足时，也可能会发生碰、挤、擦、刮等其它伤害。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 受限空间作业部位存在可燃物、易燃易爆危险化学品，遇火源可能导致火灾、爆炸、中毒窒息等事故。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 进入高温受限空间作业，可能导致高温灼伤事故。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高处作业</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高处作业时的工具以及物体</w:t>
            </w:r>
            <w:r>
              <w:rPr>
                <w:rFonts w:hint="eastAsia" w:ascii="Times New Roman" w:hAnsi="Times New Roman" w:eastAsia="宋体" w:cs="Times New Roman"/>
                <w:sz w:val="18"/>
                <w:szCs w:val="18"/>
              </w:rPr>
              <w:t>、</w:t>
            </w:r>
            <w:r>
              <w:rPr>
                <w:rFonts w:ascii="Times New Roman" w:hAnsi="Times New Roman" w:eastAsia="宋体" w:cs="Times New Roman"/>
                <w:sz w:val="18"/>
                <w:szCs w:val="18"/>
              </w:rPr>
              <w:t>脚手架</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.高处作业时，使用的工具、零件等物品发生坠落，可能会对下部人员或设备造成物体打击。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.在高于2 m的作业平台、脚手架进行操作、检修等高处作业时，可能导致</w:t>
            </w:r>
            <w:r>
              <w:rPr>
                <w:rFonts w:hint="eastAsia" w:ascii="Times New Roman" w:hAnsi="Times New Roman" w:eastAsia="宋体" w:cs="Times New Roman"/>
                <w:sz w:val="18"/>
                <w:szCs w:val="18"/>
              </w:rPr>
              <w:t>高处</w:t>
            </w:r>
            <w:r>
              <w:rPr>
                <w:rFonts w:ascii="Times New Roman" w:hAnsi="Times New Roman" w:eastAsia="宋体" w:cs="Times New Roman"/>
                <w:sz w:val="18"/>
                <w:szCs w:val="18"/>
              </w:rPr>
              <w:t>坠落事故。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.在高处作业时，使用的脚手架、跳板存在问题，可能导致坍塌事故。</w:t>
            </w:r>
          </w:p>
        </w:tc>
        <w:tc>
          <w:tcPr>
            <w:tcW w:w="993"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起吊作业及周边区域</w:t>
            </w: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起重机械自身及其移动和旋转部位在起吊过程中，发生整体失稳倾翻、吊具、钢丝绳损坏、移动部位碰撞他人，可能导致起重伤害事故。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带电部位</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起重机械吊装过程触碰高处物体，或吊起物品坠落碰撞危险物品，可能导致危险物品泄漏，造成火灾爆炸事故。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其他爆炸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吊装物品</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起重机械吊装的重物坠落、挤压、撞击他人或司机，可能导致起重伤害事故。</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78" w:hRule="atLeast"/>
          <w:jc w:val="center"/>
        </w:trPr>
        <w:tc>
          <w:tcPr>
            <w:tcW w:w="534" w:type="dxa"/>
            <w:vAlign w:val="center"/>
          </w:tcPr>
          <w:p>
            <w:pPr>
              <w:numPr>
                <w:ilvl w:val="0"/>
                <w:numId w:val="22"/>
              </w:numPr>
              <w:adjustRightInd w:val="0"/>
              <w:snapToGrid w:val="0"/>
              <w:jc w:val="center"/>
              <w:rPr>
                <w:rFonts w:ascii="Times New Roman" w:hAnsi="Times New Roman" w:eastAsia="宋体" w:cs="Times New Roman"/>
                <w:sz w:val="18"/>
                <w:szCs w:val="18"/>
              </w:rPr>
            </w:pPr>
          </w:p>
        </w:tc>
        <w:tc>
          <w:tcPr>
            <w:tcW w:w="850" w:type="dxa"/>
            <w:vMerge w:val="continue"/>
            <w:vAlign w:val="center"/>
          </w:tcPr>
          <w:p>
            <w:pPr>
              <w:widowControl/>
              <w:adjustRightInd w:val="0"/>
              <w:snapToGrid w:val="0"/>
              <w:rPr>
                <w:rFonts w:ascii="Times New Roman" w:hAnsi="Times New Roman" w:eastAsia="宋体" w:cs="Times New Roman"/>
                <w:sz w:val="18"/>
                <w:szCs w:val="18"/>
              </w:rPr>
            </w:pPr>
          </w:p>
        </w:tc>
        <w:tc>
          <w:tcPr>
            <w:tcW w:w="127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带电设备、电线</w:t>
            </w:r>
          </w:p>
        </w:tc>
        <w:tc>
          <w:tcPr>
            <w:tcW w:w="36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起重机械操作人员与电器设备接触，或起重机械吊装时触碰电线，可能导致司机或他人触电。</w:t>
            </w:r>
          </w:p>
        </w:tc>
        <w:tc>
          <w:tcPr>
            <w:tcW w:w="993"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bl>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sectPr>
          <w:footerReference r:id="rId3" w:type="default"/>
          <w:footerReference r:id="rId4" w:type="even"/>
          <w:pgSz w:w="11906" w:h="16838"/>
          <w:pgMar w:top="1440" w:right="1797" w:bottom="1440" w:left="1797" w:header="851" w:footer="992" w:gutter="0"/>
          <w:pgNumType w:fmt="numberInDash"/>
          <w:cols w:space="425" w:num="1"/>
          <w:docGrid w:linePitch="312" w:charSpace="0"/>
        </w:sectPr>
      </w:pPr>
    </w:p>
    <w:p>
      <w:pPr>
        <w:keepNext/>
        <w:keepLines/>
        <w:spacing w:line="480" w:lineRule="auto"/>
        <w:outlineLvl w:val="0"/>
        <w:rPr>
          <w:rFonts w:ascii="Times New Roman" w:hAnsi="Times New Roman" w:eastAsia="宋体" w:cs="Times New Roman"/>
          <w:b/>
          <w:bCs/>
          <w:kern w:val="44"/>
          <w:sz w:val="24"/>
          <w:szCs w:val="24"/>
        </w:rPr>
      </w:pPr>
      <w:r>
        <w:rPr>
          <w:rFonts w:hint="eastAsia" w:ascii="Times New Roman" w:hAnsi="Times New Roman" w:eastAsia="宋体" w:cs="Times New Roman"/>
          <w:b/>
          <w:bCs/>
          <w:kern w:val="44"/>
          <w:sz w:val="24"/>
          <w:szCs w:val="24"/>
        </w:rPr>
        <w:t>五、医药制造企业安全风险辨识建议清单</w:t>
      </w:r>
    </w:p>
    <w:tbl>
      <w:tblPr>
        <w:tblStyle w:val="40"/>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56"/>
        <w:gridCol w:w="1191"/>
        <w:gridCol w:w="1336"/>
        <w:gridCol w:w="3264"/>
        <w:gridCol w:w="990"/>
        <w:gridCol w:w="1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556" w:type="dxa"/>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序号</w:t>
            </w:r>
          </w:p>
        </w:tc>
        <w:tc>
          <w:tcPr>
            <w:tcW w:w="1191" w:type="dxa"/>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场所/位置</w:t>
            </w:r>
          </w:p>
        </w:tc>
        <w:tc>
          <w:tcPr>
            <w:tcW w:w="1336" w:type="dxa"/>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风险源</w:t>
            </w:r>
          </w:p>
        </w:tc>
        <w:tc>
          <w:tcPr>
            <w:tcW w:w="3264" w:type="dxa"/>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风险描述示意</w:t>
            </w:r>
          </w:p>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（仅供参考）</w:t>
            </w:r>
          </w:p>
        </w:tc>
        <w:tc>
          <w:tcPr>
            <w:tcW w:w="990" w:type="dxa"/>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可能造成的后果</w:t>
            </w:r>
          </w:p>
        </w:tc>
        <w:tc>
          <w:tcPr>
            <w:tcW w:w="1185" w:type="dxa"/>
            <w:vAlign w:val="center"/>
          </w:tcPr>
          <w:p>
            <w:pPr>
              <w:widowControl/>
              <w:adjustRightInd w:val="0"/>
              <w:snapToGrid w:val="0"/>
              <w:spacing w:line="240" w:lineRule="atLeast"/>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w:t>
            </w:r>
          </w:p>
        </w:tc>
        <w:tc>
          <w:tcPr>
            <w:tcW w:w="1191"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合成车间</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高压釜、氢化釜、酰化釜、结晶釜、萃取釜、一般反应釜、氨化釜等反应容器</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.反应釜容器内因内部压力过高，可能导致容器发生物理爆炸事故。</w:t>
            </w:r>
          </w:p>
          <w:p>
            <w:pPr>
              <w:autoSpaceDE w:val="0"/>
              <w:autoSpaceDN w:val="0"/>
              <w:adjustRightInd w:val="0"/>
              <w:snapToGrid w:val="0"/>
              <w:spacing w:line="240" w:lineRule="atLeast"/>
              <w:rPr>
                <w:rFonts w:ascii="Times New Roman" w:hAnsi="宋体" w:eastAsia="宋体" w:cs="Times New Roman"/>
                <w:bCs/>
                <w:kern w:val="0"/>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.反应釜、蒸压釜夹套和管道破损等原因造成内部易燃易爆</w:t>
            </w:r>
            <w:r>
              <w:rPr>
                <w:rFonts w:hint="eastAsia" w:ascii="Times New Roman" w:hAnsi="Times New Roman" w:eastAsia="宋体" w:cs="Times New Roman"/>
                <w:sz w:val="18"/>
                <w:szCs w:val="18"/>
              </w:rPr>
              <w:t>物质</w:t>
            </w:r>
            <w:r>
              <w:rPr>
                <w:rFonts w:ascii="Times New Roman" w:hAnsi="Times New Roman" w:eastAsia="宋体" w:cs="Times New Roman"/>
                <w:sz w:val="18"/>
                <w:szCs w:val="18"/>
              </w:rPr>
              <w:t>泄漏，</w:t>
            </w:r>
            <w:r>
              <w:rPr>
                <w:rFonts w:hint="eastAsia" w:ascii="Times New Roman" w:hAnsi="宋体" w:eastAsia="宋体" w:cs="Times New Roman"/>
                <w:bCs/>
                <w:kern w:val="0"/>
                <w:sz w:val="18"/>
                <w:szCs w:val="18"/>
              </w:rPr>
              <w:t>遇到静电火花、电气火花、明火等，可能引发火灾爆炸。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.反应釜、蒸压釜夹套和管道破损等原因造成内部</w:t>
            </w:r>
            <w:r>
              <w:rPr>
                <w:rFonts w:hint="eastAsia" w:ascii="Times New Roman" w:hAnsi="Times New Roman" w:eastAsia="宋体" w:cs="Times New Roman"/>
                <w:sz w:val="18"/>
                <w:szCs w:val="18"/>
              </w:rPr>
              <w:t>有毒物质</w:t>
            </w:r>
            <w:r>
              <w:rPr>
                <w:rFonts w:ascii="Times New Roman" w:hAnsi="Times New Roman" w:eastAsia="宋体" w:cs="Times New Roman"/>
                <w:sz w:val="18"/>
                <w:szCs w:val="18"/>
              </w:rPr>
              <w:t>泄漏，</w:t>
            </w:r>
            <w:r>
              <w:rPr>
                <w:rFonts w:hint="eastAsia" w:ascii="Times New Roman" w:hAnsi="宋体" w:eastAsia="宋体" w:cs="Times New Roman"/>
                <w:bCs/>
                <w:kern w:val="0"/>
                <w:sz w:val="18"/>
                <w:szCs w:val="18"/>
              </w:rPr>
              <w:t>可能引发人员中毒。</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离心机组、板框式压滤机、厢式压滤机、带式压滤机</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易燃易爆</w:t>
            </w:r>
            <w:r>
              <w:rPr>
                <w:rFonts w:hint="eastAsia" w:ascii="Times New Roman" w:hAnsi="Times New Roman" w:eastAsia="宋体" w:cs="Times New Roman"/>
                <w:sz w:val="18"/>
                <w:szCs w:val="18"/>
              </w:rPr>
              <w:t>物质</w:t>
            </w:r>
            <w:r>
              <w:rPr>
                <w:rFonts w:ascii="Times New Roman" w:hAnsi="Times New Roman" w:eastAsia="宋体" w:cs="Times New Roman"/>
                <w:sz w:val="18"/>
                <w:szCs w:val="18"/>
              </w:rPr>
              <w:t>发生泄漏，遇静电或离心机、压滤机运转过程中的高温引燃泄漏的可燃气体，可能导致火灾爆炸事故。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配酸罐、母液罐、精制罐、汽提塔、回收罐、结晶罐</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.易燃易爆</w:t>
            </w:r>
            <w:r>
              <w:rPr>
                <w:rFonts w:hint="eastAsia" w:ascii="Times New Roman" w:hAnsi="Times New Roman" w:eastAsia="宋体" w:cs="Times New Roman"/>
                <w:sz w:val="18"/>
                <w:szCs w:val="18"/>
              </w:rPr>
              <w:t>物质</w:t>
            </w:r>
            <w:r>
              <w:rPr>
                <w:rFonts w:ascii="Times New Roman" w:hAnsi="Times New Roman" w:eastAsia="宋体" w:cs="Times New Roman"/>
                <w:sz w:val="18"/>
                <w:szCs w:val="18"/>
              </w:rPr>
              <w:t>发生泄漏</w:t>
            </w:r>
            <w:r>
              <w:rPr>
                <w:rFonts w:hint="eastAsia" w:ascii="Times New Roman" w:hAnsi="Times New Roman" w:eastAsia="宋体" w:cs="Times New Roman"/>
                <w:sz w:val="18"/>
                <w:szCs w:val="18"/>
              </w:rPr>
              <w:t>，</w:t>
            </w:r>
            <w:r>
              <w:rPr>
                <w:rFonts w:hint="eastAsia" w:ascii="Times New Roman" w:hAnsi="宋体" w:eastAsia="宋体" w:cs="Times New Roman"/>
                <w:bCs/>
                <w:kern w:val="0"/>
                <w:sz w:val="18"/>
                <w:szCs w:val="18"/>
              </w:rPr>
              <w:t>遇到静电火花、电气火花、明火等，可能引发火灾爆炸。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.强酸泄漏，可能导致灼烫。</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干燥车间</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干燥机、烘箱、喷雾干燥设备</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干燥机在进行干燥处理操作时，可能使残留的溶剂产生较高的蒸气压，温度高压力大时可能产生火灾爆炸事故。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人员伤害</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5</w:t>
            </w:r>
          </w:p>
        </w:tc>
        <w:tc>
          <w:tcPr>
            <w:tcW w:w="1191"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蒸馏塔间</w:t>
            </w:r>
          </w:p>
        </w:tc>
        <w:tc>
          <w:tcPr>
            <w:tcW w:w="1336"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蒸馏塔</w:t>
            </w:r>
          </w:p>
        </w:tc>
        <w:tc>
          <w:tcPr>
            <w:tcW w:w="326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.蒸馏塔运行过程中，因容器内压力过高，可能导致容器爆炸事故。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 蒸馏塔内部易燃易爆</w:t>
            </w:r>
            <w:r>
              <w:rPr>
                <w:rFonts w:hint="eastAsia" w:ascii="Times New Roman" w:hAnsi="Times New Roman" w:eastAsia="宋体" w:cs="Times New Roman"/>
                <w:sz w:val="18"/>
                <w:szCs w:val="18"/>
              </w:rPr>
              <w:t>物质</w:t>
            </w:r>
            <w:r>
              <w:rPr>
                <w:rFonts w:ascii="Times New Roman" w:hAnsi="Times New Roman" w:eastAsia="宋体" w:cs="Times New Roman"/>
                <w:sz w:val="18"/>
                <w:szCs w:val="18"/>
              </w:rPr>
              <w:t>泄漏，</w:t>
            </w:r>
            <w:r>
              <w:rPr>
                <w:rFonts w:hint="eastAsia" w:ascii="Times New Roman" w:hAnsi="宋体" w:eastAsia="宋体" w:cs="Times New Roman"/>
                <w:bCs/>
                <w:kern w:val="0"/>
                <w:sz w:val="18"/>
                <w:szCs w:val="18"/>
              </w:rPr>
              <w:t>遇到静电火花、电气火花、明火等，可能引发火灾爆炸。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 蒸馏塔内部有毒物质泄漏，可能导致中毒。</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 蒸馏塔内的高温物质发生泄漏，人员接触后，可能导致灼烫事故。</w:t>
            </w:r>
          </w:p>
        </w:tc>
        <w:tc>
          <w:tcPr>
            <w:tcW w:w="99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pPr>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6</w:t>
            </w:r>
          </w:p>
        </w:tc>
        <w:tc>
          <w:tcPr>
            <w:tcW w:w="1191"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中间储罐</w:t>
            </w:r>
          </w:p>
        </w:tc>
        <w:tc>
          <w:tcPr>
            <w:tcW w:w="1336"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中间储罐</w:t>
            </w:r>
          </w:p>
        </w:tc>
        <w:tc>
          <w:tcPr>
            <w:tcW w:w="326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.中间储罐运行过程中，储罐内部压力过高，可能导致容器爆炸事故。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 中间储罐内部易燃易爆物质泄漏，</w:t>
            </w:r>
            <w:r>
              <w:rPr>
                <w:rFonts w:hint="eastAsia" w:ascii="Times New Roman" w:hAnsi="宋体" w:eastAsia="宋体" w:cs="Times New Roman"/>
                <w:bCs/>
                <w:kern w:val="0"/>
                <w:sz w:val="18"/>
                <w:szCs w:val="18"/>
              </w:rPr>
              <w:t>遇到静电火花、电气火花、明火等，可能引发火灾爆炸。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 中间储罐内部有毒物质泄漏，可能导致中毒。</w:t>
            </w:r>
          </w:p>
        </w:tc>
        <w:tc>
          <w:tcPr>
            <w:tcW w:w="99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7</w:t>
            </w:r>
          </w:p>
        </w:tc>
        <w:tc>
          <w:tcPr>
            <w:tcW w:w="1191"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配料、清罐</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操作单元</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配料锅、搅拌槽</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罐内有害气体泄漏，引起清罐者中毒。</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搅拌机械</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开启、停止操作时可能发生人员机械伤害</w:t>
            </w:r>
            <w:r>
              <w:rPr>
                <w:rFonts w:hint="eastAsia" w:ascii="Times New Roman" w:hAnsi="Times New Roman" w:eastAsia="宋体" w:cs="Times New Roman"/>
                <w:sz w:val="18"/>
                <w:szCs w:val="18"/>
              </w:rPr>
              <w:t>事故</w:t>
            </w:r>
            <w:r>
              <w:rPr>
                <w:rFonts w:ascii="Times New Roman" w:hAnsi="Times New Roman" w:eastAsia="宋体" w:cs="Times New Roman"/>
                <w:sz w:val="18"/>
                <w:szCs w:val="18"/>
              </w:rPr>
              <w:t>。</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9</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易燃易爆物料</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抽料时可能产生静电，遇易燃易爆</w:t>
            </w:r>
            <w:r>
              <w:rPr>
                <w:rFonts w:hint="eastAsia" w:ascii="Times New Roman" w:hAnsi="Times New Roman" w:eastAsia="宋体" w:cs="Times New Roman"/>
                <w:sz w:val="18"/>
                <w:szCs w:val="18"/>
              </w:rPr>
              <w:t>物料</w:t>
            </w:r>
            <w:r>
              <w:rPr>
                <w:rFonts w:ascii="Times New Roman" w:hAnsi="Times New Roman" w:eastAsia="宋体" w:cs="Times New Roman"/>
                <w:sz w:val="18"/>
                <w:szCs w:val="18"/>
              </w:rPr>
              <w:t>泄漏，可能引发火灾爆炸事故。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10</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粉碎车间</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粉碎机</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粉碎机处理可燃物料时，一旦产生火花或遇到静电，可能发生粉尘爆炸事故。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粉碎机回转部件旋转不正常、传动部件防护罩缺失或失效等，可能导致作业人员机械伤害事故。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w:t>
            </w:r>
            <w:r>
              <w:rPr>
                <w:rFonts w:hint="eastAsia" w:ascii="Times New Roman" w:hAnsi="Times New Roman" w:eastAsia="宋体" w:cs="Times New Roman"/>
                <w:sz w:val="18"/>
                <w:szCs w:val="18"/>
              </w:rPr>
              <w:t>设备绝缘损坏、老化等造成耐压等级下降等，可能造成触电事故。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人员伤害</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1</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中药提取车间</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中药提取浓缩装置（乙醇溶液等）</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.乙醇挥发、泄漏，工作组温度过高、压力过大，可能导致火灾爆炸</w:t>
            </w:r>
            <w:r>
              <w:rPr>
                <w:rFonts w:hint="eastAsia" w:ascii="Times New Roman" w:hAnsi="Times New Roman" w:eastAsia="宋体" w:cs="Times New Roman"/>
                <w:sz w:val="18"/>
                <w:szCs w:val="18"/>
              </w:rPr>
              <w:t>。</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.中药提取浓缩装置清场操作时使用强酸强碱，可导致化学灼伤等事故。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12</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调醇操作单元</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调醇罐</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调醇操作单元中的高浓度乙醇蒸汽可造成人员伤害。</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13</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药厂洁净区</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药厂洁净区消毒喷头和覆盖区域</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消毒时喷洒含氯消毒剂、臭氧熏蒸，导致人员中毒</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14</w:t>
            </w:r>
          </w:p>
        </w:tc>
        <w:tc>
          <w:tcPr>
            <w:tcW w:w="1191"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制剂车间</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抽料机</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抽料管摩擦可能产生静电，遇到可燃物泄漏</w:t>
            </w:r>
            <w:r>
              <w:rPr>
                <w:rFonts w:hint="eastAsia" w:ascii="Times New Roman" w:hAnsi="Times New Roman" w:eastAsia="宋体" w:cs="Times New Roman"/>
                <w:sz w:val="18"/>
                <w:szCs w:val="18"/>
              </w:rPr>
              <w:t>，</w:t>
            </w:r>
            <w:r>
              <w:rPr>
                <w:rFonts w:ascii="Times New Roman" w:hAnsi="Times New Roman" w:eastAsia="宋体" w:cs="Times New Roman"/>
                <w:sz w:val="18"/>
                <w:szCs w:val="18"/>
              </w:rPr>
              <w:t>可能引发火灾爆炸事故。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15</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双锥混料器</w:t>
            </w:r>
            <w:r>
              <w:rPr>
                <w:rFonts w:hint="eastAsia" w:ascii="Times New Roman" w:hAnsi="Times New Roman" w:eastAsia="宋体" w:cs="Times New Roman"/>
                <w:sz w:val="18"/>
                <w:szCs w:val="18"/>
              </w:rPr>
              <w:t>、</w:t>
            </w:r>
            <w:r>
              <w:rPr>
                <w:rFonts w:ascii="Times New Roman" w:hAnsi="Times New Roman" w:eastAsia="宋体" w:cs="Times New Roman"/>
                <w:sz w:val="18"/>
                <w:szCs w:val="18"/>
              </w:rPr>
              <w:t>制粒机</w:t>
            </w:r>
            <w:r>
              <w:rPr>
                <w:rFonts w:hint="eastAsia" w:ascii="Times New Roman" w:hAnsi="Times New Roman" w:eastAsia="宋体" w:cs="Times New Roman"/>
                <w:sz w:val="18"/>
                <w:szCs w:val="18"/>
              </w:rPr>
              <w:t>、</w:t>
            </w:r>
            <w:r>
              <w:rPr>
                <w:rFonts w:ascii="Times New Roman" w:hAnsi="Times New Roman" w:eastAsia="宋体" w:cs="Times New Roman"/>
                <w:sz w:val="18"/>
                <w:szCs w:val="18"/>
              </w:rPr>
              <w:t>整粒机</w:t>
            </w:r>
            <w:r>
              <w:rPr>
                <w:rFonts w:hint="eastAsia" w:ascii="Times New Roman" w:hAnsi="Times New Roman" w:eastAsia="宋体" w:cs="Times New Roman"/>
                <w:sz w:val="18"/>
                <w:szCs w:val="18"/>
              </w:rPr>
              <w:t>、</w:t>
            </w:r>
            <w:r>
              <w:rPr>
                <w:rFonts w:ascii="Times New Roman" w:hAnsi="Times New Roman" w:eastAsia="宋体" w:cs="Times New Roman"/>
                <w:sz w:val="18"/>
                <w:szCs w:val="18"/>
              </w:rPr>
              <w:t>旋盖机</w:t>
            </w:r>
            <w:r>
              <w:rPr>
                <w:rFonts w:hint="eastAsia" w:ascii="Times New Roman" w:hAnsi="Times New Roman" w:eastAsia="宋体" w:cs="Times New Roman"/>
                <w:sz w:val="18"/>
                <w:szCs w:val="18"/>
              </w:rPr>
              <w:t>、</w:t>
            </w:r>
            <w:r>
              <w:rPr>
                <w:rFonts w:ascii="Times New Roman" w:hAnsi="Times New Roman" w:eastAsia="宋体" w:cs="Times New Roman"/>
                <w:sz w:val="18"/>
                <w:szCs w:val="18"/>
              </w:rPr>
              <w:t>输送带</w:t>
            </w:r>
            <w:r>
              <w:rPr>
                <w:rFonts w:hint="eastAsia" w:ascii="Times New Roman" w:hAnsi="Times New Roman" w:eastAsia="宋体" w:cs="Times New Roman"/>
                <w:sz w:val="18"/>
                <w:szCs w:val="18"/>
              </w:rPr>
              <w:t>等</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人员违章操作或操作不当，</w:t>
            </w:r>
            <w:r>
              <w:rPr>
                <w:rFonts w:ascii="Times New Roman" w:hAnsi="Times New Roman" w:eastAsia="宋体" w:cs="Times New Roman"/>
                <w:sz w:val="18"/>
                <w:szCs w:val="18"/>
              </w:rPr>
              <w:t>可能导致操作人员手部受伤。</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设备电缆线漏电可能导致触电。</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机械伤害</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16</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灌装机</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药水可能外溅，造成化学灼伤。</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17</w:t>
            </w:r>
          </w:p>
        </w:tc>
        <w:tc>
          <w:tcPr>
            <w:tcW w:w="1191" w:type="dxa"/>
            <w:vMerge w:val="restart"/>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宋体" w:eastAsia="宋体" w:cs="Times New Roman"/>
                <w:sz w:val="18"/>
                <w:szCs w:val="18"/>
              </w:rPr>
              <w:t>危险化学品仓库</w:t>
            </w:r>
            <w:r>
              <w:rPr>
                <w:rFonts w:hint="eastAsia" w:ascii="Times New Roman" w:hAnsi="宋体" w:eastAsia="宋体" w:cs="Times New Roman"/>
                <w:sz w:val="18"/>
                <w:szCs w:val="18"/>
              </w:rPr>
              <w:t>、</w:t>
            </w:r>
            <w:r>
              <w:rPr>
                <w:rFonts w:ascii="Times New Roman" w:hAnsi="宋体" w:eastAsia="宋体" w:cs="Times New Roman"/>
                <w:sz w:val="18"/>
                <w:szCs w:val="18"/>
              </w:rPr>
              <w:t>专柜、储存室</w:t>
            </w:r>
          </w:p>
        </w:tc>
        <w:tc>
          <w:tcPr>
            <w:tcW w:w="1336" w:type="dxa"/>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易燃、易爆危险化学品、氧化剂和有机过氧化物等危险化学品</w:t>
            </w:r>
          </w:p>
        </w:tc>
        <w:tc>
          <w:tcPr>
            <w:tcW w:w="326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宋体" w:eastAsia="宋体" w:cs="Times New Roman"/>
                <w:bCs/>
                <w:kern w:val="0"/>
                <w:sz w:val="18"/>
                <w:szCs w:val="18"/>
              </w:rPr>
            </w:pPr>
            <w:r>
              <w:rPr>
                <w:rFonts w:hint="eastAsia" w:ascii="Times New Roman" w:hAnsi="宋体" w:eastAsia="宋体" w:cs="Times New Roman"/>
                <w:bCs/>
                <w:kern w:val="0"/>
                <w:sz w:val="18"/>
                <w:szCs w:val="18"/>
              </w:rPr>
              <w:t>1</w:t>
            </w:r>
            <w:r>
              <w:rPr>
                <w:rFonts w:ascii="Times New Roman" w:hAnsi="宋体" w:eastAsia="宋体" w:cs="Times New Roman"/>
                <w:bCs/>
                <w:kern w:val="0"/>
                <w:sz w:val="18"/>
                <w:szCs w:val="18"/>
              </w:rPr>
              <w:t>.储存温度过高、储存场所潮湿、禁忌物料混存</w:t>
            </w:r>
            <w:r>
              <w:rPr>
                <w:rFonts w:hint="eastAsia" w:ascii="Times New Roman" w:hAnsi="宋体" w:eastAsia="宋体" w:cs="Times New Roman"/>
                <w:bCs/>
                <w:kern w:val="0"/>
                <w:sz w:val="18"/>
                <w:szCs w:val="18"/>
              </w:rPr>
              <w:t>、</w:t>
            </w:r>
            <w:r>
              <w:rPr>
                <w:rFonts w:ascii="Times New Roman" w:hAnsi="宋体" w:eastAsia="宋体" w:cs="Times New Roman"/>
                <w:bCs/>
                <w:kern w:val="0"/>
                <w:sz w:val="18"/>
                <w:szCs w:val="18"/>
              </w:rPr>
              <w:t>包装破损物料泄漏等可能引起</w:t>
            </w:r>
            <w:r>
              <w:rPr>
                <w:rFonts w:hint="eastAsia" w:ascii="Times New Roman" w:hAnsi="宋体" w:eastAsia="宋体" w:cs="Times New Roman"/>
                <w:bCs/>
                <w:kern w:val="0"/>
                <w:sz w:val="18"/>
                <w:szCs w:val="18"/>
              </w:rPr>
              <w:t>化学品</w:t>
            </w:r>
            <w:r>
              <w:rPr>
                <w:rFonts w:ascii="Times New Roman" w:hAnsi="宋体" w:eastAsia="宋体" w:cs="Times New Roman"/>
                <w:bCs/>
                <w:kern w:val="0"/>
                <w:sz w:val="18"/>
                <w:szCs w:val="18"/>
              </w:rPr>
              <w:t>火灾爆炸事故</w:t>
            </w:r>
            <w:r>
              <w:rPr>
                <w:rFonts w:hint="eastAsia" w:ascii="Times New Roman" w:hAnsi="宋体" w:eastAsia="宋体" w:cs="Times New Roman"/>
                <w:bCs/>
                <w:kern w:val="0"/>
                <w:sz w:val="18"/>
                <w:szCs w:val="18"/>
              </w:rPr>
              <w:t>。</w:t>
            </w:r>
          </w:p>
          <w:p>
            <w:pPr>
              <w:widowControl/>
              <w:adjustRightInd w:val="0"/>
              <w:snapToGrid w:val="0"/>
              <w:rPr>
                <w:rFonts w:ascii="Times New Roman" w:hAnsi="Times New Roman" w:eastAsia="宋体" w:cs="Times New Roman"/>
                <w:bCs/>
                <w:kern w:val="0"/>
                <w:sz w:val="18"/>
                <w:szCs w:val="18"/>
              </w:rPr>
            </w:pPr>
            <w:r>
              <w:rPr>
                <w:rFonts w:hint="eastAsia" w:ascii="Times New Roman" w:hAnsi="宋体" w:eastAsia="宋体" w:cs="Times New Roman"/>
                <w:bCs/>
                <w:kern w:val="0"/>
                <w:sz w:val="18"/>
                <w:szCs w:val="18"/>
              </w:rPr>
              <w:t>2</w:t>
            </w:r>
            <w:r>
              <w:rPr>
                <w:rFonts w:ascii="Times New Roman" w:hAnsi="宋体" w:eastAsia="宋体" w:cs="Times New Roman"/>
                <w:bCs/>
                <w:kern w:val="0"/>
                <w:sz w:val="18"/>
                <w:szCs w:val="18"/>
              </w:rPr>
              <w:t>.</w:t>
            </w:r>
            <w:r>
              <w:rPr>
                <w:rFonts w:hint="eastAsia" w:ascii="Times New Roman" w:hAnsi="宋体" w:eastAsia="宋体" w:cs="Times New Roman"/>
                <w:bCs/>
                <w:kern w:val="0"/>
                <w:sz w:val="18"/>
                <w:szCs w:val="18"/>
              </w:rPr>
              <w:t>有毒液体或气体</w:t>
            </w:r>
            <w:r>
              <w:rPr>
                <w:rFonts w:ascii="Times New Roman" w:hAnsi="宋体" w:eastAsia="宋体" w:cs="Times New Roman"/>
                <w:bCs/>
                <w:kern w:val="0"/>
                <w:sz w:val="18"/>
                <w:szCs w:val="18"/>
              </w:rPr>
              <w:t>泄漏可能引起人员中毒</w:t>
            </w:r>
            <w:r>
              <w:rPr>
                <w:rFonts w:hint="eastAsia" w:ascii="Times New Roman" w:hAnsi="宋体" w:eastAsia="宋体" w:cs="Times New Roman"/>
                <w:bCs/>
                <w:kern w:val="0"/>
                <w:sz w:val="18"/>
                <w:szCs w:val="18"/>
              </w:rPr>
              <w:t>。</w:t>
            </w:r>
          </w:p>
        </w:tc>
        <w:tc>
          <w:tcPr>
            <w:tcW w:w="9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环境影响</w:t>
            </w:r>
          </w:p>
        </w:tc>
        <w:tc>
          <w:tcPr>
            <w:tcW w:w="11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宋体" w:eastAsia="宋体" w:cs="Times New Roman"/>
                <w:bCs/>
                <w:kern w:val="0"/>
                <w:sz w:val="18"/>
                <w:szCs w:val="18"/>
              </w:rPr>
            </w:pPr>
            <w:r>
              <w:rPr>
                <w:rFonts w:ascii="Times New Roman" w:hAnsi="宋体" w:eastAsia="宋体" w:cs="Times New Roman"/>
                <w:bCs/>
                <w:kern w:val="0"/>
                <w:sz w:val="18"/>
                <w:szCs w:val="18"/>
              </w:rPr>
              <w:t>火灾</w:t>
            </w:r>
          </w:p>
          <w:p>
            <w:pPr>
              <w:widowControl/>
              <w:adjustRightInd w:val="0"/>
              <w:snapToGrid w:val="0"/>
              <w:rPr>
                <w:rFonts w:ascii="Times New Roman" w:hAnsi="宋体" w:eastAsia="宋体" w:cs="Times New Roman"/>
                <w:bCs/>
                <w:kern w:val="0"/>
                <w:sz w:val="18"/>
                <w:szCs w:val="18"/>
              </w:rPr>
            </w:pPr>
            <w:r>
              <w:rPr>
                <w:rFonts w:hint="eastAsia" w:ascii="Times New Roman" w:hAnsi="宋体" w:eastAsia="宋体" w:cs="Times New Roman"/>
                <w:bCs/>
                <w:kern w:val="0"/>
                <w:sz w:val="18"/>
                <w:szCs w:val="18"/>
              </w:rPr>
              <w:t>其它爆炸</w:t>
            </w:r>
          </w:p>
          <w:p>
            <w:pPr>
              <w:widowControl/>
              <w:adjustRightInd w:val="0"/>
              <w:snapToGrid w:val="0"/>
              <w:rPr>
                <w:rFonts w:ascii="Times New Roman" w:hAnsi="宋体" w:eastAsia="宋体" w:cs="Times New Roman"/>
                <w:bCs/>
                <w:kern w:val="0"/>
                <w:sz w:val="18"/>
                <w:szCs w:val="18"/>
              </w:rPr>
            </w:pPr>
            <w:r>
              <w:rPr>
                <w:rFonts w:hint="eastAsia" w:ascii="Times New Roman" w:hAnsi="宋体" w:eastAsia="宋体" w:cs="Times New Roman"/>
                <w:bCs/>
                <w:kern w:val="0"/>
                <w:sz w:val="18"/>
                <w:szCs w:val="18"/>
              </w:rPr>
              <w:t>中毒与窒息</w:t>
            </w:r>
          </w:p>
          <w:p>
            <w:pPr>
              <w:widowControl/>
              <w:adjustRightInd w:val="0"/>
              <w:snapToGrid w:val="0"/>
              <w:rPr>
                <w:rFonts w:ascii="Times New Roman" w:hAnsi="宋体" w:eastAsia="宋体" w:cs="Times New Roman"/>
                <w:bCs/>
                <w:kern w:val="0"/>
                <w:sz w:val="18"/>
                <w:szCs w:val="18"/>
              </w:rPr>
            </w:pPr>
            <w:r>
              <w:rPr>
                <w:rFonts w:hint="eastAsia" w:ascii="Times New Roman" w:hAnsi="宋体" w:eastAsia="宋体" w:cs="Times New Roman"/>
                <w:bCs/>
                <w:kern w:val="0"/>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18</w:t>
            </w:r>
          </w:p>
        </w:tc>
        <w:tc>
          <w:tcPr>
            <w:tcW w:w="1191" w:type="dxa"/>
            <w:vMerge w:val="continue"/>
            <w:tcBorders>
              <w:left w:val="single" w:color="auto" w:sz="4" w:space="0"/>
              <w:right w:val="single" w:color="auto" w:sz="4" w:space="0"/>
            </w:tcBorders>
            <w:vAlign w:val="center"/>
          </w:tcPr>
          <w:p>
            <w:pPr>
              <w:widowControl/>
              <w:adjustRightInd w:val="0"/>
              <w:snapToGrid w:val="0"/>
              <w:spacing w:line="240" w:lineRule="atLeast"/>
              <w:rPr>
                <w:rFonts w:ascii="Times New Roman" w:hAnsi="宋体" w:eastAsia="宋体" w:cs="Times New Roman"/>
                <w:sz w:val="18"/>
                <w:szCs w:val="18"/>
              </w:rPr>
            </w:pPr>
          </w:p>
        </w:tc>
        <w:tc>
          <w:tcPr>
            <w:tcW w:w="1336" w:type="dxa"/>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氰化物、砷化物等毒害品</w:t>
            </w:r>
          </w:p>
        </w:tc>
        <w:tc>
          <w:tcPr>
            <w:tcW w:w="326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宋体" w:eastAsia="宋体" w:cs="Times New Roman"/>
                <w:bCs/>
                <w:kern w:val="0"/>
                <w:sz w:val="18"/>
                <w:szCs w:val="18"/>
              </w:rPr>
            </w:pPr>
            <w:r>
              <w:rPr>
                <w:rFonts w:hint="eastAsia" w:ascii="Times New Roman" w:hAnsi="宋体" w:eastAsia="宋体" w:cs="Times New Roman"/>
                <w:bCs/>
                <w:kern w:val="0"/>
                <w:sz w:val="18"/>
                <w:szCs w:val="18"/>
              </w:rPr>
              <w:t>毒害品泄漏或挥发，可能引发人员中毒。</w:t>
            </w:r>
          </w:p>
        </w:tc>
        <w:tc>
          <w:tcPr>
            <w:tcW w:w="9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经济损失</w:t>
            </w:r>
          </w:p>
          <w:p>
            <w:pPr>
              <w:widowControl/>
              <w:adjustRightInd w:val="0"/>
              <w:snapToGrid w:val="0"/>
              <w:jc w:val="center"/>
              <w:rPr>
                <w:rFonts w:ascii="Times New Roman" w:hAnsi="宋体" w:eastAsia="宋体" w:cs="Times New Roman"/>
                <w:kern w:val="0"/>
                <w:sz w:val="18"/>
                <w:szCs w:val="18"/>
              </w:rPr>
            </w:pPr>
            <w:r>
              <w:rPr>
                <w:rFonts w:ascii="Times New Roman" w:hAnsi="宋体" w:eastAsia="宋体" w:cs="Times New Roman"/>
                <w:kern w:val="0"/>
                <w:sz w:val="18"/>
                <w:szCs w:val="18"/>
              </w:rPr>
              <w:t>环境影响</w:t>
            </w:r>
          </w:p>
        </w:tc>
        <w:tc>
          <w:tcPr>
            <w:tcW w:w="11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宋体" w:eastAsia="宋体" w:cs="Times New Roman"/>
                <w:bCs/>
                <w:kern w:val="0"/>
                <w:sz w:val="18"/>
                <w:szCs w:val="18"/>
              </w:rPr>
            </w:pPr>
            <w:r>
              <w:rPr>
                <w:rFonts w:hint="eastAsia" w:ascii="Times New Roman" w:hAnsi="宋体" w:eastAsia="宋体" w:cs="Times New Roman"/>
                <w:bCs/>
                <w:kern w:val="0"/>
                <w:sz w:val="18"/>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9</w:t>
            </w:r>
          </w:p>
        </w:tc>
        <w:tc>
          <w:tcPr>
            <w:tcW w:w="1191" w:type="dxa"/>
            <w:vMerge w:val="continue"/>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tcBorders>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强酸强碱等腐蚀性危险化学品</w:t>
            </w:r>
          </w:p>
        </w:tc>
        <w:tc>
          <w:tcPr>
            <w:tcW w:w="326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宋体" w:eastAsia="宋体" w:cs="Times New Roman"/>
                <w:bCs/>
                <w:kern w:val="0"/>
                <w:sz w:val="18"/>
                <w:szCs w:val="18"/>
              </w:rPr>
            </w:pPr>
            <w:r>
              <w:rPr>
                <w:rFonts w:ascii="Times New Roman" w:hAnsi="宋体" w:eastAsia="宋体" w:cs="Times New Roman"/>
                <w:bCs/>
                <w:kern w:val="0"/>
                <w:sz w:val="18"/>
                <w:szCs w:val="18"/>
              </w:rPr>
              <w:t>腐蚀性</w:t>
            </w:r>
            <w:r>
              <w:rPr>
                <w:rFonts w:hint="eastAsia" w:ascii="Times New Roman" w:hAnsi="宋体" w:eastAsia="宋体" w:cs="Times New Roman"/>
                <w:bCs/>
                <w:kern w:val="0"/>
                <w:sz w:val="18"/>
                <w:szCs w:val="18"/>
              </w:rPr>
              <w:t>危险化学品</w:t>
            </w:r>
            <w:r>
              <w:rPr>
                <w:rFonts w:ascii="Times New Roman" w:hAnsi="宋体" w:eastAsia="宋体" w:cs="Times New Roman"/>
                <w:bCs/>
                <w:kern w:val="0"/>
                <w:sz w:val="18"/>
                <w:szCs w:val="18"/>
              </w:rPr>
              <w:t>泄漏</w:t>
            </w:r>
            <w:r>
              <w:rPr>
                <w:rFonts w:hint="eastAsia" w:ascii="Times New Roman" w:hAnsi="宋体" w:eastAsia="宋体" w:cs="Times New Roman"/>
                <w:bCs/>
                <w:kern w:val="0"/>
                <w:sz w:val="18"/>
                <w:szCs w:val="18"/>
              </w:rPr>
              <w:t>，</w:t>
            </w:r>
            <w:r>
              <w:rPr>
                <w:rFonts w:ascii="Times New Roman" w:hAnsi="宋体" w:eastAsia="宋体" w:cs="Times New Roman"/>
                <w:bCs/>
                <w:kern w:val="0"/>
                <w:sz w:val="18"/>
                <w:szCs w:val="18"/>
              </w:rPr>
              <w:t>作业人员直接接触可能引起人员化学性灼伤事故</w:t>
            </w:r>
            <w:r>
              <w:rPr>
                <w:rFonts w:hint="eastAsia" w:ascii="Times New Roman" w:hAnsi="宋体" w:eastAsia="宋体" w:cs="Times New Roman"/>
                <w:bCs/>
                <w:kern w:val="0"/>
                <w:sz w:val="18"/>
                <w:szCs w:val="18"/>
              </w:rPr>
              <w:t>。</w:t>
            </w:r>
          </w:p>
        </w:tc>
        <w:tc>
          <w:tcPr>
            <w:tcW w:w="9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人员伤亡</w:t>
            </w:r>
          </w:p>
        </w:tc>
        <w:tc>
          <w:tcPr>
            <w:tcW w:w="118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Times New Roman" w:eastAsia="宋体" w:cs="Times New Roman"/>
                <w:bCs/>
                <w:kern w:val="0"/>
                <w:sz w:val="18"/>
                <w:szCs w:val="18"/>
              </w:rPr>
            </w:pP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bCs/>
                <w:kern w:val="0"/>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20</w:t>
            </w:r>
          </w:p>
        </w:tc>
        <w:tc>
          <w:tcPr>
            <w:tcW w:w="1191"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储罐</w:t>
            </w:r>
            <w:r>
              <w:rPr>
                <w:rFonts w:hint="eastAsia" w:ascii="Times New Roman" w:hAnsi="Times New Roman" w:eastAsia="宋体" w:cs="Times New Roman"/>
                <w:sz w:val="18"/>
                <w:szCs w:val="18"/>
              </w:rPr>
              <w:t>区</w:t>
            </w:r>
          </w:p>
        </w:tc>
        <w:tc>
          <w:tcPr>
            <w:tcW w:w="1336"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化学品</w:t>
            </w:r>
            <w:r>
              <w:rPr>
                <w:rFonts w:ascii="Times New Roman" w:hAnsi="Times New Roman" w:eastAsia="宋体" w:cs="Times New Roman"/>
                <w:sz w:val="18"/>
                <w:szCs w:val="18"/>
              </w:rPr>
              <w:t>储罐</w:t>
            </w:r>
          </w:p>
        </w:tc>
        <w:tc>
          <w:tcPr>
            <w:tcW w:w="3264"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rPr>
                <w:rFonts w:ascii="Times New Roman" w:hAnsi="宋体" w:eastAsia="宋体" w:cs="Times New Roman"/>
                <w:sz w:val="18"/>
                <w:szCs w:val="18"/>
              </w:rPr>
            </w:pPr>
            <w:r>
              <w:rPr>
                <w:rFonts w:hint="eastAsia" w:ascii="Times New Roman" w:hAnsi="宋体" w:eastAsia="宋体" w:cs="Times New Roman"/>
                <w:sz w:val="18"/>
                <w:szCs w:val="18"/>
              </w:rPr>
              <w:t>1</w:t>
            </w:r>
            <w:r>
              <w:rPr>
                <w:rFonts w:ascii="Times New Roman" w:hAnsi="宋体" w:eastAsia="宋体" w:cs="Times New Roman"/>
                <w:sz w:val="18"/>
                <w:szCs w:val="18"/>
              </w:rPr>
              <w:t>.易燃易爆危险化学品罐发生泄漏，遇火源可导致火灾爆炸事故</w:t>
            </w:r>
            <w:r>
              <w:rPr>
                <w:rFonts w:hint="eastAsia" w:ascii="Times New Roman" w:hAnsi="宋体" w:eastAsia="宋体" w:cs="Times New Roman"/>
                <w:sz w:val="18"/>
                <w:szCs w:val="18"/>
              </w:rPr>
              <w:t>。</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ascii="Times New Roman" w:hAnsi="宋体" w:eastAsia="宋体" w:cs="Times New Roman"/>
                <w:sz w:val="18"/>
                <w:szCs w:val="18"/>
              </w:rPr>
              <w:t>有毒有害危险化学品罐发生泄漏，人员大量吸入可能导致中毒窒息事故</w:t>
            </w:r>
            <w:r>
              <w:rPr>
                <w:rFonts w:hint="eastAsia" w:ascii="Times New Roman" w:hAnsi="宋体" w:eastAsia="宋体" w:cs="Times New Roman"/>
                <w:sz w:val="18"/>
                <w:szCs w:val="18"/>
              </w:rPr>
              <w:t>。</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.储罐内物料充装过量，罐内压力过高，可能导致容器爆炸事故。</w:t>
            </w:r>
          </w:p>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.储罐的安全附件失效，造成显示和安全泄放装置失灵，可能导致容器爆炸事故。</w:t>
            </w:r>
          </w:p>
        </w:tc>
        <w:tc>
          <w:tcPr>
            <w:tcW w:w="990"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宋体" w:eastAsia="宋体" w:cs="Times New Roman"/>
                <w:kern w:val="0"/>
                <w:sz w:val="18"/>
                <w:szCs w:val="18"/>
              </w:rPr>
              <w:t>环境影响</w:t>
            </w:r>
          </w:p>
        </w:tc>
        <w:tc>
          <w:tcPr>
            <w:tcW w:w="11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rPr>
                <w:rFonts w:ascii="Times New Roman" w:hAnsi="宋体" w:eastAsia="宋体" w:cs="Times New Roman"/>
                <w:sz w:val="18"/>
                <w:szCs w:val="18"/>
              </w:rPr>
            </w:pPr>
            <w:r>
              <w:rPr>
                <w:rFonts w:ascii="Times New Roman" w:hAnsi="宋体" w:eastAsia="宋体" w:cs="Times New Roman"/>
                <w:sz w:val="18"/>
                <w:szCs w:val="18"/>
              </w:rPr>
              <w:t>火灾</w:t>
            </w:r>
          </w:p>
          <w:p>
            <w:pPr>
              <w:autoSpaceDE w:val="0"/>
              <w:autoSpaceDN w:val="0"/>
              <w:adjustRightInd w:val="0"/>
              <w:snapToGrid w:val="0"/>
              <w:rPr>
                <w:rFonts w:ascii="Times New Roman" w:hAnsi="宋体" w:eastAsia="宋体" w:cs="Times New Roman"/>
                <w:sz w:val="18"/>
                <w:szCs w:val="18"/>
              </w:rPr>
            </w:pPr>
            <w:r>
              <w:rPr>
                <w:rFonts w:ascii="Times New Roman" w:hAnsi="宋体"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宋体" w:eastAsia="宋体" w:cs="Times New Roman"/>
                <w:sz w:val="18"/>
                <w:szCs w:val="18"/>
              </w:rPr>
              <w:t>中毒和窒息</w:t>
            </w:r>
          </w:p>
          <w:p>
            <w:pPr>
              <w:autoSpaceDE w:val="0"/>
              <w:autoSpaceDN w:val="0"/>
              <w:adjustRightInd w:val="0"/>
              <w:snapToGrid w:val="0"/>
              <w:rPr>
                <w:rFonts w:ascii="Times New Roman" w:hAnsi="Times New Roman" w:eastAsia="宋体" w:cs="Times New Roman"/>
                <w:sz w:val="18"/>
                <w:szCs w:val="18"/>
              </w:rPr>
            </w:pPr>
            <w:r>
              <w:rPr>
                <w:rFonts w:ascii="Times New Roman" w:hAnsi="宋体" w:eastAsia="宋体" w:cs="Times New Roman"/>
                <w:sz w:val="18"/>
                <w:szCs w:val="18"/>
              </w:rPr>
              <w:t>容器爆炸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21</w:t>
            </w:r>
          </w:p>
        </w:tc>
        <w:tc>
          <w:tcPr>
            <w:tcW w:w="1191"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气瓶间或气瓶使用部位</w:t>
            </w:r>
          </w:p>
        </w:tc>
        <w:tc>
          <w:tcPr>
            <w:tcW w:w="1336" w:type="dxa"/>
            <w:tcBorders>
              <w:top w:val="single" w:color="auto" w:sz="4" w:space="0"/>
              <w:left w:val="single" w:color="auto" w:sz="4" w:space="0"/>
              <w:right w:val="single" w:color="auto" w:sz="4" w:space="0"/>
            </w:tcBorders>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压缩气体和液化气体</w:t>
            </w:r>
            <w:r>
              <w:rPr>
                <w:rFonts w:ascii="Times New Roman" w:hAnsi="Times New Roman" w:eastAsia="宋体" w:cs="Times New Roman"/>
                <w:sz w:val="18"/>
                <w:szCs w:val="18"/>
              </w:rPr>
              <w:t>气瓶</w:t>
            </w:r>
          </w:p>
        </w:tc>
        <w:tc>
          <w:tcPr>
            <w:tcW w:w="3264"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bCs/>
                <w:kern w:val="0"/>
                <w:sz w:val="18"/>
                <w:szCs w:val="18"/>
              </w:rPr>
              <w:t>气瓶受热撞击或强烈震动，可能导致容器破裂，物质泄漏，遇火源可能导致火灾、爆炸、中毒窒息事故。</w:t>
            </w:r>
          </w:p>
        </w:tc>
        <w:tc>
          <w:tcPr>
            <w:tcW w:w="990"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宋体" w:eastAsia="宋体" w:cs="Times New Roman"/>
                <w:kern w:val="0"/>
                <w:sz w:val="18"/>
                <w:szCs w:val="18"/>
              </w:rPr>
              <w:t>环境影响</w:t>
            </w:r>
          </w:p>
        </w:tc>
        <w:tc>
          <w:tcPr>
            <w:tcW w:w="1185" w:type="dxa"/>
            <w:tcBorders>
              <w:top w:val="single" w:color="auto" w:sz="4" w:space="0"/>
              <w:left w:val="single" w:color="auto" w:sz="4" w:space="0"/>
              <w:bottom w:val="single" w:color="auto" w:sz="4" w:space="0"/>
              <w:right w:val="single" w:color="auto" w:sz="4" w:space="0"/>
            </w:tcBorders>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9"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22</w:t>
            </w:r>
          </w:p>
        </w:tc>
        <w:tc>
          <w:tcPr>
            <w:tcW w:w="1191"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宋体" w:eastAsia="宋体" w:cs="Times New Roman"/>
                <w:bCs/>
                <w:kern w:val="0"/>
                <w:sz w:val="18"/>
                <w:szCs w:val="18"/>
              </w:rPr>
              <w:t>化验室</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危险化学品</w:t>
            </w:r>
          </w:p>
        </w:tc>
        <w:tc>
          <w:tcPr>
            <w:tcW w:w="3264" w:type="dxa"/>
            <w:vAlign w:val="center"/>
          </w:tcPr>
          <w:p>
            <w:pPr>
              <w:autoSpaceDE w:val="0"/>
              <w:autoSpaceDN w:val="0"/>
              <w:adjustRightInd w:val="0"/>
              <w:snapToGrid w:val="0"/>
              <w:rPr>
                <w:rFonts w:ascii="Times New Roman" w:hAnsi="宋体" w:eastAsia="宋体" w:cs="Times New Roman"/>
                <w:bCs/>
                <w:kern w:val="0"/>
                <w:sz w:val="18"/>
                <w:szCs w:val="18"/>
              </w:rPr>
            </w:pPr>
            <w:r>
              <w:rPr>
                <w:rFonts w:hint="eastAsia" w:ascii="Times New Roman" w:hAnsi="宋体" w:eastAsia="宋体" w:cs="Times New Roman"/>
                <w:bCs/>
                <w:kern w:val="0"/>
                <w:sz w:val="18"/>
                <w:szCs w:val="18"/>
              </w:rPr>
              <w:t>1</w:t>
            </w:r>
            <w:r>
              <w:rPr>
                <w:rFonts w:ascii="Times New Roman" w:hAnsi="宋体" w:eastAsia="宋体" w:cs="Times New Roman"/>
                <w:bCs/>
                <w:kern w:val="0"/>
                <w:sz w:val="18"/>
                <w:szCs w:val="18"/>
              </w:rPr>
              <w:t>.化验室使用的易燃易爆物质泄漏或包装破损，可能导致火灾爆炸事故</w:t>
            </w:r>
            <w:r>
              <w:rPr>
                <w:rFonts w:hint="eastAsia" w:ascii="Times New Roman" w:hAnsi="宋体" w:eastAsia="宋体" w:cs="Times New Roman"/>
                <w:bCs/>
                <w:kern w:val="0"/>
                <w:sz w:val="18"/>
                <w:szCs w:val="18"/>
              </w:rPr>
              <w:t>。</w:t>
            </w:r>
          </w:p>
          <w:p>
            <w:pPr>
              <w:autoSpaceDE w:val="0"/>
              <w:autoSpaceDN w:val="0"/>
              <w:adjustRightInd w:val="0"/>
              <w:snapToGrid w:val="0"/>
              <w:rPr>
                <w:rFonts w:ascii="Times New Roman" w:hAnsi="宋体" w:eastAsia="宋体" w:cs="Times New Roman"/>
                <w:sz w:val="18"/>
                <w:szCs w:val="18"/>
              </w:rPr>
            </w:pPr>
            <w:r>
              <w:rPr>
                <w:rFonts w:hint="eastAsia" w:ascii="Times New Roman" w:hAnsi="宋体" w:eastAsia="宋体" w:cs="Times New Roman"/>
                <w:sz w:val="18"/>
                <w:szCs w:val="18"/>
              </w:rPr>
              <w:t>2</w:t>
            </w:r>
            <w:r>
              <w:rPr>
                <w:rFonts w:ascii="Times New Roman" w:hAnsi="宋体" w:eastAsia="宋体" w:cs="Times New Roman"/>
                <w:sz w:val="18"/>
                <w:szCs w:val="18"/>
              </w:rPr>
              <w:t>.化验室使用的有毒物质泄漏或包装破损，可能导致中毒事故</w:t>
            </w:r>
            <w:r>
              <w:rPr>
                <w:rFonts w:hint="eastAsia" w:ascii="Times New Roman" w:hAnsi="宋体" w:eastAsia="宋体" w:cs="Times New Roman"/>
                <w:sz w:val="18"/>
                <w:szCs w:val="18"/>
              </w:rPr>
              <w:t>。</w:t>
            </w:r>
          </w:p>
          <w:p>
            <w:pPr>
              <w:adjustRightInd w:val="0"/>
              <w:snapToGrid w:val="0"/>
              <w:rPr>
                <w:rFonts w:ascii="Times New Roman" w:hAnsi="宋体" w:eastAsia="宋体" w:cs="Times New Roman"/>
                <w:bCs/>
                <w:kern w:val="0"/>
                <w:sz w:val="18"/>
                <w:szCs w:val="18"/>
              </w:rPr>
            </w:pPr>
            <w:r>
              <w:rPr>
                <w:rFonts w:hint="eastAsia" w:ascii="Times New Roman" w:hAnsi="宋体" w:eastAsia="宋体" w:cs="Times New Roman"/>
                <w:sz w:val="18"/>
                <w:szCs w:val="18"/>
              </w:rPr>
              <w:t>3</w:t>
            </w:r>
            <w:r>
              <w:rPr>
                <w:rFonts w:ascii="Times New Roman" w:hAnsi="宋体" w:eastAsia="宋体" w:cs="Times New Roman"/>
                <w:sz w:val="18"/>
                <w:szCs w:val="18"/>
              </w:rPr>
              <w:t>.化验室使用的</w:t>
            </w:r>
            <w:r>
              <w:rPr>
                <w:rFonts w:ascii="Times New Roman" w:hAnsi="宋体" w:eastAsia="宋体" w:cs="Times New Roman"/>
                <w:bCs/>
                <w:kern w:val="0"/>
                <w:sz w:val="18"/>
                <w:szCs w:val="18"/>
              </w:rPr>
              <w:t>腐蚀性物质泄漏或包装破损</w:t>
            </w:r>
            <w:r>
              <w:rPr>
                <w:rFonts w:hint="eastAsia" w:ascii="Times New Roman" w:hAnsi="宋体" w:eastAsia="宋体" w:cs="Times New Roman"/>
                <w:bCs/>
                <w:kern w:val="0"/>
                <w:sz w:val="18"/>
                <w:szCs w:val="18"/>
              </w:rPr>
              <w:t>，</w:t>
            </w:r>
            <w:r>
              <w:rPr>
                <w:rFonts w:ascii="Times New Roman" w:hAnsi="宋体" w:eastAsia="宋体" w:cs="Times New Roman"/>
                <w:bCs/>
                <w:kern w:val="0"/>
                <w:sz w:val="18"/>
                <w:szCs w:val="18"/>
              </w:rPr>
              <w:t>作业人员直接接触可能引起人员化学性灼伤事故</w:t>
            </w:r>
            <w:r>
              <w:rPr>
                <w:rFonts w:hint="eastAsia" w:ascii="Times New Roman" w:hAnsi="宋体" w:eastAsia="宋体" w:cs="Times New Roman"/>
                <w:bCs/>
                <w:kern w:val="0"/>
                <w:sz w:val="18"/>
                <w:szCs w:val="18"/>
              </w:rPr>
              <w:t>。</w:t>
            </w:r>
          </w:p>
        </w:tc>
        <w:tc>
          <w:tcPr>
            <w:tcW w:w="990"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宋体"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宋体" w:eastAsia="宋体" w:cs="Times New Roman"/>
                <w:kern w:val="0"/>
                <w:sz w:val="18"/>
                <w:szCs w:val="18"/>
              </w:rPr>
              <w:t>环境影响</w:t>
            </w:r>
          </w:p>
        </w:tc>
        <w:tc>
          <w:tcPr>
            <w:tcW w:w="1185" w:type="dxa"/>
            <w:vAlign w:val="center"/>
          </w:tcPr>
          <w:p>
            <w:pPr>
              <w:autoSpaceDE w:val="0"/>
              <w:autoSpaceDN w:val="0"/>
              <w:adjustRightInd w:val="0"/>
              <w:snapToGrid w:val="0"/>
              <w:rPr>
                <w:rFonts w:ascii="Times New Roman" w:hAnsi="宋体" w:eastAsia="宋体" w:cs="Times New Roman"/>
                <w:sz w:val="18"/>
                <w:szCs w:val="18"/>
              </w:rPr>
            </w:pPr>
            <w:r>
              <w:rPr>
                <w:rFonts w:ascii="Times New Roman" w:hAnsi="宋体" w:eastAsia="宋体" w:cs="Times New Roman"/>
                <w:sz w:val="18"/>
                <w:szCs w:val="18"/>
              </w:rPr>
              <w:t>火灾</w:t>
            </w:r>
          </w:p>
          <w:p>
            <w:pPr>
              <w:autoSpaceDE w:val="0"/>
              <w:autoSpaceDN w:val="0"/>
              <w:adjustRightInd w:val="0"/>
              <w:snapToGrid w:val="0"/>
              <w:rPr>
                <w:rFonts w:ascii="Times New Roman" w:hAnsi="宋体" w:eastAsia="宋体" w:cs="Times New Roman"/>
                <w:sz w:val="18"/>
                <w:szCs w:val="18"/>
              </w:rPr>
            </w:pPr>
            <w:r>
              <w:rPr>
                <w:rFonts w:ascii="Times New Roman" w:hAnsi="宋体" w:eastAsia="宋体" w:cs="Times New Roman"/>
                <w:sz w:val="18"/>
                <w:szCs w:val="18"/>
              </w:rPr>
              <w:t>其它爆炸</w:t>
            </w:r>
          </w:p>
          <w:p>
            <w:pPr>
              <w:autoSpaceDE w:val="0"/>
              <w:autoSpaceDN w:val="0"/>
              <w:adjustRightInd w:val="0"/>
              <w:snapToGrid w:val="0"/>
              <w:rPr>
                <w:rFonts w:ascii="Times New Roman" w:hAnsi="宋体" w:eastAsia="宋体" w:cs="Times New Roman"/>
                <w:sz w:val="18"/>
                <w:szCs w:val="18"/>
              </w:rPr>
            </w:pPr>
            <w:r>
              <w:rPr>
                <w:rFonts w:ascii="Times New Roman" w:hAnsi="宋体" w:eastAsia="宋体" w:cs="Times New Roman"/>
                <w:sz w:val="18"/>
                <w:szCs w:val="18"/>
              </w:rPr>
              <w:t>中毒和窒息</w:t>
            </w:r>
          </w:p>
          <w:p>
            <w:pPr>
              <w:autoSpaceDE w:val="0"/>
              <w:autoSpaceDN w:val="0"/>
              <w:adjustRightInd w:val="0"/>
              <w:snapToGrid w:val="0"/>
              <w:rPr>
                <w:rFonts w:ascii="Times New Roman" w:hAnsi="宋体" w:eastAsia="宋体" w:cs="Times New Roman"/>
                <w:sz w:val="18"/>
                <w:szCs w:val="18"/>
              </w:rPr>
            </w:pPr>
            <w:r>
              <w:rPr>
                <w:rFonts w:hint="eastAsia" w:ascii="Times New Roman" w:hAnsi="宋体"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23</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大功率电器设备</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电炉、高温炉、烘箱</w:t>
            </w:r>
            <w:r>
              <w:rPr>
                <w:rFonts w:hint="eastAsia" w:ascii="Times New Roman" w:hAnsi="Times New Roman" w:eastAsia="宋体" w:cs="Times New Roman"/>
                <w:sz w:val="18"/>
                <w:szCs w:val="18"/>
              </w:rPr>
              <w:t>、</w:t>
            </w:r>
            <w:r>
              <w:rPr>
                <w:rFonts w:ascii="Times New Roman" w:hAnsi="Times New Roman" w:eastAsia="宋体" w:cs="Times New Roman"/>
                <w:sz w:val="18"/>
                <w:szCs w:val="18"/>
              </w:rPr>
              <w:t>马弗炉等设备产生高温</w:t>
            </w:r>
            <w:r>
              <w:rPr>
                <w:rFonts w:hint="eastAsia" w:ascii="Times New Roman" w:hAnsi="Times New Roman" w:eastAsia="宋体" w:cs="Times New Roman"/>
                <w:sz w:val="18"/>
                <w:szCs w:val="18"/>
              </w:rPr>
              <w:t>，</w:t>
            </w:r>
            <w:r>
              <w:rPr>
                <w:rFonts w:ascii="Times New Roman" w:hAnsi="Times New Roman" w:eastAsia="宋体" w:cs="Times New Roman"/>
                <w:sz w:val="18"/>
                <w:szCs w:val="18"/>
              </w:rPr>
              <w:t>可能引起灼烫事故；高温可能引燃周边可燃物，</w:t>
            </w:r>
            <w:r>
              <w:rPr>
                <w:rFonts w:hint="eastAsia" w:ascii="Times New Roman" w:hAnsi="Times New Roman" w:eastAsia="宋体" w:cs="Times New Roman"/>
                <w:sz w:val="18"/>
                <w:szCs w:val="18"/>
              </w:rPr>
              <w:t>导致</w:t>
            </w:r>
            <w:r>
              <w:rPr>
                <w:rFonts w:ascii="Times New Roman" w:hAnsi="Times New Roman" w:eastAsia="宋体" w:cs="Times New Roman"/>
                <w:sz w:val="18"/>
                <w:szCs w:val="18"/>
              </w:rPr>
              <w:t>火灾。</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24</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气相色谱分析室</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气相色谱仪氢气发生器</w:t>
            </w:r>
            <w:r>
              <w:rPr>
                <w:rFonts w:hint="eastAsia" w:ascii="Times New Roman" w:hAnsi="Times New Roman" w:eastAsia="宋体" w:cs="Times New Roman"/>
                <w:sz w:val="18"/>
                <w:szCs w:val="18"/>
              </w:rPr>
              <w:t>、压缩氢气钢瓶</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氢气泄漏，与空气混合达到爆炸范围，</w:t>
            </w:r>
            <w:r>
              <w:rPr>
                <w:rFonts w:hint="eastAsia" w:ascii="Times New Roman" w:hAnsi="宋体" w:eastAsia="宋体" w:cs="Times New Roman"/>
                <w:bCs/>
                <w:kern w:val="0"/>
                <w:sz w:val="18"/>
                <w:szCs w:val="18"/>
              </w:rPr>
              <w:t>遇到静电火花、电气火花、明火等，可能引发火灾爆炸。</w:t>
            </w:r>
          </w:p>
        </w:tc>
        <w:tc>
          <w:tcPr>
            <w:tcW w:w="990" w:type="dxa"/>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25</w:t>
            </w:r>
          </w:p>
        </w:tc>
        <w:tc>
          <w:tcPr>
            <w:tcW w:w="1191" w:type="dxa"/>
            <w:vMerge w:val="restar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锅炉房</w:t>
            </w: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锅炉房的燃气调压间、油泵间及燃气锅炉间</w:t>
            </w:r>
          </w:p>
        </w:tc>
        <w:tc>
          <w:tcPr>
            <w:tcW w:w="3264"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.锅炉房内可燃物、燃料等物质，遇火源可能导致火灾、爆炸事故。</w:t>
            </w:r>
          </w:p>
          <w:p>
            <w:pPr>
              <w:widowControl/>
              <w:adjustRightInd w:val="0"/>
              <w:snapToGrid w:val="0"/>
              <w:rPr>
                <w:rFonts w:ascii="Times New Roman" w:hAnsi="Times New Roman" w:eastAsia="宋体" w:cs="Times New Roman"/>
                <w:bCs/>
                <w:kern w:val="0"/>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.锅炉房内可燃物、燃料等物质，发生泄漏，人员大量吸入可导致中毒窒息等事故。</w:t>
            </w:r>
          </w:p>
        </w:tc>
        <w:tc>
          <w:tcPr>
            <w:tcW w:w="990" w:type="dxa"/>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widowControl/>
              <w:adjustRightInd w:val="0"/>
              <w:snapToGrid w:val="0"/>
              <w:jc w:val="center"/>
              <w:rPr>
                <w:rFonts w:ascii="Times New Roman" w:hAnsi="Times New Roman" w:eastAsia="宋体" w:cs="Times New Roman"/>
                <w:bCs/>
                <w:kern w:val="0"/>
                <w:sz w:val="18"/>
                <w:szCs w:val="18"/>
              </w:rPr>
            </w:pPr>
            <w:r>
              <w:rPr>
                <w:rFonts w:ascii="Times New Roman" w:hAnsi="Times New Roman" w:eastAsia="宋体" w:cs="Times New Roman"/>
                <w:sz w:val="18"/>
                <w:szCs w:val="18"/>
              </w:rPr>
              <w:t>环境影响</w:t>
            </w:r>
          </w:p>
        </w:tc>
        <w:tc>
          <w:tcPr>
            <w:tcW w:w="1185"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中毒与窒息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26</w:t>
            </w:r>
          </w:p>
        </w:tc>
        <w:tc>
          <w:tcPr>
            <w:tcW w:w="1191" w:type="dxa"/>
            <w:vMerge w:val="continue"/>
            <w:vAlign w:val="center"/>
          </w:tcPr>
          <w:p>
            <w:pPr>
              <w:adjustRightInd w:val="0"/>
              <w:snapToGrid w:val="0"/>
              <w:rPr>
                <w:rFonts w:ascii="Times New Roman" w:hAnsi="Times New Roman" w:eastAsia="宋体" w:cs="Times New Roman"/>
                <w:sz w:val="18"/>
                <w:szCs w:val="18"/>
              </w:rPr>
            </w:pP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w:t>
            </w:r>
          </w:p>
        </w:tc>
        <w:tc>
          <w:tcPr>
            <w:tcW w:w="3264" w:type="dxa"/>
            <w:vAlign w:val="center"/>
          </w:tcPr>
          <w:p>
            <w:pPr>
              <w:widowControl/>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锅炉本身存在缺陷；出气阀被堵死，锅炉仍在运行；超载运行；操作人员的失误和仪表的失灵而造成超载；缺水运行；腐蚀失效；水垢未及时清除；锅炉到期未检验，安全附件失效；炉膛内燃气泄漏；司炉人员无证操作或脱岗等原因易造成锅炉爆炸。</w:t>
            </w:r>
          </w:p>
        </w:tc>
        <w:tc>
          <w:tcPr>
            <w:tcW w:w="990"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85" w:type="dxa"/>
            <w:vAlign w:val="center"/>
          </w:tcPr>
          <w:p>
            <w:pPr>
              <w:autoSpaceDE w:val="0"/>
              <w:autoSpaceDN w:val="0"/>
              <w:adjustRightInd w:val="0"/>
              <w:snapToGrid w:val="0"/>
              <w:rPr>
                <w:rFonts w:ascii="Times New Roman" w:hAnsi="Times New Roman" w:eastAsia="宋体" w:cs="Times New Roman"/>
                <w:kern w:val="0"/>
                <w:sz w:val="18"/>
                <w:szCs w:val="18"/>
              </w:rPr>
            </w:pPr>
            <w:r>
              <w:rPr>
                <w:rFonts w:ascii="Times New Roman" w:hAnsi="Times New Roman" w:eastAsia="宋体" w:cs="Times New Roman"/>
                <w:kern w:val="0"/>
                <w:sz w:val="18"/>
                <w:szCs w:val="18"/>
              </w:rPr>
              <w:t>锅炉爆炸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27</w:t>
            </w:r>
          </w:p>
        </w:tc>
        <w:tc>
          <w:tcPr>
            <w:tcW w:w="1191" w:type="dxa"/>
            <w:vMerge w:val="continue"/>
            <w:vAlign w:val="center"/>
          </w:tcPr>
          <w:p>
            <w:pPr>
              <w:adjustRightInd w:val="0"/>
              <w:snapToGrid w:val="0"/>
              <w:rPr>
                <w:rFonts w:ascii="Times New Roman" w:hAnsi="Times New Roman" w:eastAsia="宋体" w:cs="Times New Roman"/>
                <w:sz w:val="18"/>
                <w:szCs w:val="18"/>
              </w:rPr>
            </w:pPr>
          </w:p>
        </w:tc>
        <w:tc>
          <w:tcPr>
            <w:tcW w:w="1336"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锅炉及</w:t>
            </w:r>
            <w:r>
              <w:rPr>
                <w:rFonts w:ascii="Times New Roman" w:hAnsi="Times New Roman" w:eastAsia="宋体" w:cs="Times New Roman"/>
                <w:sz w:val="18"/>
                <w:szCs w:val="18"/>
              </w:rPr>
              <w:t>管道的高温表面和高温热水和蒸汽</w:t>
            </w:r>
          </w:p>
        </w:tc>
        <w:tc>
          <w:tcPr>
            <w:tcW w:w="3264"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锅炉及其管道的高温表面和高温介质，可能导致灼烫事故。</w:t>
            </w:r>
          </w:p>
        </w:tc>
        <w:tc>
          <w:tcPr>
            <w:tcW w:w="990"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5"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9"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28</w:t>
            </w:r>
          </w:p>
        </w:tc>
        <w:tc>
          <w:tcPr>
            <w:tcW w:w="1191"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变配电室</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电压互感器</w:t>
            </w:r>
            <w:r>
              <w:rPr>
                <w:rFonts w:hint="eastAsia" w:ascii="Times New Roman" w:hAnsi="Times New Roman" w:eastAsia="宋体" w:cs="Times New Roman"/>
                <w:sz w:val="18"/>
                <w:szCs w:val="18"/>
              </w:rPr>
              <w:t>、</w:t>
            </w:r>
            <w:r>
              <w:rPr>
                <w:rFonts w:ascii="Times New Roman" w:hAnsi="Times New Roman" w:eastAsia="宋体" w:cs="Times New Roman"/>
                <w:sz w:val="18"/>
                <w:szCs w:val="18"/>
              </w:rPr>
              <w:t>电流互感器</w:t>
            </w:r>
            <w:r>
              <w:rPr>
                <w:rFonts w:hint="eastAsia" w:ascii="Times New Roman" w:hAnsi="Times New Roman" w:eastAsia="宋体" w:cs="Times New Roman"/>
                <w:sz w:val="18"/>
                <w:szCs w:val="18"/>
              </w:rPr>
              <w:t>、</w:t>
            </w:r>
            <w:r>
              <w:rPr>
                <w:rFonts w:ascii="Times New Roman" w:hAnsi="Times New Roman" w:eastAsia="宋体" w:cs="Times New Roman"/>
                <w:sz w:val="18"/>
                <w:szCs w:val="18"/>
              </w:rPr>
              <w:t>变压器</w:t>
            </w:r>
            <w:r>
              <w:rPr>
                <w:rFonts w:hint="eastAsia" w:ascii="Times New Roman" w:hAnsi="Times New Roman" w:eastAsia="宋体" w:cs="Times New Roman"/>
                <w:sz w:val="18"/>
                <w:szCs w:val="18"/>
              </w:rPr>
              <w:t>、断路器、</w:t>
            </w:r>
            <w:r>
              <w:rPr>
                <w:rFonts w:ascii="Times New Roman" w:hAnsi="Times New Roman" w:eastAsia="宋体" w:cs="Times New Roman"/>
                <w:sz w:val="18"/>
                <w:szCs w:val="18"/>
              </w:rPr>
              <w:t>电缆线路</w:t>
            </w:r>
            <w:r>
              <w:rPr>
                <w:rFonts w:hint="eastAsia" w:ascii="Times New Roman" w:hAnsi="Times New Roman" w:eastAsia="宋体" w:cs="Times New Roman"/>
                <w:sz w:val="18"/>
                <w:szCs w:val="18"/>
              </w:rPr>
              <w:t>等</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.因长期过负荷或设备自身的短路故障，以及连接端接触不良时</w:t>
            </w:r>
            <w:r>
              <w:rPr>
                <w:rFonts w:hint="eastAsia" w:ascii="Times New Roman" w:hAnsi="Times New Roman" w:eastAsia="宋体" w:cs="Times New Roman"/>
                <w:sz w:val="18"/>
                <w:szCs w:val="18"/>
              </w:rPr>
              <w:t>等引发</w:t>
            </w:r>
            <w:r>
              <w:rPr>
                <w:rFonts w:ascii="Times New Roman" w:hAnsi="Times New Roman" w:eastAsia="宋体" w:cs="Times New Roman"/>
                <w:sz w:val="18"/>
                <w:szCs w:val="18"/>
              </w:rPr>
              <w:t>电器火灾事故。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在操作、检修时由于电气设备故障或操作不当引起触电事故。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29</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挡鼠板、进线沟洞</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高低压配电室门口挡鼠板缺失或配电室的进线沟洞等不密封，配电室房屋结构不能阻挡小动物（鼠、猫、鸟、蛇等）进入措施而发生小动物触电造成短路，引发电气火灾。</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30</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配电箱（柜）及附近区域</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配电箱（柜）</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.电气元、配件质量不好，绝缘性能不合格，接线不规范，接线端子接线松驰，线型选择过细，引起电气元件或端子接头发热打火引燃可燃物质发生火灾。</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.箱（柜）内可能存在带电部位裸露在外，人员接触，可能导致触电事故。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31</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电器设备</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电器设备、电子广告牌等用电器具</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.电器设备使用、检修作业时，作业人员接触电流，导致触电事故。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.电器设备使用中发生过载、短路、导致温度过高，引发火灾事故。</w:t>
            </w:r>
          </w:p>
        </w:tc>
        <w:tc>
          <w:tcPr>
            <w:tcW w:w="990"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32</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电梯使用场所</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电梯</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电梯由于故障、控制系统缺陷等可能导致人员坠落、机械伤害。</w:t>
            </w:r>
          </w:p>
        </w:tc>
        <w:tc>
          <w:tcPr>
            <w:tcW w:w="990"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高处坠落</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机械伤害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33</w:t>
            </w:r>
          </w:p>
        </w:tc>
        <w:tc>
          <w:tcPr>
            <w:tcW w:w="1191"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叉车使用场所</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叉车</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叉运超高、超宽、超重货物；被叉物料不平稳，物料倾斜滑落；货物高度妨碍行驶视线；货叉起降速度过快或断裂；爆胎等，可能导致车辆伤害事故。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4</w:t>
            </w:r>
          </w:p>
        </w:tc>
        <w:tc>
          <w:tcPr>
            <w:tcW w:w="1191"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场内道路</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机动车辆</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场内机动车辆备在行驶、操作中由于碰撞、辗轧、刮擦、造成翻车、坠车及与行人发生碰撞等事故，引发人员伤亡或造成经济损失。</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5</w:t>
            </w:r>
          </w:p>
        </w:tc>
        <w:tc>
          <w:tcPr>
            <w:tcW w:w="1191"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充电区域</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车辆充电区</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1.厂内电动车辆充电产生高温，可能引燃周边可燃物，导致火灾事故。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2.充电过程中释放的氢气遇火源可能导致火灾、爆炸事故。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6</w:t>
            </w:r>
          </w:p>
        </w:tc>
        <w:tc>
          <w:tcPr>
            <w:tcW w:w="1191"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制冷机房</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液氨储罐、压缩机等</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1.</w:t>
            </w:r>
            <w:r>
              <w:rPr>
                <w:rFonts w:hint="eastAsia" w:ascii="Times New Roman" w:hAnsi="Times New Roman" w:eastAsia="宋体" w:cs="Times New Roman"/>
                <w:sz w:val="18"/>
                <w:szCs w:val="18"/>
              </w:rPr>
              <w:t>液氨储罐存在缺陷；安全阀、压力表、液位计等安全装置、安全附件缺失或失效；冷却装置发生故障，安全泄压装置失效等，可能导致液氨储罐发生物理爆炸。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管道法兰、仪表、阀门密封不良；未设置气体浓度报警装置或气体浓度报警装置失效；电气未采用防爆型，罐体未静电接地，管道法兰未静电跨接等，可能造成火灾、爆炸或中毒窒息。</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7</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冷凝器、空冷器、冷却器</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冷凝器等的承压部件</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.冷凝器内压力过高，可能导致容器爆炸事故。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 冷凝器使用中发生泄漏，可能导致火灾爆炸</w:t>
            </w:r>
            <w:r>
              <w:rPr>
                <w:rFonts w:hint="eastAsia" w:ascii="Times New Roman" w:hAnsi="Times New Roman" w:eastAsia="宋体" w:cs="Times New Roman"/>
                <w:sz w:val="18"/>
                <w:szCs w:val="18"/>
              </w:rPr>
              <w:t>。</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 空冷器等设备设施的高温部分，引燃周边可燃物，可能导致火灾事故。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容器爆炸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8</w:t>
            </w:r>
          </w:p>
        </w:tc>
        <w:tc>
          <w:tcPr>
            <w:tcW w:w="1191"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冷库</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冷库</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液氨管线超压破裂造成液氨泄漏，进而引发人员中毒。</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冷库保护装置失效或缺失，导致不能从内部打开，可能导致冻伤。</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其他伤害（冻伤）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9</w:t>
            </w:r>
          </w:p>
        </w:tc>
        <w:tc>
          <w:tcPr>
            <w:tcW w:w="1191" w:type="dxa"/>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快速冷冻装置</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液氨管线</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液氨管线超压破裂造成液氨泄漏，进而引发人员中毒。</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0</w:t>
            </w:r>
          </w:p>
        </w:tc>
        <w:tc>
          <w:tcPr>
            <w:tcW w:w="1191" w:type="dxa"/>
            <w:vMerge w:val="restart"/>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厨房</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24"/>
              </w:rPr>
              <w:t>天然气、储气瓶煤气等</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24"/>
              </w:rPr>
              <w:t>使用天然气、煤气等气体泄漏，遇火源、高温可能导致火灾、爆炸、中毒窒息等事故。</w:t>
            </w:r>
          </w:p>
        </w:tc>
        <w:tc>
          <w:tcPr>
            <w:tcW w:w="990"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容器爆炸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1</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可燃物（食用油、酒精类等）</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厨房使用油、可燃物等物质，遇火源可能导致火灾等事故。</w:t>
            </w:r>
          </w:p>
        </w:tc>
        <w:tc>
          <w:tcPr>
            <w:tcW w:w="990"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2</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排油烟管道</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厨房内排油管道内、排烟口、净化器等设备内油污因高温或油锅操作不当可能导致起火。</w:t>
            </w:r>
          </w:p>
        </w:tc>
        <w:tc>
          <w:tcPr>
            <w:tcW w:w="990"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3</w:t>
            </w:r>
          </w:p>
        </w:tc>
        <w:tc>
          <w:tcPr>
            <w:tcW w:w="1191" w:type="dxa"/>
            <w:vMerge w:val="continue"/>
            <w:vAlign w:val="center"/>
          </w:tcPr>
          <w:p>
            <w:pPr>
              <w:widowControl/>
              <w:adjustRightInd w:val="0"/>
              <w:snapToGrid w:val="0"/>
              <w:spacing w:line="240" w:lineRule="atLeast"/>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烤箱、烤炉等大功率设备</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设备长时间运行而电器元件发热高温可能导致及烫伤或火灾。</w:t>
            </w:r>
          </w:p>
        </w:tc>
        <w:tc>
          <w:tcPr>
            <w:tcW w:w="990"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4</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员工宿舍</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电气设备及线路</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违规使用电热毯、电暖气等大功率用电设备，过载可能引发火灾或触电。</w:t>
            </w:r>
          </w:p>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私拉电气线路由于漏电、短路、过负荷等原因，产生电火花、高温、电弧等可能引发周边易燃可燃物发生火灾。私拉电气线路由于绝缘失效或损坏，对接触人员造成触电。</w:t>
            </w:r>
          </w:p>
        </w:tc>
        <w:tc>
          <w:tcPr>
            <w:tcW w:w="990" w:type="dxa"/>
            <w:vAlign w:val="center"/>
          </w:tcPr>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widowControl/>
              <w:adjustRightInd w:val="0"/>
              <w:snapToGrid w:val="0"/>
              <w:spacing w:line="240" w:lineRule="atLeast"/>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5</w:t>
            </w:r>
          </w:p>
        </w:tc>
        <w:tc>
          <w:tcPr>
            <w:tcW w:w="1191" w:type="dxa"/>
            <w:vMerge w:val="restart"/>
            <w:vAlign w:val="center"/>
          </w:tcPr>
          <w:p>
            <w:pPr>
              <w:widowControl/>
              <w:adjustRightInd w:val="0"/>
              <w:snapToGrid w:val="0"/>
              <w:rPr>
                <w:rFonts w:ascii="Times New Roman" w:hAnsi="Times New Roman" w:eastAsia="宋体" w:cs="Times New Roman"/>
                <w:sz w:val="18"/>
                <w:szCs w:val="18"/>
              </w:rPr>
            </w:pPr>
            <w:r>
              <w:rPr>
                <w:rFonts w:hint="eastAsia" w:ascii="Times New Roman" w:hAnsi="Times New Roman" w:eastAsia="宋体" w:cs="Times New Roman"/>
                <w:sz w:val="18"/>
                <w:szCs w:val="18"/>
              </w:rPr>
              <w:t>污水处理站</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污水处理场所</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污水处理过程中产生硫化氢、甲烷、一氧化碳、氯气等气体容易引起专业人员中毒、窒息等人员伤亡事故。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水泵、电器等设备电源绝缘部位漏电可能导致作业人员触电。</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6</w:t>
            </w:r>
          </w:p>
        </w:tc>
        <w:tc>
          <w:tcPr>
            <w:tcW w:w="1191" w:type="dxa"/>
            <w:vMerge w:val="continue"/>
            <w:vAlign w:val="center"/>
          </w:tcPr>
          <w:p>
            <w:pPr>
              <w:widowControl/>
              <w:adjustRightInd w:val="0"/>
              <w:snapToGrid w:val="0"/>
              <w:rPr>
                <w:rFonts w:ascii="Times New Roman" w:hAnsi="Times New Roman" w:eastAsia="宋体" w:cs="Times New Roman"/>
                <w:sz w:val="18"/>
                <w:szCs w:val="18"/>
              </w:rPr>
            </w:pP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澄清池、过滤池</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bCs/>
                <w:kern w:val="0"/>
                <w:sz w:val="18"/>
                <w:szCs w:val="18"/>
              </w:rPr>
              <w:t>人员掉入池中导致淹溺。</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7</w:t>
            </w:r>
          </w:p>
        </w:tc>
        <w:tc>
          <w:tcPr>
            <w:tcW w:w="1191" w:type="dxa"/>
            <w:vMerge w:val="restart"/>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厂区临时用电作业</w:t>
            </w: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临时用电设备及电缆</w:t>
            </w:r>
          </w:p>
        </w:tc>
        <w:tc>
          <w:tcPr>
            <w:tcW w:w="3264"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临时用电存在带电部位裸露，可能导致触电事故。</w:t>
            </w:r>
          </w:p>
        </w:tc>
        <w:tc>
          <w:tcPr>
            <w:tcW w:w="990" w:type="dxa"/>
            <w:vAlign w:val="center"/>
          </w:tcPr>
          <w:p>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tc>
        <w:tc>
          <w:tcPr>
            <w:tcW w:w="1185" w:type="dxa"/>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8</w:t>
            </w:r>
          </w:p>
        </w:tc>
        <w:tc>
          <w:tcPr>
            <w:tcW w:w="1191" w:type="dxa"/>
            <w:vMerge w:val="continue"/>
            <w:vAlign w:val="center"/>
          </w:tcPr>
          <w:p>
            <w:pPr>
              <w:widowControl/>
              <w:adjustRightInd w:val="0"/>
              <w:snapToGrid w:val="0"/>
              <w:rPr>
                <w:rFonts w:ascii="Times New Roman" w:hAnsi="Times New Roman" w:eastAsia="宋体" w:cs="Times New Roman"/>
                <w:sz w:val="18"/>
                <w:szCs w:val="18"/>
              </w:rPr>
            </w:pP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厂区临时用电作业</w:t>
            </w:r>
          </w:p>
        </w:tc>
        <w:tc>
          <w:tcPr>
            <w:tcW w:w="3264"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临时用电线路产生的火花引燃周边的油品以及可燃物，导致火灾爆炸事故。</w:t>
            </w:r>
          </w:p>
        </w:tc>
        <w:tc>
          <w:tcPr>
            <w:tcW w:w="990" w:type="dxa"/>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sz w:val="18"/>
                <w:szCs w:val="18"/>
              </w:rPr>
              <w:t>环境影响</w:t>
            </w:r>
          </w:p>
        </w:tc>
        <w:tc>
          <w:tcPr>
            <w:tcW w:w="1185" w:type="dxa"/>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spacing w:line="240" w:lineRule="atLeast"/>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9</w:t>
            </w:r>
          </w:p>
        </w:tc>
        <w:tc>
          <w:tcPr>
            <w:tcW w:w="1191"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w:t>
            </w: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动火作业部位及周边区域存在易燃易爆危险化学品区域</w:t>
            </w:r>
          </w:p>
        </w:tc>
        <w:tc>
          <w:tcPr>
            <w:tcW w:w="3264"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厂区动火作业部位、附近区域存在可燃物，遇火源可能导致火灾、爆炸等事故。</w:t>
            </w:r>
          </w:p>
        </w:tc>
        <w:tc>
          <w:tcPr>
            <w:tcW w:w="990"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环境影响</w:t>
            </w:r>
          </w:p>
        </w:tc>
        <w:tc>
          <w:tcPr>
            <w:tcW w:w="1185" w:type="dxa"/>
            <w:vAlign w:val="center"/>
          </w:tcPr>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其它爆炸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0</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动土作业部位及周边区域设施</w:t>
            </w:r>
            <w:r>
              <w:rPr>
                <w:rFonts w:hint="eastAsia" w:ascii="Times New Roman" w:hAnsi="Times New Roman" w:eastAsia="宋体" w:cs="Times New Roman"/>
                <w:sz w:val="18"/>
                <w:szCs w:val="18"/>
              </w:rPr>
              <w:t>、作业环境、深基坑</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.动土作业部位及周边区域设施内的易燃易爆物质，遇火源可能导致火灾、爆炸事故。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.动土作业部位及周边区域设施内的有毒物质，泄漏后可能导致中毒事故。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.在动土作业时，发生支撑不牢靠，或地下和地面水渗入作业区，可能导致作业区坍塌事故。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.动土作业现场高差大于2m时，人员可能坠入坑内，导致高处坠落事故。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环境影响</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1</w:t>
            </w:r>
          </w:p>
        </w:tc>
        <w:tc>
          <w:tcPr>
            <w:tcW w:w="1191"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受限空间作业</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废水池、内罐、仓、槽车、管道、隧道、沟、坑、井、池、涵洞、下水管道等封闭、半封闭的设施及场所</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.人员进入受限空间作业时，可能氧气不足，导致中毒窒息事故。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 在作业场地狭小、作业人员精力不集中、防护措施不当或夜间照明不足时，也可能会发生碰、挤、擦、刮等其它伤害。</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w:t>
            </w:r>
            <w:r>
              <w:rPr>
                <w:rFonts w:ascii="Times New Roman" w:hAnsi="Times New Roman" w:eastAsia="宋体" w:cs="Times New Roman"/>
                <w:kern w:val="0"/>
                <w:sz w:val="18"/>
                <w:szCs w:val="18"/>
              </w:rPr>
              <w:t xml:space="preserve"> 受限空间作业</w:t>
            </w:r>
            <w:r>
              <w:rPr>
                <w:rFonts w:ascii="Times New Roman" w:hAnsi="Times New Roman" w:eastAsia="宋体" w:cs="Times New Roman"/>
                <w:sz w:val="18"/>
                <w:szCs w:val="18"/>
              </w:rPr>
              <w:t>部位存在可燃物、易燃易爆危险化学品，遇火源可能导致火灾、爆炸、中毒窒息等事故。</w:t>
            </w:r>
          </w:p>
          <w:p>
            <w:pPr>
              <w:widowControl/>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4</w:t>
            </w:r>
            <w:r>
              <w:rPr>
                <w:rFonts w:ascii="Times New Roman" w:hAnsi="Times New Roman" w:eastAsia="宋体" w:cs="Times New Roman"/>
                <w:sz w:val="18"/>
                <w:szCs w:val="18"/>
              </w:rPr>
              <w:t>. 进入高温受限空间作业，可能导致高温灼伤事故。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其它爆炸</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灼烫</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其它伤害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2</w:t>
            </w:r>
          </w:p>
        </w:tc>
        <w:tc>
          <w:tcPr>
            <w:tcW w:w="1191"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高处作业</w:t>
            </w:r>
          </w:p>
        </w:tc>
        <w:tc>
          <w:tcPr>
            <w:tcW w:w="1336"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高处作业时的工具</w:t>
            </w:r>
            <w:r>
              <w:rPr>
                <w:rFonts w:hint="eastAsia" w:ascii="Times New Roman" w:hAnsi="Times New Roman" w:eastAsia="宋体" w:cs="Times New Roman"/>
                <w:sz w:val="18"/>
                <w:szCs w:val="18"/>
              </w:rPr>
              <w:t>、</w:t>
            </w:r>
            <w:r>
              <w:rPr>
                <w:rFonts w:ascii="Times New Roman" w:hAnsi="Times New Roman" w:eastAsia="宋体" w:cs="Times New Roman"/>
                <w:sz w:val="18"/>
                <w:szCs w:val="18"/>
              </w:rPr>
              <w:t>物体</w:t>
            </w:r>
            <w:r>
              <w:rPr>
                <w:rFonts w:hint="eastAsia" w:ascii="Times New Roman" w:hAnsi="Times New Roman" w:eastAsia="宋体" w:cs="Times New Roman"/>
                <w:sz w:val="18"/>
                <w:szCs w:val="18"/>
              </w:rPr>
              <w:t>以及</w:t>
            </w:r>
            <w:r>
              <w:rPr>
                <w:rFonts w:ascii="Times New Roman" w:hAnsi="Times New Roman" w:eastAsia="宋体" w:cs="Times New Roman"/>
                <w:sz w:val="18"/>
                <w:szCs w:val="18"/>
              </w:rPr>
              <w:t>登高工具、脚手架</w:t>
            </w:r>
          </w:p>
        </w:tc>
        <w:tc>
          <w:tcPr>
            <w:tcW w:w="3264"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.高处作业时，使用的工具、零件等物品发生坠落，可能会对下部人员或设备造成物体打击。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.在高于2 m的作业平台、脚手架进行操作、检修等高处作业时，可能导致</w:t>
            </w:r>
            <w:r>
              <w:rPr>
                <w:rFonts w:hint="eastAsia" w:ascii="Times New Roman" w:hAnsi="Times New Roman" w:eastAsia="宋体" w:cs="Times New Roman"/>
                <w:sz w:val="18"/>
                <w:szCs w:val="18"/>
              </w:rPr>
              <w:t>高处</w:t>
            </w:r>
            <w:r>
              <w:rPr>
                <w:rFonts w:ascii="Times New Roman" w:hAnsi="Times New Roman" w:eastAsia="宋体" w:cs="Times New Roman"/>
                <w:sz w:val="18"/>
                <w:szCs w:val="18"/>
              </w:rPr>
              <w:t>坠落事故。</w:t>
            </w:r>
          </w:p>
          <w:p>
            <w:pPr>
              <w:autoSpaceDE w:val="0"/>
              <w:autoSpaceDN w:val="0"/>
              <w:adjustRightInd w:val="0"/>
              <w:snapToGrid w:val="0"/>
              <w:spacing w:line="240" w:lineRule="atLeast"/>
              <w:rPr>
                <w:rFonts w:ascii="Times New Roman" w:hAnsi="Times New Roman" w:eastAsia="宋体" w:cs="Times New Roman"/>
                <w:sz w:val="18"/>
                <w:szCs w:val="18"/>
              </w:rPr>
            </w:pPr>
            <w:r>
              <w:rPr>
                <w:rFonts w:hint="eastAsia" w:ascii="Times New Roman" w:hAnsi="Times New Roman" w:eastAsia="宋体" w:cs="Times New Roman"/>
                <w:sz w:val="18"/>
                <w:szCs w:val="18"/>
              </w:rPr>
              <w:t>3</w:t>
            </w:r>
            <w:r>
              <w:rPr>
                <w:rFonts w:ascii="Times New Roman" w:hAnsi="Times New Roman" w:eastAsia="宋体" w:cs="Times New Roman"/>
                <w:sz w:val="18"/>
                <w:szCs w:val="18"/>
              </w:rPr>
              <w:t>.在高处作业时，使用的脚手架、跳板存在问题，可能导致坍塌事故。</w:t>
            </w:r>
          </w:p>
        </w:tc>
        <w:tc>
          <w:tcPr>
            <w:tcW w:w="990"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kern w:val="0"/>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物体打击</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高处坠落</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3</w:t>
            </w:r>
          </w:p>
        </w:tc>
        <w:tc>
          <w:tcPr>
            <w:tcW w:w="1191" w:type="dxa"/>
            <w:vMerge w:val="restart"/>
            <w:vAlign w:val="center"/>
          </w:tcPr>
          <w:p>
            <w:pPr>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起吊作业及周边区域</w:t>
            </w: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起重机械自身及其移动和旋转部位在起吊过程中，发生整体失稳倾翻、吊具、钢丝绳损坏、移动部位碰撞他人，可能导致起重伤害事故。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4</w:t>
            </w:r>
          </w:p>
        </w:tc>
        <w:tc>
          <w:tcPr>
            <w:tcW w:w="1191" w:type="dxa"/>
            <w:vMerge w:val="continue"/>
            <w:vAlign w:val="center"/>
          </w:tcPr>
          <w:p>
            <w:pPr>
              <w:adjustRightInd w:val="0"/>
              <w:snapToGrid w:val="0"/>
              <w:rPr>
                <w:rFonts w:ascii="Times New Roman" w:hAnsi="Times New Roman" w:eastAsia="宋体" w:cs="Times New Roman"/>
                <w:sz w:val="18"/>
                <w:szCs w:val="18"/>
              </w:rPr>
            </w:pP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带电部位</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起重机械吊装过程触碰高处物体，或吊起物品坠落碰撞危险物品，可能导致危险物品泄漏，造成火灾爆炸事故。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火灾</w:t>
            </w:r>
          </w:p>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其他爆炸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5</w:t>
            </w:r>
          </w:p>
        </w:tc>
        <w:tc>
          <w:tcPr>
            <w:tcW w:w="1191" w:type="dxa"/>
            <w:vMerge w:val="continue"/>
            <w:vAlign w:val="center"/>
          </w:tcPr>
          <w:p>
            <w:pPr>
              <w:adjustRightInd w:val="0"/>
              <w:snapToGrid w:val="0"/>
              <w:rPr>
                <w:rFonts w:ascii="Times New Roman" w:hAnsi="Times New Roman" w:eastAsia="宋体" w:cs="Times New Roman"/>
                <w:sz w:val="18"/>
                <w:szCs w:val="18"/>
              </w:rPr>
            </w:pP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吊装物品</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起重机械吊装的重物坠落、挤压、撞击他人或司机，可能导致起重伤害事故。</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556" w:type="dxa"/>
            <w:vAlign w:val="center"/>
          </w:tcPr>
          <w:p>
            <w:pPr>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r>
              <w:rPr>
                <w:rFonts w:ascii="Times New Roman" w:hAnsi="Times New Roman" w:eastAsia="宋体" w:cs="Times New Roman"/>
                <w:sz w:val="18"/>
                <w:szCs w:val="18"/>
              </w:rPr>
              <w:t>6</w:t>
            </w:r>
          </w:p>
        </w:tc>
        <w:tc>
          <w:tcPr>
            <w:tcW w:w="1191" w:type="dxa"/>
            <w:vMerge w:val="continue"/>
            <w:vAlign w:val="center"/>
          </w:tcPr>
          <w:p>
            <w:pPr>
              <w:widowControl/>
              <w:adjustRightInd w:val="0"/>
              <w:snapToGrid w:val="0"/>
              <w:rPr>
                <w:rFonts w:ascii="Times New Roman" w:hAnsi="Times New Roman" w:eastAsia="宋体" w:cs="Times New Roman"/>
                <w:sz w:val="18"/>
                <w:szCs w:val="18"/>
              </w:rPr>
            </w:pPr>
          </w:p>
        </w:tc>
        <w:tc>
          <w:tcPr>
            <w:tcW w:w="1336" w:type="dxa"/>
            <w:vAlign w:val="center"/>
          </w:tcPr>
          <w:p>
            <w:pPr>
              <w:widowControl/>
              <w:adjustRightInd w:val="0"/>
              <w:snapToGrid w:val="0"/>
              <w:rPr>
                <w:rFonts w:ascii="Times New Roman" w:hAnsi="Times New Roman" w:eastAsia="宋体" w:cs="Times New Roman"/>
                <w:sz w:val="18"/>
                <w:szCs w:val="18"/>
              </w:rPr>
            </w:pPr>
            <w:r>
              <w:rPr>
                <w:rFonts w:ascii="Times New Roman" w:hAnsi="Times New Roman" w:eastAsia="宋体" w:cs="Times New Roman"/>
                <w:sz w:val="18"/>
                <w:szCs w:val="18"/>
              </w:rPr>
              <w:t>带电设备、电线</w:t>
            </w:r>
          </w:p>
        </w:tc>
        <w:tc>
          <w:tcPr>
            <w:tcW w:w="3264" w:type="dxa"/>
            <w:vAlign w:val="center"/>
          </w:tcPr>
          <w:p>
            <w:pPr>
              <w:widowControl/>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起重机械操作人员与电器设备接触，或起重机械吊装时触碰电线，可能导致司机或他人触电。</w:t>
            </w:r>
          </w:p>
        </w:tc>
        <w:tc>
          <w:tcPr>
            <w:tcW w:w="990" w:type="dxa"/>
            <w:vAlign w:val="center"/>
          </w:tcPr>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autoSpaceDE w:val="0"/>
              <w:autoSpaceDN w:val="0"/>
              <w:adjustRightInd w:val="0"/>
              <w:snapToGrid w:val="0"/>
              <w:spacing w:line="240" w:lineRule="atLeast"/>
              <w:jc w:val="center"/>
              <w:rPr>
                <w:rFonts w:ascii="Times New Roman" w:hAnsi="Times New Roman" w:eastAsia="宋体" w:cs="Times New Roman"/>
                <w:sz w:val="18"/>
                <w:szCs w:val="18"/>
              </w:rPr>
            </w:pPr>
            <w:r>
              <w:rPr>
                <w:rFonts w:ascii="Times New Roman" w:hAnsi="Times New Roman" w:eastAsia="宋体" w:cs="Times New Roman"/>
                <w:sz w:val="18"/>
                <w:szCs w:val="18"/>
              </w:rPr>
              <w:t>经济损失</w:t>
            </w:r>
          </w:p>
        </w:tc>
        <w:tc>
          <w:tcPr>
            <w:tcW w:w="1185" w:type="dxa"/>
            <w:vAlign w:val="center"/>
          </w:tcPr>
          <w:p>
            <w:pPr>
              <w:autoSpaceDE w:val="0"/>
              <w:autoSpaceDN w:val="0"/>
              <w:adjustRightInd w:val="0"/>
              <w:snapToGrid w:val="0"/>
              <w:spacing w:line="240" w:lineRule="atLeast"/>
              <w:rPr>
                <w:rFonts w:ascii="Times New Roman" w:hAnsi="Times New Roman" w:eastAsia="宋体" w:cs="Times New Roman"/>
                <w:sz w:val="18"/>
                <w:szCs w:val="18"/>
              </w:rPr>
            </w:pPr>
            <w:r>
              <w:rPr>
                <w:rFonts w:ascii="Times New Roman" w:hAnsi="Times New Roman" w:eastAsia="宋体" w:cs="Times New Roman"/>
                <w:sz w:val="18"/>
                <w:szCs w:val="18"/>
              </w:rPr>
              <w:t>触电</w:t>
            </w:r>
          </w:p>
        </w:tc>
      </w:tr>
    </w:tbl>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pPr>
    </w:p>
    <w:p>
      <w:pPr>
        <w:rPr>
          <w:rFonts w:ascii="Times New Roman" w:hAnsi="Times New Roman" w:eastAsia="宋体" w:cs="Times New Roman"/>
          <w:szCs w:val="24"/>
        </w:rPr>
        <w:sectPr>
          <w:pgSz w:w="11906" w:h="16838"/>
          <w:pgMar w:top="1440" w:right="1800" w:bottom="1440" w:left="1800" w:header="851" w:footer="992" w:gutter="0"/>
          <w:cols w:space="425" w:num="1"/>
          <w:docGrid w:linePitch="312" w:charSpace="0"/>
        </w:sectPr>
      </w:pPr>
    </w:p>
    <w:p>
      <w:pPr>
        <w:keepNext/>
        <w:keepLines/>
        <w:spacing w:line="480" w:lineRule="auto"/>
        <w:outlineLvl w:val="0"/>
        <w:rPr>
          <w:rFonts w:ascii="Times New Roman" w:hAnsi="Times New Roman" w:eastAsia="宋体" w:cs="Times New Roman"/>
          <w:szCs w:val="24"/>
        </w:rPr>
      </w:pPr>
      <w:r>
        <w:rPr>
          <w:rFonts w:hint="eastAsia" w:ascii="Times New Roman" w:hAnsi="Times New Roman" w:eastAsia="宋体" w:cs="Times New Roman"/>
          <w:b/>
          <w:bCs/>
          <w:kern w:val="44"/>
          <w:sz w:val="24"/>
          <w:szCs w:val="24"/>
        </w:rPr>
        <w:t>六、烟花爆竹经营企业安全风险辨识建议清单</w:t>
      </w:r>
    </w:p>
    <w:tbl>
      <w:tblPr>
        <w:tblStyle w:val="40"/>
        <w:tblW w:w="871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851"/>
        <w:gridCol w:w="1562"/>
        <w:gridCol w:w="3282"/>
        <w:gridCol w:w="1181"/>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blHeader/>
          <w:jc w:val="center"/>
        </w:trPr>
        <w:tc>
          <w:tcPr>
            <w:tcW w:w="709" w:type="dxa"/>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序号</w:t>
            </w:r>
          </w:p>
        </w:tc>
        <w:tc>
          <w:tcPr>
            <w:tcW w:w="851" w:type="dxa"/>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场所/位置</w:t>
            </w:r>
          </w:p>
        </w:tc>
        <w:tc>
          <w:tcPr>
            <w:tcW w:w="1562" w:type="dxa"/>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风险源</w:t>
            </w:r>
          </w:p>
        </w:tc>
        <w:tc>
          <w:tcPr>
            <w:tcW w:w="3282" w:type="dxa"/>
            <w:vAlign w:val="center"/>
          </w:tcPr>
          <w:p>
            <w:pPr>
              <w:widowControl/>
              <w:adjustRightInd w:val="0"/>
              <w:snapToGrid w:val="0"/>
              <w:jc w:val="center"/>
              <w:rPr>
                <w:rFonts w:ascii="Times New Roman" w:hAnsi="Times New Roman" w:eastAsia="宋体" w:cs="Times New Roman"/>
                <w:b/>
                <w:bCs/>
                <w:kern w:val="0"/>
                <w:sz w:val="18"/>
                <w:szCs w:val="18"/>
              </w:rPr>
            </w:pPr>
            <w:r>
              <w:rPr>
                <w:rFonts w:ascii="Times New Roman" w:hAnsi="Times New Roman" w:eastAsia="宋体" w:cs="Times New Roman"/>
                <w:b/>
                <w:bCs/>
                <w:kern w:val="0"/>
                <w:sz w:val="18"/>
                <w:szCs w:val="18"/>
              </w:rPr>
              <w:t>风险描述示意</w:t>
            </w:r>
          </w:p>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bCs/>
                <w:kern w:val="0"/>
                <w:sz w:val="18"/>
                <w:szCs w:val="18"/>
              </w:rPr>
              <w:t>（仅供参考）</w:t>
            </w:r>
          </w:p>
        </w:tc>
        <w:tc>
          <w:tcPr>
            <w:tcW w:w="1181" w:type="dxa"/>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可能造成的后果</w:t>
            </w:r>
          </w:p>
        </w:tc>
        <w:tc>
          <w:tcPr>
            <w:tcW w:w="1134" w:type="dxa"/>
            <w:vAlign w:val="center"/>
          </w:tcPr>
          <w:p>
            <w:pPr>
              <w:widowControl/>
              <w:adjustRightInd w:val="0"/>
              <w:snapToGrid w:val="0"/>
              <w:jc w:val="center"/>
              <w:rPr>
                <w:rFonts w:ascii="Times New Roman" w:hAnsi="Times New Roman" w:eastAsia="宋体" w:cs="Times New Roman"/>
                <w:b/>
                <w:sz w:val="18"/>
                <w:szCs w:val="18"/>
              </w:rPr>
            </w:pPr>
            <w:r>
              <w:rPr>
                <w:rFonts w:ascii="Times New Roman" w:hAnsi="Times New Roman" w:eastAsia="宋体" w:cs="Times New Roman"/>
                <w:b/>
                <w:sz w:val="18"/>
                <w:szCs w:val="18"/>
              </w:rPr>
              <w:t>风险类型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p>
        </w:tc>
        <w:tc>
          <w:tcPr>
            <w:tcW w:w="851" w:type="dxa"/>
            <w:vMerge w:val="restart"/>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零售</w:t>
            </w:r>
            <w:r>
              <w:rPr>
                <w:rFonts w:hint="eastAsia" w:ascii="Times New Roman" w:hAnsi="Times New Roman" w:eastAsia="宋体" w:cs="Times New Roman"/>
                <w:sz w:val="18"/>
                <w:szCs w:val="18"/>
              </w:rPr>
              <w:t>点</w:t>
            </w: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烟花爆竹</w:t>
            </w:r>
          </w:p>
        </w:tc>
        <w:tc>
          <w:tcPr>
            <w:tcW w:w="3282" w:type="dxa"/>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存储中受潮或者高温，存在外来火源，成品受到摩擦，雷击等，可能引发火灾爆炸事故；</w:t>
            </w:r>
          </w:p>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燃烧释放有毒气体或致氧气耗尽，造成人员中毒窒息事故。</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3</w:t>
            </w:r>
            <w:r>
              <w:rPr>
                <w:rFonts w:hint="eastAsia" w:ascii="Times New Roman" w:hAnsi="Times New Roman" w:eastAsia="宋体" w:cs="Times New Roman"/>
                <w:sz w:val="18"/>
                <w:szCs w:val="18"/>
              </w:rPr>
              <w:t>.烟花爆竹产品摆放的位置和高度与配电箱、灯具、开关、插座、语音对讲装置的距离不符合规定的要求。</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4</w:t>
            </w:r>
            <w:r>
              <w:rPr>
                <w:rFonts w:hint="eastAsia" w:ascii="Times New Roman" w:hAnsi="Times New Roman" w:eastAsia="宋体" w:cs="Times New Roman"/>
                <w:sz w:val="18"/>
                <w:szCs w:val="18"/>
              </w:rPr>
              <w:t>.烟花爆竹产品未按规定堆垛，堆垛过高、下层包装箱被压坏、防潮板不牢固等造成跌落、撞击。</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5</w:t>
            </w:r>
            <w:r>
              <w:rPr>
                <w:rFonts w:hint="eastAsia" w:ascii="Times New Roman" w:hAnsi="Times New Roman" w:eastAsia="宋体" w:cs="Times New Roman"/>
                <w:sz w:val="18"/>
                <w:szCs w:val="18"/>
              </w:rPr>
              <w:t>.烟花爆竹产品装卸、搬运作业过程，未严格遵守作业规程，车辆未熄火或戴防火帽，发生碰撞、拖拉、抛摔、翻滚、摩擦。</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6</w:t>
            </w:r>
            <w:r>
              <w:rPr>
                <w:rFonts w:hint="eastAsia" w:ascii="Times New Roman" w:hAnsi="Times New Roman" w:eastAsia="宋体" w:cs="Times New Roman"/>
                <w:sz w:val="18"/>
                <w:szCs w:val="18"/>
              </w:rPr>
              <w:t>.</w:t>
            </w:r>
            <w:r>
              <w:rPr>
                <w:rFonts w:hint="eastAsia" w:ascii="Times New Roman" w:hAnsi="Times New Roman" w:eastAsia="宋体" w:cs="Times New Roman"/>
                <w:szCs w:val="24"/>
              </w:rPr>
              <w:t xml:space="preserve"> </w:t>
            </w:r>
            <w:r>
              <w:rPr>
                <w:rFonts w:hint="eastAsia" w:ascii="Times New Roman" w:hAnsi="Times New Roman" w:eastAsia="宋体" w:cs="Times New Roman"/>
                <w:sz w:val="18"/>
                <w:szCs w:val="18"/>
              </w:rPr>
              <w:t>未配置灭火器，不能及时扑灭初始火灾。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7</w:t>
            </w:r>
            <w:r>
              <w:rPr>
                <w:rFonts w:hint="eastAsia" w:ascii="Times New Roman" w:hAnsi="Times New Roman" w:eastAsia="宋体" w:cs="Times New Roman"/>
                <w:sz w:val="18"/>
                <w:szCs w:val="18"/>
              </w:rPr>
              <w:t>.存放箱数超过定量可能扩大燃烧危害。</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8</w:t>
            </w:r>
            <w:r>
              <w:rPr>
                <w:rFonts w:hint="eastAsia" w:ascii="Times New Roman" w:hAnsi="Times New Roman" w:eastAsia="宋体" w:cs="Times New Roman"/>
                <w:sz w:val="18"/>
                <w:szCs w:val="18"/>
              </w:rPr>
              <w:t>.零售店面与其周边目标的防火间距不足，可能扩大燃烧危害。</w:t>
            </w:r>
          </w:p>
        </w:tc>
        <w:tc>
          <w:tcPr>
            <w:tcW w:w="1181" w:type="dxa"/>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w:t>
            </w:r>
            <w:r>
              <w:rPr>
                <w:rFonts w:ascii="Times New Roman" w:hAnsi="Times New Roman" w:eastAsia="宋体" w:cs="Times New Roman"/>
                <w:sz w:val="18"/>
                <w:szCs w:val="18"/>
              </w:rPr>
              <w:t>损失</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环境影响</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火药爆炸</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中毒和窒息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Align w:val="center"/>
          </w:tcPr>
          <w:p>
            <w:pPr>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2</w:t>
            </w:r>
          </w:p>
        </w:tc>
        <w:tc>
          <w:tcPr>
            <w:tcW w:w="851" w:type="dxa"/>
            <w:vMerge w:val="continue"/>
            <w:vAlign w:val="center"/>
          </w:tcPr>
          <w:p>
            <w:pPr>
              <w:widowControl/>
              <w:adjustRightInd w:val="0"/>
              <w:snapToGrid w:val="0"/>
              <w:jc w:val="center"/>
              <w:rPr>
                <w:rFonts w:ascii="Times New Roman" w:hAnsi="Times New Roman" w:eastAsia="宋体" w:cs="Times New Roman"/>
                <w:sz w:val="18"/>
                <w:szCs w:val="18"/>
              </w:rPr>
            </w:pP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电器设备</w:t>
            </w:r>
          </w:p>
        </w:tc>
        <w:tc>
          <w:tcPr>
            <w:tcW w:w="3282" w:type="dxa"/>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电器设备故障或操作不当可能导致触电事故。</w:t>
            </w:r>
          </w:p>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2</w:t>
            </w:r>
            <w:r>
              <w:rPr>
                <w:rFonts w:ascii="Times New Roman" w:hAnsi="Times New Roman" w:eastAsia="宋体" w:cs="Times New Roman"/>
                <w:sz w:val="18"/>
                <w:szCs w:val="18"/>
              </w:rPr>
              <w:t>.</w:t>
            </w:r>
            <w:r>
              <w:rPr>
                <w:rFonts w:hint="eastAsia" w:ascii="Times New Roman" w:hAnsi="Times New Roman" w:eastAsia="宋体" w:cs="Times New Roman"/>
                <w:sz w:val="18"/>
                <w:szCs w:val="18"/>
              </w:rPr>
              <w:t>设备长时间运行发热或老化可能引发火灾或产品爆炸</w:t>
            </w:r>
            <w:r>
              <w:rPr>
                <w:rFonts w:hint="eastAsia" w:ascii="Times New Roman" w:hAnsi="Times New Roman" w:eastAsia="宋体" w:cs="Times New Roman"/>
                <w:color w:val="000000"/>
                <w:sz w:val="19"/>
                <w:szCs w:val="19"/>
              </w:rPr>
              <w:t>。</w:t>
            </w:r>
          </w:p>
        </w:tc>
        <w:tc>
          <w:tcPr>
            <w:tcW w:w="1181" w:type="dxa"/>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w:t>
            </w:r>
            <w:r>
              <w:rPr>
                <w:rFonts w:ascii="Times New Roman" w:hAnsi="Times New Roman" w:eastAsia="宋体" w:cs="Times New Roman"/>
                <w:sz w:val="18"/>
                <w:szCs w:val="18"/>
              </w:rPr>
              <w:t>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触电</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火药爆炸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3</w:t>
            </w:r>
          </w:p>
        </w:tc>
        <w:tc>
          <w:tcPr>
            <w:tcW w:w="851" w:type="dxa"/>
            <w:vMerge w:val="continue"/>
            <w:vAlign w:val="center"/>
          </w:tcPr>
          <w:p>
            <w:pPr>
              <w:widowControl/>
              <w:adjustRightInd w:val="0"/>
              <w:snapToGrid w:val="0"/>
              <w:jc w:val="center"/>
              <w:rPr>
                <w:rFonts w:ascii="Times New Roman" w:hAnsi="Times New Roman" w:eastAsia="宋体" w:cs="Times New Roman"/>
                <w:sz w:val="18"/>
                <w:szCs w:val="18"/>
              </w:rPr>
            </w:pP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电气线路</w:t>
            </w:r>
          </w:p>
        </w:tc>
        <w:tc>
          <w:tcPr>
            <w:tcW w:w="3282" w:type="dxa"/>
            <w:vAlign w:val="center"/>
          </w:tcPr>
          <w:p>
            <w:pPr>
              <w:spacing w:line="220" w:lineRule="exact"/>
              <w:jc w:val="left"/>
              <w:rPr>
                <w:rFonts w:ascii="宋体" w:hAnsi="宋体" w:eastAsia="宋体" w:cs="Times New Roman"/>
                <w:sz w:val="18"/>
                <w:szCs w:val="18"/>
              </w:rPr>
            </w:pPr>
            <w:r>
              <w:rPr>
                <w:rFonts w:hint="eastAsia" w:ascii="Times New Roman" w:hAnsi="Times New Roman" w:eastAsia="等线" w:cs="Times New Roman"/>
                <w:sz w:val="18"/>
                <w:szCs w:val="18"/>
              </w:rPr>
              <w:t>1</w:t>
            </w:r>
            <w:r>
              <w:rPr>
                <w:rFonts w:ascii="Times New Roman" w:hAnsi="Times New Roman" w:eastAsia="等线" w:cs="Times New Roman"/>
                <w:sz w:val="18"/>
                <w:szCs w:val="18"/>
              </w:rPr>
              <w:t>.</w:t>
            </w:r>
            <w:r>
              <w:rPr>
                <w:rFonts w:hint="eastAsia" w:ascii="宋体" w:hAnsi="宋体" w:eastAsia="宋体" w:cs="Times New Roman"/>
                <w:sz w:val="18"/>
                <w:szCs w:val="18"/>
              </w:rPr>
              <w:t>电缆、插板损坏或过负荷受热，可能引发漏电、火灾。</w:t>
            </w:r>
          </w:p>
          <w:p>
            <w:pPr>
              <w:spacing w:line="220" w:lineRule="exact"/>
              <w:jc w:val="left"/>
              <w:rPr>
                <w:rFonts w:ascii="宋体" w:hAnsi="宋体" w:eastAsia="宋体" w:cs="Times New Roman"/>
                <w:sz w:val="18"/>
                <w:szCs w:val="18"/>
              </w:rPr>
            </w:pPr>
            <w:r>
              <w:rPr>
                <w:rFonts w:hint="eastAsia" w:ascii="宋体" w:hAnsi="宋体" w:eastAsia="宋体" w:cs="Times New Roman"/>
                <w:sz w:val="18"/>
                <w:szCs w:val="18"/>
              </w:rPr>
              <w:t>2</w:t>
            </w:r>
            <w:r>
              <w:rPr>
                <w:rFonts w:ascii="宋体" w:hAnsi="宋体" w:eastAsia="宋体" w:cs="Times New Roman"/>
                <w:sz w:val="18"/>
                <w:szCs w:val="18"/>
              </w:rPr>
              <w:t>.</w:t>
            </w:r>
            <w:r>
              <w:rPr>
                <w:rFonts w:hint="eastAsia" w:ascii="宋体" w:hAnsi="宋体" w:eastAsia="宋体" w:cs="Times New Roman"/>
                <w:sz w:val="18"/>
                <w:szCs w:val="18"/>
              </w:rPr>
              <w:t>电气线路布局不规范、私搭乱接等可能导致火灾、漏电事故。</w:t>
            </w:r>
          </w:p>
        </w:tc>
        <w:tc>
          <w:tcPr>
            <w:tcW w:w="1181" w:type="dxa"/>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人员伤亡</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经济</w:t>
            </w:r>
            <w:r>
              <w:rPr>
                <w:rFonts w:ascii="Times New Roman" w:hAnsi="Times New Roman" w:eastAsia="宋体" w:cs="Times New Roman"/>
                <w:sz w:val="18"/>
                <w:szCs w:val="18"/>
              </w:rPr>
              <w:t>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触电</w:t>
            </w:r>
            <w:r>
              <w:rPr>
                <w:rFonts w:hint="eastAsia" w:ascii="Times New Roman" w:hAnsi="Times New Roman" w:eastAsia="宋体" w:cs="Times New Roman"/>
                <w:sz w:val="18"/>
                <w:szCs w:val="18"/>
              </w:rPr>
              <w:t>、火灾、爆炸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09" w:type="dxa"/>
            <w:vAlign w:val="center"/>
          </w:tcPr>
          <w:p>
            <w:pPr>
              <w:jc w:val="center"/>
              <w:rPr>
                <w:rFonts w:ascii="Times New Roman" w:hAnsi="Times New Roman" w:eastAsia="宋体" w:cs="Times New Roman"/>
                <w:sz w:val="18"/>
                <w:szCs w:val="18"/>
              </w:rPr>
            </w:pPr>
            <w:r>
              <w:rPr>
                <w:rFonts w:ascii="Times New Roman" w:hAnsi="Times New Roman" w:eastAsia="宋体" w:cs="Times New Roman"/>
                <w:sz w:val="18"/>
                <w:szCs w:val="18"/>
              </w:rPr>
              <w:t>4</w:t>
            </w:r>
          </w:p>
        </w:tc>
        <w:tc>
          <w:tcPr>
            <w:tcW w:w="851" w:type="dxa"/>
            <w:vMerge w:val="continue"/>
            <w:vAlign w:val="center"/>
          </w:tcPr>
          <w:p>
            <w:pPr>
              <w:widowControl/>
              <w:adjustRightInd w:val="0"/>
              <w:snapToGrid w:val="0"/>
              <w:jc w:val="center"/>
              <w:rPr>
                <w:rFonts w:ascii="Times New Roman" w:hAnsi="Times New Roman" w:eastAsia="宋体" w:cs="Times New Roman"/>
                <w:sz w:val="18"/>
                <w:szCs w:val="18"/>
              </w:rPr>
            </w:pP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其他易燃易爆危险物品</w:t>
            </w:r>
          </w:p>
        </w:tc>
        <w:tc>
          <w:tcPr>
            <w:tcW w:w="3282" w:type="dxa"/>
            <w:vAlign w:val="center"/>
          </w:tcPr>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零售</w:t>
            </w:r>
            <w:r>
              <w:rPr>
                <w:rFonts w:hint="eastAsia" w:ascii="Times New Roman" w:hAnsi="Times New Roman" w:eastAsia="宋体" w:cs="Times New Roman"/>
                <w:sz w:val="18"/>
                <w:szCs w:val="18"/>
              </w:rPr>
              <w:t>点</w:t>
            </w:r>
            <w:r>
              <w:rPr>
                <w:rFonts w:ascii="Times New Roman" w:hAnsi="Times New Roman" w:eastAsia="宋体" w:cs="Times New Roman"/>
                <w:sz w:val="18"/>
                <w:szCs w:val="18"/>
              </w:rPr>
              <w:t>存放其他易燃易爆危险物品，遇到静电火花、电气火花、明火等，可能引发火灾或爆炸。</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ascii="Times New Roman" w:hAnsi="Times New Roman" w:eastAsia="宋体" w:cs="Times New Roman"/>
                <w:kern w:val="0"/>
                <w:sz w:val="18"/>
                <w:szCs w:val="18"/>
              </w:rPr>
              <w:t>环境影响</w:t>
            </w:r>
          </w:p>
        </w:tc>
        <w:tc>
          <w:tcPr>
            <w:tcW w:w="1134" w:type="dxa"/>
            <w:vAlign w:val="center"/>
          </w:tcPr>
          <w:p>
            <w:pPr>
              <w:autoSpaceDE w:val="0"/>
              <w:autoSpaceDN w:val="0"/>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火灾</w:t>
            </w:r>
            <w:r>
              <w:rPr>
                <w:rFonts w:hint="eastAsia" w:ascii="Times New Roman" w:hAnsi="Times New Roman" w:eastAsia="宋体" w:cs="Times New Roman"/>
                <w:sz w:val="18"/>
                <w:szCs w:val="18"/>
              </w:rPr>
              <w:t>、</w:t>
            </w:r>
            <w:r>
              <w:rPr>
                <w:rFonts w:ascii="Times New Roman" w:hAnsi="Times New Roman" w:eastAsia="宋体" w:cs="Times New Roman"/>
                <w:sz w:val="18"/>
                <w:szCs w:val="18"/>
              </w:rPr>
              <w:t>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5</w:t>
            </w:r>
          </w:p>
        </w:tc>
        <w:tc>
          <w:tcPr>
            <w:tcW w:w="851" w:type="dxa"/>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库房</w:t>
            </w: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烟花爆竹</w:t>
            </w:r>
          </w:p>
        </w:tc>
        <w:tc>
          <w:tcPr>
            <w:tcW w:w="3282" w:type="dxa"/>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Cs w:val="24"/>
              </w:rPr>
              <w:t xml:space="preserve"> </w:t>
            </w:r>
            <w:r>
              <w:rPr>
                <w:rFonts w:hint="eastAsia" w:ascii="Times New Roman" w:hAnsi="Times New Roman" w:eastAsia="宋体" w:cs="Times New Roman"/>
                <w:sz w:val="18"/>
                <w:szCs w:val="18"/>
              </w:rPr>
              <w:t>人员违规操作或使用工具不当，包装破损漏药，存储中受潮或者高温，存在外来火源，成品受到摩擦，雷击等引发可能引发火灾爆炸事故；</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 xml:space="preserve"> 燃烧释放有毒气体或致氧气耗尽，造成人员中毒窒息事故。</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3</w:t>
            </w:r>
            <w:r>
              <w:rPr>
                <w:rFonts w:hint="eastAsia" w:ascii="Times New Roman" w:hAnsi="Times New Roman" w:eastAsia="宋体" w:cs="Times New Roman"/>
                <w:sz w:val="18"/>
                <w:szCs w:val="18"/>
              </w:rPr>
              <w:t>.烟花爆竹产品摆放的位置和高度与配电箱、灯具、开关、插座、语音对讲装置的距离不符合规定的要求。</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4</w:t>
            </w:r>
            <w:r>
              <w:rPr>
                <w:rFonts w:hint="eastAsia" w:ascii="Times New Roman" w:hAnsi="Times New Roman" w:eastAsia="宋体" w:cs="Times New Roman"/>
                <w:sz w:val="18"/>
                <w:szCs w:val="18"/>
              </w:rPr>
              <w:t>.烟花爆竹产品未按规定堆垛，堆垛过高、下层包装箱被压坏、防潮板不牢固等造成跌落、撞击。</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5.</w:t>
            </w:r>
            <w:r>
              <w:rPr>
                <w:rFonts w:hint="eastAsia" w:ascii="Times New Roman" w:hAnsi="Times New Roman" w:eastAsia="宋体" w:cs="Times New Roman"/>
                <w:sz w:val="18"/>
                <w:szCs w:val="18"/>
              </w:rPr>
              <w:t>小动物的啃咬可能等引发可能引发烟花爆竹火灾爆炸事故；</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6</w:t>
            </w:r>
            <w:r>
              <w:rPr>
                <w:rFonts w:hint="eastAsia" w:ascii="Times New Roman" w:hAnsi="Times New Roman" w:eastAsia="宋体" w:cs="Times New Roman"/>
                <w:sz w:val="18"/>
                <w:szCs w:val="18"/>
              </w:rPr>
              <w:t>.</w:t>
            </w:r>
            <w:r>
              <w:rPr>
                <w:rFonts w:hint="eastAsia" w:ascii="Times New Roman" w:hAnsi="Times New Roman" w:eastAsia="宋体" w:cs="Times New Roman"/>
                <w:szCs w:val="24"/>
              </w:rPr>
              <w:t xml:space="preserve"> </w:t>
            </w:r>
            <w:r>
              <w:rPr>
                <w:rFonts w:hint="eastAsia" w:ascii="Times New Roman" w:hAnsi="Times New Roman" w:eastAsia="宋体" w:cs="Times New Roman"/>
                <w:sz w:val="18"/>
                <w:szCs w:val="18"/>
              </w:rPr>
              <w:t>未配置灭火器，不能及时扑灭初始火灾。</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7</w:t>
            </w:r>
            <w:r>
              <w:rPr>
                <w:rFonts w:hint="eastAsia" w:ascii="Times New Roman" w:hAnsi="Times New Roman" w:eastAsia="宋体" w:cs="Times New Roman"/>
                <w:sz w:val="18"/>
                <w:szCs w:val="18"/>
              </w:rPr>
              <w:t>.存放箱数超过定量可能扩大燃烧危害。</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环境影响</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火药爆炸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6</w:t>
            </w:r>
          </w:p>
        </w:tc>
        <w:tc>
          <w:tcPr>
            <w:tcW w:w="851" w:type="dxa"/>
            <w:vMerge w:val="restart"/>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库房</w:t>
            </w:r>
          </w:p>
          <w:p>
            <w:pPr>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库房</w:t>
            </w: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建筑物</w:t>
            </w:r>
          </w:p>
        </w:tc>
        <w:tc>
          <w:tcPr>
            <w:tcW w:w="3282" w:type="dxa"/>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未采用现浇钢筋混凝土框架结构、钢筋混凝土柱、梁承重结构或砌体承重结构。屋盖未采用现浇钢筋混凝土屋盖、轻质泄压或轻质易碎屋盖。1.3级仓库屋盖采用现浇钢筋混凝土屋盖时，未多设置门和高窗或采用轻型围护结构等。可能发生坍塌事故。</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坍塌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7</w:t>
            </w:r>
          </w:p>
        </w:tc>
        <w:tc>
          <w:tcPr>
            <w:tcW w:w="851" w:type="dxa"/>
            <w:vMerge w:val="continue"/>
            <w:vAlign w:val="center"/>
          </w:tcPr>
          <w:p>
            <w:pPr>
              <w:widowControl/>
              <w:adjustRightInd w:val="0"/>
              <w:snapToGrid w:val="0"/>
              <w:jc w:val="left"/>
              <w:rPr>
                <w:rFonts w:ascii="Times New Roman" w:hAnsi="Times New Roman" w:eastAsia="宋体" w:cs="Times New Roman"/>
                <w:sz w:val="18"/>
                <w:szCs w:val="18"/>
              </w:rPr>
            </w:pP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电气线路</w:t>
            </w:r>
          </w:p>
        </w:tc>
        <w:tc>
          <w:tcPr>
            <w:tcW w:w="3282" w:type="dxa"/>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1.电气线路未设过载、短路和接地保护，可能引发火灾事故。</w:t>
            </w:r>
          </w:p>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2.电线老化、设备漏电可能导致触电。</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触电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ascii="Times New Roman" w:hAnsi="Times New Roman" w:eastAsia="宋体" w:cs="Times New Roman"/>
                <w:sz w:val="18"/>
                <w:szCs w:val="18"/>
              </w:rPr>
              <w:t>8</w:t>
            </w:r>
          </w:p>
        </w:tc>
        <w:tc>
          <w:tcPr>
            <w:tcW w:w="851" w:type="dxa"/>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装卸搬运</w:t>
            </w: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烟花爆竹</w:t>
            </w:r>
          </w:p>
        </w:tc>
        <w:tc>
          <w:tcPr>
            <w:tcW w:w="3282" w:type="dxa"/>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w:t>
            </w:r>
            <w:r>
              <w:rPr>
                <w:rFonts w:hint="eastAsia" w:ascii="Times New Roman" w:hAnsi="Times New Roman" w:eastAsia="宋体" w:cs="Times New Roman"/>
                <w:sz w:val="18"/>
                <w:szCs w:val="18"/>
              </w:rPr>
              <w:t>由于未严格遵守作业规程，车辆未熄火或戴防火帽，发生碰撞、拖拉、抛摔、翻滚、摩擦，存在外来火源等可能引发火灾爆炸事故；</w:t>
            </w:r>
          </w:p>
          <w:p>
            <w:pPr>
              <w:widowControl/>
              <w:adjustRightInd w:val="0"/>
              <w:snapToGrid w:val="0"/>
              <w:jc w:val="left"/>
              <w:rPr>
                <w:rFonts w:ascii="Times New Roman" w:hAnsi="Times New Roman" w:eastAsia="宋体" w:cs="Times New Roman"/>
                <w:sz w:val="18"/>
                <w:szCs w:val="18"/>
              </w:rPr>
            </w:pPr>
            <w:r>
              <w:rPr>
                <w:rFonts w:ascii="Times New Roman" w:hAnsi="Times New Roman" w:eastAsia="宋体" w:cs="Times New Roman"/>
                <w:sz w:val="18"/>
                <w:szCs w:val="18"/>
              </w:rPr>
              <w:t>2.</w:t>
            </w:r>
            <w:r>
              <w:rPr>
                <w:rFonts w:hint="eastAsia" w:ascii="Times New Roman" w:hAnsi="Times New Roman" w:eastAsia="宋体" w:cs="Times New Roman"/>
                <w:sz w:val="18"/>
                <w:szCs w:val="18"/>
              </w:rPr>
              <w:t xml:space="preserve"> 燃烧释放有毒气体或致氧气耗尽，造成人员中毒窒息事故。</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环境影响</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火药爆炸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9</w:t>
            </w:r>
          </w:p>
        </w:tc>
        <w:tc>
          <w:tcPr>
            <w:tcW w:w="851" w:type="dxa"/>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场内道路</w:t>
            </w: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运输车辆</w:t>
            </w:r>
          </w:p>
        </w:tc>
        <w:tc>
          <w:tcPr>
            <w:tcW w:w="3282" w:type="dxa"/>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运输车辆在行驶中由于碰撞、碾轧、刮擦、翻车、坠车等引发车辆伤害事故。</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车辆伤害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0</w:t>
            </w:r>
          </w:p>
        </w:tc>
        <w:tc>
          <w:tcPr>
            <w:tcW w:w="851" w:type="dxa"/>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水池、沟渠</w:t>
            </w: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Cs w:val="24"/>
              </w:rPr>
              <w:t>消防水池</w:t>
            </w:r>
          </w:p>
        </w:tc>
        <w:tc>
          <w:tcPr>
            <w:tcW w:w="3282" w:type="dxa"/>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消防水池无防护、无警示标志，人员意外误入可能造成淹溺事故。</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淹溺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1</w:t>
            </w:r>
          </w:p>
        </w:tc>
        <w:tc>
          <w:tcPr>
            <w:tcW w:w="851" w:type="dxa"/>
            <w:vMerge w:val="restart"/>
            <w:vAlign w:val="center"/>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维修作业</w:t>
            </w: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动火作业</w:t>
            </w:r>
          </w:p>
        </w:tc>
        <w:tc>
          <w:tcPr>
            <w:tcW w:w="3282" w:type="dxa"/>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动火作业部位、附近区域存在可燃物、易燃易爆危险化学品，遇火源可能导致火灾、爆炸等事故。</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火灾</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火药爆炸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jc w:val="center"/>
        </w:trPr>
        <w:tc>
          <w:tcPr>
            <w:tcW w:w="709"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1</w:t>
            </w:r>
            <w:r>
              <w:rPr>
                <w:rFonts w:ascii="Times New Roman" w:hAnsi="Times New Roman" w:eastAsia="宋体" w:cs="Times New Roman"/>
                <w:sz w:val="18"/>
                <w:szCs w:val="18"/>
              </w:rPr>
              <w:t>2</w:t>
            </w:r>
          </w:p>
        </w:tc>
        <w:tc>
          <w:tcPr>
            <w:tcW w:w="851" w:type="dxa"/>
            <w:vMerge w:val="continue"/>
            <w:vAlign w:val="center"/>
          </w:tcPr>
          <w:p>
            <w:pPr>
              <w:widowControl/>
              <w:adjustRightInd w:val="0"/>
              <w:snapToGrid w:val="0"/>
              <w:jc w:val="left"/>
              <w:rPr>
                <w:rFonts w:ascii="Times New Roman" w:hAnsi="Times New Roman" w:eastAsia="宋体" w:cs="Times New Roman"/>
                <w:sz w:val="18"/>
                <w:szCs w:val="18"/>
              </w:rPr>
            </w:pPr>
          </w:p>
        </w:tc>
        <w:tc>
          <w:tcPr>
            <w:tcW w:w="1562"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高处作业</w:t>
            </w:r>
          </w:p>
        </w:tc>
        <w:tc>
          <w:tcPr>
            <w:tcW w:w="3282" w:type="dxa"/>
          </w:tcPr>
          <w:p>
            <w:pPr>
              <w:widowControl/>
              <w:adjustRightInd w:val="0"/>
              <w:snapToGrid w:val="0"/>
              <w:jc w:val="left"/>
              <w:rPr>
                <w:rFonts w:ascii="Times New Roman" w:hAnsi="Times New Roman" w:eastAsia="宋体" w:cs="Times New Roman"/>
                <w:sz w:val="18"/>
                <w:szCs w:val="18"/>
              </w:rPr>
            </w:pPr>
            <w:r>
              <w:rPr>
                <w:rFonts w:hint="eastAsia" w:ascii="Times New Roman" w:hAnsi="Times New Roman" w:eastAsia="宋体" w:cs="Times New Roman"/>
                <w:sz w:val="18"/>
                <w:szCs w:val="18"/>
              </w:rPr>
              <w:t>未使用登高作业工具或登高作业工具有缺陷、使用不当；人员操作错误；未进行监护等，可能发生物体打击或高处坠落事故。</w:t>
            </w:r>
          </w:p>
        </w:tc>
        <w:tc>
          <w:tcPr>
            <w:tcW w:w="1181" w:type="dxa"/>
            <w:vAlign w:val="center"/>
          </w:tcPr>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人员伤亡</w:t>
            </w:r>
          </w:p>
          <w:p>
            <w:pPr>
              <w:widowControl/>
              <w:adjustRightInd w:val="0"/>
              <w:snapToGrid w:val="0"/>
              <w:jc w:val="center"/>
              <w:rPr>
                <w:rFonts w:ascii="Times New Roman" w:hAnsi="Times New Roman" w:eastAsia="宋体" w:cs="Times New Roman"/>
                <w:kern w:val="0"/>
                <w:sz w:val="18"/>
                <w:szCs w:val="18"/>
              </w:rPr>
            </w:pPr>
            <w:r>
              <w:rPr>
                <w:rFonts w:hint="eastAsia" w:ascii="Times New Roman" w:hAnsi="Times New Roman" w:eastAsia="宋体" w:cs="Times New Roman"/>
                <w:kern w:val="0"/>
                <w:sz w:val="18"/>
                <w:szCs w:val="18"/>
              </w:rPr>
              <w:t>经济损失</w:t>
            </w:r>
          </w:p>
        </w:tc>
        <w:tc>
          <w:tcPr>
            <w:tcW w:w="1134" w:type="dxa"/>
            <w:vAlign w:val="center"/>
          </w:tcPr>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物体打击</w:t>
            </w:r>
          </w:p>
          <w:p>
            <w:pPr>
              <w:widowControl/>
              <w:adjustRightInd w:val="0"/>
              <w:snapToGrid w:val="0"/>
              <w:jc w:val="center"/>
              <w:rPr>
                <w:rFonts w:ascii="Times New Roman" w:hAnsi="Times New Roman" w:eastAsia="宋体" w:cs="Times New Roman"/>
                <w:sz w:val="18"/>
                <w:szCs w:val="18"/>
              </w:rPr>
            </w:pPr>
            <w:r>
              <w:rPr>
                <w:rFonts w:hint="eastAsia" w:ascii="Times New Roman" w:hAnsi="Times New Roman" w:eastAsia="宋体" w:cs="Times New Roman"/>
                <w:sz w:val="18"/>
                <w:szCs w:val="18"/>
              </w:rPr>
              <w:t>高处坠落</w:t>
            </w:r>
          </w:p>
        </w:tc>
      </w:tr>
    </w:tbl>
    <w:p>
      <w:pPr>
        <w:spacing w:line="560" w:lineRule="exact"/>
        <w:rPr>
          <w:rFonts w:ascii="仿宋_GB2312" w:hAnsi="Times New Roman" w:eastAsia="仿宋_GB2312" w:cs="Times New Roman"/>
          <w:color w:val="0D0D0D"/>
          <w:sz w:val="32"/>
          <w:szCs w:val="32"/>
        </w:rPr>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spacing w:line="560" w:lineRule="exact"/>
        <w:jc w:val="left"/>
      </w:pPr>
    </w:p>
    <w:p>
      <w:pPr>
        <w:tabs>
          <w:tab w:val="left" w:pos="2100"/>
        </w:tabs>
      </w:pPr>
      <w:bookmarkStart w:id="14" w:name="_GoBack"/>
      <w:bookmarkEnd w:id="14"/>
    </w:p>
    <w:sectPr>
      <w:footerReference r:id="rId5" w:type="default"/>
      <w:footerReference r:id="rId6" w:type="even"/>
      <w:pgSz w:w="11906" w:h="16838"/>
      <w:pgMar w:top="1440" w:right="1474" w:bottom="1440" w:left="1588"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Verdana">
    <w:panose1 w:val="020B0604030504040204"/>
    <w:charset w:val="00"/>
    <w:family w:val="swiss"/>
    <w:pitch w:val="default"/>
    <w:sig w:usb0="A10006FF" w:usb1="4000205B" w:usb2="00000010" w:usb3="00000000" w:csb0="2000019F" w:csb1="00000000"/>
  </w:font>
  <w:font w:name="MingLiU">
    <w:panose1 w:val="02020509000000000000"/>
    <w:charset w:val="88"/>
    <w:family w:val="modern"/>
    <w:pitch w:val="default"/>
    <w:sig w:usb0="A00002FF" w:usb1="28CFFCFA" w:usb2="00000016" w:usb3="00000000" w:csb0="00100001"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等线">
    <w:altName w:val="Arial Unicode MS"/>
    <w:panose1 w:val="00000000000000000000"/>
    <w:charset w:val="86"/>
    <w:family w:val="auto"/>
    <w:pitch w:val="default"/>
    <w:sig w:usb0="00000000" w:usb1="00000000" w:usb2="00000016" w:usb3="00000000" w:csb0="0004000F"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78258284"/>
      <w:docPartObj>
        <w:docPartGallery w:val="AutoText"/>
      </w:docPartObj>
    </w:sdtPr>
    <w:sdtEndPr>
      <w:rPr>
        <w:rFonts w:ascii="仿宋" w:hAnsi="仿宋" w:eastAsia="仿宋"/>
        <w:sz w:val="28"/>
        <w:szCs w:val="28"/>
      </w:rPr>
    </w:sdtEndPr>
    <w:sdtContent>
      <w:p>
        <w:pPr>
          <w:pStyle w:val="23"/>
          <w:jc w:val="right"/>
          <w:rPr>
            <w:rFonts w:ascii="仿宋" w:hAnsi="仿宋" w:eastAsia="仿宋"/>
            <w:sz w:val="28"/>
            <w:szCs w:val="28"/>
          </w:rPr>
        </w:pPr>
        <w:r>
          <w:rPr>
            <w:rFonts w:ascii="仿宋" w:hAnsi="仿宋" w:eastAsia="仿宋"/>
            <w:sz w:val="28"/>
            <w:szCs w:val="28"/>
          </w:rPr>
          <w:fldChar w:fldCharType="begin"/>
        </w:r>
        <w:r>
          <w:rPr>
            <w:rFonts w:ascii="仿宋" w:hAnsi="仿宋" w:eastAsia="仿宋"/>
            <w:sz w:val="28"/>
            <w:szCs w:val="28"/>
          </w:rPr>
          <w:instrText xml:space="preserve">PAGE   \* MERGEFORMAT</w:instrText>
        </w:r>
        <w:r>
          <w:rPr>
            <w:rFonts w:ascii="仿宋" w:hAnsi="仿宋" w:eastAsia="仿宋"/>
            <w:sz w:val="28"/>
            <w:szCs w:val="28"/>
          </w:rPr>
          <w:fldChar w:fldCharType="separate"/>
        </w:r>
        <w:r>
          <w:rPr>
            <w:rFonts w:ascii="仿宋" w:hAnsi="仿宋" w:eastAsia="仿宋"/>
            <w:sz w:val="28"/>
            <w:szCs w:val="28"/>
            <w:lang w:val="zh-CN"/>
          </w:rPr>
          <w:t>-</w:t>
        </w:r>
        <w:r>
          <w:rPr>
            <w:rFonts w:ascii="仿宋" w:hAnsi="仿宋" w:eastAsia="仿宋"/>
            <w:sz w:val="28"/>
            <w:szCs w:val="28"/>
          </w:rPr>
          <w:t xml:space="preserve"> 1 -</w:t>
        </w:r>
        <w:r>
          <w:rPr>
            <w:rFonts w:ascii="仿宋" w:hAnsi="仿宋" w:eastAsia="仿宋"/>
            <w:sz w:val="28"/>
            <w:szCs w:val="28"/>
          </w:rPr>
          <w:fldChar w:fldCharType="end"/>
        </w:r>
      </w:p>
    </w:sdtContent>
  </w:sdt>
  <w:p>
    <w:pPr>
      <w:pStyle w:val="2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3"/>
      <w:rPr>
        <w:rFonts w:ascii="仿宋" w:hAnsi="仿宋" w:eastAsia="仿宋"/>
        <w:sz w:val="28"/>
        <w:szCs w:val="28"/>
      </w:rPr>
    </w:pPr>
    <w:r>
      <w:rPr>
        <w:rFonts w:hint="eastAsia" w:ascii="仿宋" w:hAnsi="仿宋" w:eastAsia="仿宋"/>
        <w:sz w:val="28"/>
        <w:szCs w:val="28"/>
      </w:rPr>
      <w:t>-2-</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65021091"/>
      <w:docPartObj>
        <w:docPartGallery w:val="AutoText"/>
      </w:docPartObj>
    </w:sdtPr>
    <w:sdtEndPr>
      <w:rPr>
        <w:rFonts w:asciiTheme="minorEastAsia" w:hAnsiTheme="minorEastAsia"/>
        <w:sz w:val="28"/>
        <w:szCs w:val="28"/>
      </w:rPr>
    </w:sdtEndPr>
    <w:sdtContent>
      <w:p>
        <w:pPr>
          <w:pStyle w:val="23"/>
          <w:jc w:val="right"/>
          <w:rPr>
            <w:rFonts w:asciiTheme="minorEastAsia" w:hAnsiTheme="minorEastAsia"/>
            <w:sz w:val="28"/>
            <w:szCs w:val="28"/>
          </w:rPr>
        </w:pPr>
        <w:r>
          <w:rPr>
            <w:rFonts w:hint="eastAsia" w:asciiTheme="minorEastAsia" w:hAnsiTheme="minorEastAsia"/>
            <w:sz w:val="28"/>
            <w:szCs w:val="28"/>
          </w:rPr>
          <w:t>-</w:t>
        </w: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33</w:t>
        </w:r>
        <w:r>
          <w:rPr>
            <w:rFonts w:asciiTheme="minorEastAsia" w:hAnsiTheme="minorEastAsia"/>
            <w:sz w:val="28"/>
            <w:szCs w:val="28"/>
          </w:rPr>
          <w:fldChar w:fldCharType="end"/>
        </w:r>
        <w:r>
          <w:rPr>
            <w:rFonts w:hint="eastAsia" w:asciiTheme="minorEastAsia" w:hAnsiTheme="minorEastAsia"/>
            <w:sz w:val="28"/>
            <w:szCs w:val="28"/>
          </w:rPr>
          <w:t>-</w:t>
        </w:r>
      </w:p>
    </w:sdtContent>
  </w:sdt>
  <w:p>
    <w:pPr>
      <w:pStyle w:val="2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793450639"/>
      <w:docPartObj>
        <w:docPartGallery w:val="AutoText"/>
      </w:docPartObj>
    </w:sdtPr>
    <w:sdtEndPr>
      <w:rPr>
        <w:rFonts w:asciiTheme="minorEastAsia" w:hAnsiTheme="minorEastAsia"/>
        <w:sz w:val="28"/>
        <w:szCs w:val="28"/>
      </w:rPr>
    </w:sdtEndPr>
    <w:sdtContent>
      <w:p>
        <w:pPr>
          <w:pStyle w:val="23"/>
          <w:rPr>
            <w:rFonts w:asciiTheme="minorEastAsia" w:hAnsiTheme="minorEastAsia"/>
            <w:sz w:val="28"/>
            <w:szCs w:val="28"/>
          </w:rPr>
        </w:pPr>
        <w:r>
          <w:rPr>
            <w:rFonts w:hint="eastAsia" w:asciiTheme="minorEastAsia" w:hAnsiTheme="minorEastAsia"/>
            <w:sz w:val="28"/>
            <w:szCs w:val="28"/>
          </w:rPr>
          <w:t>-</w:t>
        </w: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34</w:t>
        </w:r>
        <w:r>
          <w:rPr>
            <w:rFonts w:asciiTheme="minorEastAsia" w:hAnsiTheme="minorEastAsia"/>
            <w:sz w:val="28"/>
            <w:szCs w:val="28"/>
          </w:rPr>
          <w:fldChar w:fldCharType="end"/>
        </w:r>
        <w:r>
          <w:rPr>
            <w:rFonts w:hint="eastAsia" w:asciiTheme="minorEastAsia" w:hAnsiTheme="minorEastAsia"/>
            <w:sz w:val="28"/>
            <w:szCs w:val="28"/>
          </w:rPr>
          <w:t>-</w:t>
        </w:r>
      </w:p>
    </w:sdtContent>
  </w:sdt>
  <w:p>
    <w:pPr>
      <w:pStyle w:val="2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102AD"/>
    <w:multiLevelType w:val="multilevel"/>
    <w:tmpl w:val="079102AD"/>
    <w:lvl w:ilvl="0" w:tentative="0">
      <w:start w:val="1"/>
      <w:numFmt w:val="decimal"/>
      <w:pStyle w:val="137"/>
      <w:suff w:val="nothing"/>
      <w:lvlText w:val="注%1："/>
      <w:lvlJc w:val="left"/>
      <w:pPr>
        <w:ind w:left="811" w:hanging="448"/>
      </w:pPr>
      <w:rPr>
        <w:rFonts w:hint="eastAsia" w:ascii="黑体" w:eastAsia="黑体"/>
        <w:b w:val="0"/>
        <w:i w:val="0"/>
        <w:sz w:val="18"/>
        <w:lang w:val="en-US"/>
      </w:rPr>
    </w:lvl>
    <w:lvl w:ilvl="1" w:tentative="0">
      <w:start w:val="1"/>
      <w:numFmt w:val="lowerLetter"/>
      <w:pStyle w:val="161"/>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168"/>
      <w:suff w:val="nothing"/>
      <w:lvlText w:val="%1示例："/>
      <w:lvlJc w:val="left"/>
      <w:pPr>
        <w:ind w:left="0" w:firstLine="363"/>
      </w:pPr>
      <w:rPr>
        <w:rFonts w:hint="eastAsia" w:ascii="黑体" w:eastAsia="黑体"/>
        <w:b w:val="0"/>
        <w:i w:val="0"/>
        <w:sz w:val="18"/>
        <w:szCs w:val="18"/>
      </w:rPr>
    </w:lvl>
    <w:lvl w:ilvl="1" w:tentative="0">
      <w:start w:val="1"/>
      <w:numFmt w:val="lowerLetter"/>
      <w:pStyle w:val="169"/>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49"/>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1DBF583A"/>
    <w:multiLevelType w:val="multilevel"/>
    <w:tmpl w:val="1DBF583A"/>
    <w:lvl w:ilvl="0" w:tentative="0">
      <w:start w:val="1"/>
      <w:numFmt w:val="decimal"/>
      <w:pStyle w:val="14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5">
    <w:nsid w:val="1FC91163"/>
    <w:multiLevelType w:val="multilevel"/>
    <w:tmpl w:val="1FC91163"/>
    <w:lvl w:ilvl="0" w:tentative="0">
      <w:start w:val="1"/>
      <w:numFmt w:val="decimal"/>
      <w:pStyle w:val="98"/>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88"/>
      <w:suff w:val="nothing"/>
      <w:lvlText w:val="%1.%2　"/>
      <w:lvlJc w:val="left"/>
      <w:pPr>
        <w:ind w:left="851"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111"/>
      <w:suff w:val="nothing"/>
      <w:lvlText w:val="%1.%2.%3　"/>
      <w:lvlJc w:val="left"/>
      <w:pPr>
        <w:ind w:left="1134"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22827D5B"/>
    <w:multiLevelType w:val="multilevel"/>
    <w:tmpl w:val="22827D5B"/>
    <w:lvl w:ilvl="0" w:tentative="0">
      <w:start w:val="1"/>
      <w:numFmt w:val="none"/>
      <w:pStyle w:val="139"/>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7">
    <w:nsid w:val="229E3C92"/>
    <w:multiLevelType w:val="multilevel"/>
    <w:tmpl w:val="229E3C92"/>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A8F7113"/>
    <w:multiLevelType w:val="multilevel"/>
    <w:tmpl w:val="2A8F7113"/>
    <w:lvl w:ilvl="0" w:tentative="0">
      <w:start w:val="1"/>
      <w:numFmt w:val="upperLetter"/>
      <w:pStyle w:val="30"/>
      <w:suff w:val="space"/>
      <w:lvlText w:val="%1"/>
      <w:lvlJc w:val="left"/>
      <w:pPr>
        <w:ind w:left="623" w:hanging="425"/>
      </w:pPr>
      <w:rPr>
        <w:rFonts w:hint="eastAsia"/>
      </w:rPr>
    </w:lvl>
    <w:lvl w:ilvl="1" w:tentative="0">
      <w:start w:val="1"/>
      <w:numFmt w:val="decimal"/>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89"/>
      <w:suff w:val="nothing"/>
      <w:lvlText w:val="%1——"/>
      <w:lvlJc w:val="left"/>
      <w:pPr>
        <w:ind w:left="833" w:hanging="408"/>
      </w:pPr>
      <w:rPr>
        <w:rFonts w:hint="eastAsia"/>
      </w:rPr>
    </w:lvl>
    <w:lvl w:ilvl="1" w:tentative="0">
      <w:start w:val="1"/>
      <w:numFmt w:val="bullet"/>
      <w:pStyle w:val="122"/>
      <w:lvlText w:val=""/>
      <w:lvlJc w:val="left"/>
      <w:pPr>
        <w:tabs>
          <w:tab w:val="left" w:pos="760"/>
        </w:tabs>
        <w:ind w:left="1264" w:hanging="413"/>
      </w:pPr>
      <w:rPr>
        <w:rFonts w:hint="default" w:ascii="Symbol" w:hAnsi="Symbol"/>
        <w:color w:val="auto"/>
      </w:rPr>
    </w:lvl>
    <w:lvl w:ilvl="2" w:tentative="0">
      <w:start w:val="1"/>
      <w:numFmt w:val="bullet"/>
      <w:pStyle w:val="121"/>
      <w:lvlText w:val=""/>
      <w:lvlJc w:val="left"/>
      <w:pPr>
        <w:tabs>
          <w:tab w:val="left" w:pos="1678"/>
        </w:tabs>
        <w:ind w:left="1678" w:hanging="414"/>
      </w:pPr>
      <w:rPr>
        <w:rFonts w:hint="default" w:ascii="Symbol" w:hAnsi="Symbol"/>
        <w:color w:val="auto"/>
      </w:rPr>
    </w:lvl>
    <w:lvl w:ilvl="3" w:tentative="0">
      <w:start w:val="1"/>
      <w:numFmt w:val="decimal"/>
      <w:pStyle w:val="96"/>
      <w:lvlText w:val="%4."/>
      <w:lvlJc w:val="left"/>
      <w:pPr>
        <w:tabs>
          <w:tab w:val="left" w:pos="2071"/>
        </w:tabs>
        <w:ind w:left="1884" w:hanging="528"/>
      </w:pPr>
      <w:rPr>
        <w:rFonts w:hint="eastAsia"/>
      </w:rPr>
    </w:lvl>
    <w:lvl w:ilvl="4" w:tentative="0">
      <w:start w:val="1"/>
      <w:numFmt w:val="lowerLetter"/>
      <w:pStyle w:val="106"/>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056115D"/>
    <w:multiLevelType w:val="multilevel"/>
    <w:tmpl w:val="3056115D"/>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D733618"/>
    <w:multiLevelType w:val="multilevel"/>
    <w:tmpl w:val="3D733618"/>
    <w:lvl w:ilvl="0" w:tentative="0">
      <w:start w:val="1"/>
      <w:numFmt w:val="decimal"/>
      <w:pStyle w:val="131"/>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2">
    <w:nsid w:val="462A7D8B"/>
    <w:multiLevelType w:val="multilevel"/>
    <w:tmpl w:val="462A7D8B"/>
    <w:lvl w:ilvl="0" w:tentative="0">
      <w:start w:val="1"/>
      <w:numFmt w:val="lowerLetter"/>
      <w:pStyle w:val="138"/>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B733A5F"/>
    <w:multiLevelType w:val="multilevel"/>
    <w:tmpl w:val="4B733A5F"/>
    <w:lvl w:ilvl="0" w:tentative="0">
      <w:start w:val="1"/>
      <w:numFmt w:val="decimal"/>
      <w:pStyle w:val="14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4">
    <w:nsid w:val="60B55DC2"/>
    <w:multiLevelType w:val="multilevel"/>
    <w:tmpl w:val="60B55DC2"/>
    <w:lvl w:ilvl="0" w:tentative="0">
      <w:start w:val="1"/>
      <w:numFmt w:val="upperLetter"/>
      <w:pStyle w:val="170"/>
      <w:lvlText w:val="%1"/>
      <w:lvlJc w:val="left"/>
      <w:pPr>
        <w:tabs>
          <w:tab w:val="left" w:pos="0"/>
        </w:tabs>
        <w:ind w:left="0" w:hanging="425"/>
      </w:pPr>
      <w:rPr>
        <w:rFonts w:hint="eastAsia"/>
      </w:rPr>
    </w:lvl>
    <w:lvl w:ilvl="1" w:tentative="0">
      <w:start w:val="1"/>
      <w:numFmt w:val="decimal"/>
      <w:suff w:val="nothing"/>
      <w:lvlText w:val="表%1.%2　"/>
      <w:lvlJc w:val="left"/>
      <w:pPr>
        <w:ind w:left="3119"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71"/>
      <w:suff w:val="nothing"/>
      <w:lvlText w:val="表%1　"/>
      <w:lvlJc w:val="left"/>
      <w:pPr>
        <w:ind w:left="0" w:firstLine="0"/>
      </w:pPr>
      <w:rPr>
        <w:rFonts w:hint="eastAsia" w:ascii="黑体" w:hAnsi="Times New Roman" w:eastAsia="黑体"/>
        <w:b w:val="0"/>
        <w:i w:val="0"/>
        <w:sz w:val="21"/>
      </w:rPr>
    </w:lvl>
    <w:lvl w:ilvl="1" w:tentative="0">
      <w:start w:val="1"/>
      <w:numFmt w:val="decimal"/>
      <w:pStyle w:val="142"/>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57D3FBC"/>
    <w:multiLevelType w:val="multilevel"/>
    <w:tmpl w:val="657D3FBC"/>
    <w:lvl w:ilvl="0" w:tentative="0">
      <w:start w:val="1"/>
      <w:numFmt w:val="upperLetter"/>
      <w:pStyle w:val="109"/>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51"/>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7">
    <w:nsid w:val="6D6C07CD"/>
    <w:multiLevelType w:val="multilevel"/>
    <w:tmpl w:val="6D6C07CD"/>
    <w:lvl w:ilvl="0" w:tentative="0">
      <w:start w:val="1"/>
      <w:numFmt w:val="lowerLetter"/>
      <w:pStyle w:val="143"/>
      <w:lvlText w:val="%1)"/>
      <w:lvlJc w:val="left"/>
      <w:pPr>
        <w:tabs>
          <w:tab w:val="left" w:pos="839"/>
        </w:tabs>
        <w:ind w:left="839" w:hanging="419"/>
      </w:pPr>
      <w:rPr>
        <w:rFonts w:hint="eastAsia" w:ascii="宋体" w:eastAsia="宋体"/>
        <w:b w:val="0"/>
        <w:i w:val="0"/>
        <w:sz w:val="21"/>
      </w:rPr>
    </w:lvl>
    <w:lvl w:ilvl="1" w:tentative="0">
      <w:start w:val="1"/>
      <w:numFmt w:val="decimal"/>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13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19">
    <w:nsid w:val="6EFA3291"/>
    <w:multiLevelType w:val="multilevel"/>
    <w:tmpl w:val="6EFA3291"/>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72BF569C"/>
    <w:multiLevelType w:val="multilevel"/>
    <w:tmpl w:val="72BF569C"/>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7E611797"/>
    <w:multiLevelType w:val="multilevel"/>
    <w:tmpl w:val="7E611797"/>
    <w:lvl w:ilvl="0" w:tentative="0">
      <w:start w:val="1"/>
      <w:numFmt w:val="japaneseCounting"/>
      <w:pStyle w:val="118"/>
      <w:lvlText w:val="%1、"/>
      <w:lvlJc w:val="left"/>
      <w:pPr>
        <w:ind w:left="1360" w:hanging="720"/>
      </w:pPr>
      <w:rPr>
        <w:rFonts w:hint="default" w:cs="Times New Roman"/>
      </w:rPr>
    </w:lvl>
    <w:lvl w:ilvl="1" w:tentative="0">
      <w:start w:val="1"/>
      <w:numFmt w:val="lowerLetter"/>
      <w:pStyle w:val="71"/>
      <w:lvlText w:val="%2)"/>
      <w:lvlJc w:val="left"/>
      <w:pPr>
        <w:ind w:left="1480" w:hanging="420"/>
      </w:pPr>
      <w:rPr>
        <w:rFonts w:cs="Times New Roman"/>
      </w:rPr>
    </w:lvl>
    <w:lvl w:ilvl="2" w:tentative="0">
      <w:start w:val="1"/>
      <w:numFmt w:val="lowerRoman"/>
      <w:pStyle w:val="70"/>
      <w:lvlText w:val="%3."/>
      <w:lvlJc w:val="right"/>
      <w:pPr>
        <w:ind w:left="1900" w:hanging="420"/>
      </w:pPr>
      <w:rPr>
        <w:rFonts w:cs="Times New Roman"/>
      </w:rPr>
    </w:lvl>
    <w:lvl w:ilvl="3" w:tentative="0">
      <w:start w:val="1"/>
      <w:numFmt w:val="decimal"/>
      <w:lvlText w:val="%4."/>
      <w:lvlJc w:val="left"/>
      <w:pPr>
        <w:ind w:left="2320" w:hanging="420"/>
      </w:pPr>
      <w:rPr>
        <w:rFonts w:cs="Times New Roman"/>
      </w:rPr>
    </w:lvl>
    <w:lvl w:ilvl="4" w:tentative="0">
      <w:start w:val="1"/>
      <w:numFmt w:val="lowerLetter"/>
      <w:pStyle w:val="108"/>
      <w:lvlText w:val="%5)"/>
      <w:lvlJc w:val="left"/>
      <w:pPr>
        <w:ind w:left="2740" w:hanging="420"/>
      </w:pPr>
      <w:rPr>
        <w:rFonts w:cs="Times New Roman"/>
      </w:rPr>
    </w:lvl>
    <w:lvl w:ilvl="5" w:tentative="0">
      <w:start w:val="1"/>
      <w:numFmt w:val="lowerRoman"/>
      <w:pStyle w:val="107"/>
      <w:lvlText w:val="%6."/>
      <w:lvlJc w:val="right"/>
      <w:pPr>
        <w:ind w:left="3160" w:hanging="420"/>
      </w:pPr>
      <w:rPr>
        <w:rFonts w:cs="Times New Roman"/>
      </w:rPr>
    </w:lvl>
    <w:lvl w:ilvl="6" w:tentative="0">
      <w:start w:val="1"/>
      <w:numFmt w:val="decimal"/>
      <w:lvlText w:val="%7."/>
      <w:lvlJc w:val="left"/>
      <w:pPr>
        <w:ind w:left="3580" w:hanging="420"/>
      </w:pPr>
      <w:rPr>
        <w:rFonts w:cs="Times New Roman"/>
      </w:rPr>
    </w:lvl>
    <w:lvl w:ilvl="7" w:tentative="0">
      <w:start w:val="1"/>
      <w:numFmt w:val="lowerLetter"/>
      <w:lvlText w:val="%8)"/>
      <w:lvlJc w:val="left"/>
      <w:pPr>
        <w:ind w:left="4000" w:hanging="420"/>
      </w:pPr>
      <w:rPr>
        <w:rFonts w:cs="Times New Roman"/>
      </w:rPr>
    </w:lvl>
    <w:lvl w:ilvl="8" w:tentative="0">
      <w:start w:val="1"/>
      <w:numFmt w:val="lowerRoman"/>
      <w:lvlText w:val="%9."/>
      <w:lvlJc w:val="right"/>
      <w:pPr>
        <w:ind w:left="4420" w:hanging="420"/>
      </w:pPr>
      <w:rPr>
        <w:rFonts w:cs="Times New Roman"/>
      </w:rPr>
    </w:lvl>
  </w:abstractNum>
  <w:num w:numId="1">
    <w:abstractNumId w:val="8"/>
  </w:num>
  <w:num w:numId="2">
    <w:abstractNumId w:val="21"/>
  </w:num>
  <w:num w:numId="3">
    <w:abstractNumId w:val="5"/>
  </w:num>
  <w:num w:numId="4">
    <w:abstractNumId w:val="9"/>
  </w:num>
  <w:num w:numId="5">
    <w:abstractNumId w:val="16"/>
  </w:num>
  <w:num w:numId="6">
    <w:abstractNumId w:val="11"/>
  </w:num>
  <w:num w:numId="7">
    <w:abstractNumId w:val="18"/>
  </w:num>
  <w:num w:numId="8">
    <w:abstractNumId w:val="0"/>
  </w:num>
  <w:num w:numId="9">
    <w:abstractNumId w:val="12"/>
  </w:num>
  <w:num w:numId="10">
    <w:abstractNumId w:val="6"/>
  </w:num>
  <w:num w:numId="11">
    <w:abstractNumId w:val="13"/>
  </w:num>
  <w:num w:numId="12">
    <w:abstractNumId w:val="15"/>
  </w:num>
  <w:num w:numId="13">
    <w:abstractNumId w:val="17"/>
  </w:num>
  <w:num w:numId="14">
    <w:abstractNumId w:val="4"/>
  </w:num>
  <w:num w:numId="15">
    <w:abstractNumId w:val="3"/>
  </w:num>
  <w:num w:numId="16">
    <w:abstractNumId w:val="2"/>
  </w:num>
  <w:num w:numId="17">
    <w:abstractNumId w:val="14"/>
  </w:num>
  <w:num w:numId="18">
    <w:abstractNumId w:val="1"/>
  </w:num>
  <w:num w:numId="19">
    <w:abstractNumId w:val="10"/>
  </w:num>
  <w:num w:numId="20">
    <w:abstractNumId w:val="19"/>
  </w:num>
  <w:num w:numId="21">
    <w:abstractNumId w:val="7"/>
  </w:num>
  <w:num w:numId="2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1D98"/>
    <w:rsid w:val="00000365"/>
    <w:rsid w:val="000003C7"/>
    <w:rsid w:val="00007E45"/>
    <w:rsid w:val="00010062"/>
    <w:rsid w:val="00011139"/>
    <w:rsid w:val="00014AB1"/>
    <w:rsid w:val="000157D7"/>
    <w:rsid w:val="00016D5C"/>
    <w:rsid w:val="00017248"/>
    <w:rsid w:val="000338C4"/>
    <w:rsid w:val="00035FCE"/>
    <w:rsid w:val="000506D3"/>
    <w:rsid w:val="00051A0E"/>
    <w:rsid w:val="0005324B"/>
    <w:rsid w:val="00054154"/>
    <w:rsid w:val="000627BF"/>
    <w:rsid w:val="00072773"/>
    <w:rsid w:val="00072AE1"/>
    <w:rsid w:val="000733D3"/>
    <w:rsid w:val="00073A75"/>
    <w:rsid w:val="00080244"/>
    <w:rsid w:val="000865B8"/>
    <w:rsid w:val="00093638"/>
    <w:rsid w:val="00093C7E"/>
    <w:rsid w:val="00093C95"/>
    <w:rsid w:val="000A2E23"/>
    <w:rsid w:val="000A6CE7"/>
    <w:rsid w:val="000A7660"/>
    <w:rsid w:val="000B21B7"/>
    <w:rsid w:val="000B38B0"/>
    <w:rsid w:val="000B6839"/>
    <w:rsid w:val="000C0690"/>
    <w:rsid w:val="000C242D"/>
    <w:rsid w:val="000C414B"/>
    <w:rsid w:val="000C5A4C"/>
    <w:rsid w:val="000C6AD3"/>
    <w:rsid w:val="000D22BC"/>
    <w:rsid w:val="000D62CC"/>
    <w:rsid w:val="000D757C"/>
    <w:rsid w:val="000F00D6"/>
    <w:rsid w:val="000F4C8A"/>
    <w:rsid w:val="000F595E"/>
    <w:rsid w:val="000F6696"/>
    <w:rsid w:val="000F6D3A"/>
    <w:rsid w:val="000F7FD3"/>
    <w:rsid w:val="001018D1"/>
    <w:rsid w:val="00103077"/>
    <w:rsid w:val="0010312F"/>
    <w:rsid w:val="00113010"/>
    <w:rsid w:val="00113433"/>
    <w:rsid w:val="0011694C"/>
    <w:rsid w:val="001206C3"/>
    <w:rsid w:val="00124371"/>
    <w:rsid w:val="0013070E"/>
    <w:rsid w:val="00130903"/>
    <w:rsid w:val="00130B65"/>
    <w:rsid w:val="001339F0"/>
    <w:rsid w:val="001356D4"/>
    <w:rsid w:val="0013750D"/>
    <w:rsid w:val="001377A4"/>
    <w:rsid w:val="001462CD"/>
    <w:rsid w:val="00147A50"/>
    <w:rsid w:val="00147F93"/>
    <w:rsid w:val="001540AB"/>
    <w:rsid w:val="00157A0E"/>
    <w:rsid w:val="001632C7"/>
    <w:rsid w:val="0016391B"/>
    <w:rsid w:val="001640ED"/>
    <w:rsid w:val="001648AC"/>
    <w:rsid w:val="0017041D"/>
    <w:rsid w:val="00171224"/>
    <w:rsid w:val="001739E1"/>
    <w:rsid w:val="00174444"/>
    <w:rsid w:val="00176924"/>
    <w:rsid w:val="00182815"/>
    <w:rsid w:val="001901C6"/>
    <w:rsid w:val="00190964"/>
    <w:rsid w:val="001915D4"/>
    <w:rsid w:val="001975B6"/>
    <w:rsid w:val="001A1078"/>
    <w:rsid w:val="001A2FB8"/>
    <w:rsid w:val="001A454B"/>
    <w:rsid w:val="001A4CF9"/>
    <w:rsid w:val="001B0A71"/>
    <w:rsid w:val="001B30EE"/>
    <w:rsid w:val="001C028D"/>
    <w:rsid w:val="001C3675"/>
    <w:rsid w:val="001D04D3"/>
    <w:rsid w:val="001D1877"/>
    <w:rsid w:val="001D3AA7"/>
    <w:rsid w:val="001E06D6"/>
    <w:rsid w:val="001E0C6C"/>
    <w:rsid w:val="001E4586"/>
    <w:rsid w:val="001F031D"/>
    <w:rsid w:val="001F54B8"/>
    <w:rsid w:val="00201319"/>
    <w:rsid w:val="002022FA"/>
    <w:rsid w:val="00205CE5"/>
    <w:rsid w:val="00207F9D"/>
    <w:rsid w:val="00213112"/>
    <w:rsid w:val="0021636A"/>
    <w:rsid w:val="002219C3"/>
    <w:rsid w:val="00222DC8"/>
    <w:rsid w:val="00224AE1"/>
    <w:rsid w:val="00226D63"/>
    <w:rsid w:val="0023766F"/>
    <w:rsid w:val="00243F1C"/>
    <w:rsid w:val="00254146"/>
    <w:rsid w:val="00255C3E"/>
    <w:rsid w:val="002615B1"/>
    <w:rsid w:val="00261889"/>
    <w:rsid w:val="0026376B"/>
    <w:rsid w:val="002644BF"/>
    <w:rsid w:val="00266A61"/>
    <w:rsid w:val="00270BC7"/>
    <w:rsid w:val="00274A29"/>
    <w:rsid w:val="00285FFE"/>
    <w:rsid w:val="00286716"/>
    <w:rsid w:val="00287965"/>
    <w:rsid w:val="00291DF0"/>
    <w:rsid w:val="00291FC1"/>
    <w:rsid w:val="0029448B"/>
    <w:rsid w:val="00294E43"/>
    <w:rsid w:val="002A11D0"/>
    <w:rsid w:val="002A5BA0"/>
    <w:rsid w:val="002A64BF"/>
    <w:rsid w:val="002B44AC"/>
    <w:rsid w:val="002B512C"/>
    <w:rsid w:val="002B68CB"/>
    <w:rsid w:val="002B6B0C"/>
    <w:rsid w:val="002C06AC"/>
    <w:rsid w:val="002C2C33"/>
    <w:rsid w:val="002C2EE8"/>
    <w:rsid w:val="002C3811"/>
    <w:rsid w:val="002C516B"/>
    <w:rsid w:val="002D0023"/>
    <w:rsid w:val="002D0167"/>
    <w:rsid w:val="002D0BE5"/>
    <w:rsid w:val="002D19EF"/>
    <w:rsid w:val="002D1D93"/>
    <w:rsid w:val="002D4508"/>
    <w:rsid w:val="002D4807"/>
    <w:rsid w:val="002D7F67"/>
    <w:rsid w:val="002E2F27"/>
    <w:rsid w:val="002E3315"/>
    <w:rsid w:val="002F4439"/>
    <w:rsid w:val="002F7348"/>
    <w:rsid w:val="00300A3A"/>
    <w:rsid w:val="00301A29"/>
    <w:rsid w:val="00311244"/>
    <w:rsid w:val="00315EE3"/>
    <w:rsid w:val="00320DDE"/>
    <w:rsid w:val="00323D88"/>
    <w:rsid w:val="00324130"/>
    <w:rsid w:val="003304CD"/>
    <w:rsid w:val="003304E3"/>
    <w:rsid w:val="00331255"/>
    <w:rsid w:val="0033326D"/>
    <w:rsid w:val="00334522"/>
    <w:rsid w:val="00340812"/>
    <w:rsid w:val="00343676"/>
    <w:rsid w:val="00345854"/>
    <w:rsid w:val="00350DA8"/>
    <w:rsid w:val="00352EA1"/>
    <w:rsid w:val="00353994"/>
    <w:rsid w:val="003561D5"/>
    <w:rsid w:val="00357E79"/>
    <w:rsid w:val="00357EC7"/>
    <w:rsid w:val="00364A42"/>
    <w:rsid w:val="00366B34"/>
    <w:rsid w:val="00367781"/>
    <w:rsid w:val="00373971"/>
    <w:rsid w:val="00374D8D"/>
    <w:rsid w:val="00375C31"/>
    <w:rsid w:val="00375C65"/>
    <w:rsid w:val="00376EE6"/>
    <w:rsid w:val="003823A8"/>
    <w:rsid w:val="003848B0"/>
    <w:rsid w:val="00390E7A"/>
    <w:rsid w:val="00393881"/>
    <w:rsid w:val="00395F6B"/>
    <w:rsid w:val="0039773F"/>
    <w:rsid w:val="003A4295"/>
    <w:rsid w:val="003B239F"/>
    <w:rsid w:val="003B44E8"/>
    <w:rsid w:val="003B5965"/>
    <w:rsid w:val="003C375D"/>
    <w:rsid w:val="003C6B7A"/>
    <w:rsid w:val="003C7DD6"/>
    <w:rsid w:val="003D008D"/>
    <w:rsid w:val="003D3CEB"/>
    <w:rsid w:val="003D4EBE"/>
    <w:rsid w:val="003D51C3"/>
    <w:rsid w:val="003E00DC"/>
    <w:rsid w:val="003E0808"/>
    <w:rsid w:val="003E7011"/>
    <w:rsid w:val="003F1C21"/>
    <w:rsid w:val="003F3172"/>
    <w:rsid w:val="003F3FD3"/>
    <w:rsid w:val="004012BD"/>
    <w:rsid w:val="0040290E"/>
    <w:rsid w:val="00405B95"/>
    <w:rsid w:val="00406F9D"/>
    <w:rsid w:val="00415476"/>
    <w:rsid w:val="00420DC6"/>
    <w:rsid w:val="00421B28"/>
    <w:rsid w:val="004246C7"/>
    <w:rsid w:val="00427CF1"/>
    <w:rsid w:val="00431A44"/>
    <w:rsid w:val="0043282B"/>
    <w:rsid w:val="00441551"/>
    <w:rsid w:val="00442AC1"/>
    <w:rsid w:val="004466D8"/>
    <w:rsid w:val="00446A2A"/>
    <w:rsid w:val="0045182E"/>
    <w:rsid w:val="0045184C"/>
    <w:rsid w:val="004520D1"/>
    <w:rsid w:val="00453E6D"/>
    <w:rsid w:val="00455C7C"/>
    <w:rsid w:val="004573A8"/>
    <w:rsid w:val="00462486"/>
    <w:rsid w:val="00465045"/>
    <w:rsid w:val="00465BEA"/>
    <w:rsid w:val="0046761B"/>
    <w:rsid w:val="00472239"/>
    <w:rsid w:val="004815FE"/>
    <w:rsid w:val="004830A5"/>
    <w:rsid w:val="00483ECD"/>
    <w:rsid w:val="004849FF"/>
    <w:rsid w:val="00494E24"/>
    <w:rsid w:val="004977E3"/>
    <w:rsid w:val="00497E6D"/>
    <w:rsid w:val="004A0FC1"/>
    <w:rsid w:val="004A776E"/>
    <w:rsid w:val="004B043B"/>
    <w:rsid w:val="004B19DB"/>
    <w:rsid w:val="004B3B1F"/>
    <w:rsid w:val="004B7F27"/>
    <w:rsid w:val="004C3FC6"/>
    <w:rsid w:val="004C459D"/>
    <w:rsid w:val="004C7A29"/>
    <w:rsid w:val="004D08F6"/>
    <w:rsid w:val="004D10E8"/>
    <w:rsid w:val="004D319E"/>
    <w:rsid w:val="004F06D8"/>
    <w:rsid w:val="004F3F3A"/>
    <w:rsid w:val="004F4EB1"/>
    <w:rsid w:val="004F5C69"/>
    <w:rsid w:val="004F78DB"/>
    <w:rsid w:val="00501D42"/>
    <w:rsid w:val="00501DC8"/>
    <w:rsid w:val="00502BBD"/>
    <w:rsid w:val="00503614"/>
    <w:rsid w:val="005045C5"/>
    <w:rsid w:val="005065B4"/>
    <w:rsid w:val="00506AC5"/>
    <w:rsid w:val="00512EB3"/>
    <w:rsid w:val="00513E09"/>
    <w:rsid w:val="0051419A"/>
    <w:rsid w:val="0051727F"/>
    <w:rsid w:val="00521C22"/>
    <w:rsid w:val="00525FCD"/>
    <w:rsid w:val="00531FFE"/>
    <w:rsid w:val="00532C59"/>
    <w:rsid w:val="00532FBE"/>
    <w:rsid w:val="005338ED"/>
    <w:rsid w:val="00536F01"/>
    <w:rsid w:val="00544477"/>
    <w:rsid w:val="00557390"/>
    <w:rsid w:val="00566872"/>
    <w:rsid w:val="00566DF5"/>
    <w:rsid w:val="005673AE"/>
    <w:rsid w:val="0056774F"/>
    <w:rsid w:val="00567761"/>
    <w:rsid w:val="00570E6F"/>
    <w:rsid w:val="005712A0"/>
    <w:rsid w:val="005740AF"/>
    <w:rsid w:val="00577CDA"/>
    <w:rsid w:val="00583F5C"/>
    <w:rsid w:val="005853AE"/>
    <w:rsid w:val="00586175"/>
    <w:rsid w:val="00590EFB"/>
    <w:rsid w:val="005913D1"/>
    <w:rsid w:val="0059539D"/>
    <w:rsid w:val="005A7008"/>
    <w:rsid w:val="005B0B3E"/>
    <w:rsid w:val="005B18AF"/>
    <w:rsid w:val="005B199A"/>
    <w:rsid w:val="005B3CAF"/>
    <w:rsid w:val="005B3F70"/>
    <w:rsid w:val="005B4329"/>
    <w:rsid w:val="005B6124"/>
    <w:rsid w:val="005C0FE4"/>
    <w:rsid w:val="005C2424"/>
    <w:rsid w:val="005C5A9C"/>
    <w:rsid w:val="005C603B"/>
    <w:rsid w:val="005D1847"/>
    <w:rsid w:val="005D420D"/>
    <w:rsid w:val="005D6932"/>
    <w:rsid w:val="005E3757"/>
    <w:rsid w:val="005E3B47"/>
    <w:rsid w:val="005E41B6"/>
    <w:rsid w:val="005E4BEA"/>
    <w:rsid w:val="005E7B1A"/>
    <w:rsid w:val="005E7BA5"/>
    <w:rsid w:val="005F5EA6"/>
    <w:rsid w:val="005F6540"/>
    <w:rsid w:val="006011D0"/>
    <w:rsid w:val="006065E6"/>
    <w:rsid w:val="0060798C"/>
    <w:rsid w:val="006179ED"/>
    <w:rsid w:val="00617D73"/>
    <w:rsid w:val="00620CC4"/>
    <w:rsid w:val="006223FD"/>
    <w:rsid w:val="00633834"/>
    <w:rsid w:val="00634C25"/>
    <w:rsid w:val="0063559C"/>
    <w:rsid w:val="00635C5A"/>
    <w:rsid w:val="00636E48"/>
    <w:rsid w:val="00636F67"/>
    <w:rsid w:val="00637A0A"/>
    <w:rsid w:val="00643465"/>
    <w:rsid w:val="00645266"/>
    <w:rsid w:val="00645407"/>
    <w:rsid w:val="006471A4"/>
    <w:rsid w:val="00654431"/>
    <w:rsid w:val="006557B4"/>
    <w:rsid w:val="006576E6"/>
    <w:rsid w:val="006625BB"/>
    <w:rsid w:val="00663187"/>
    <w:rsid w:val="00663D25"/>
    <w:rsid w:val="00667C19"/>
    <w:rsid w:val="006707CB"/>
    <w:rsid w:val="00672BDB"/>
    <w:rsid w:val="00676D3C"/>
    <w:rsid w:val="00682E33"/>
    <w:rsid w:val="006850B2"/>
    <w:rsid w:val="00685851"/>
    <w:rsid w:val="00685952"/>
    <w:rsid w:val="006936D9"/>
    <w:rsid w:val="00693B9A"/>
    <w:rsid w:val="00697F06"/>
    <w:rsid w:val="006A3FFE"/>
    <w:rsid w:val="006B054B"/>
    <w:rsid w:val="006B1A99"/>
    <w:rsid w:val="006B4459"/>
    <w:rsid w:val="006B454D"/>
    <w:rsid w:val="006C45D9"/>
    <w:rsid w:val="006C68F6"/>
    <w:rsid w:val="006D31FA"/>
    <w:rsid w:val="006D3265"/>
    <w:rsid w:val="006D34AA"/>
    <w:rsid w:val="006D3903"/>
    <w:rsid w:val="006D4197"/>
    <w:rsid w:val="006D5348"/>
    <w:rsid w:val="006D54A5"/>
    <w:rsid w:val="006D7FC0"/>
    <w:rsid w:val="006E65BA"/>
    <w:rsid w:val="006F3676"/>
    <w:rsid w:val="006F3F40"/>
    <w:rsid w:val="006F5C3A"/>
    <w:rsid w:val="006F68DC"/>
    <w:rsid w:val="00705309"/>
    <w:rsid w:val="00705333"/>
    <w:rsid w:val="0071101C"/>
    <w:rsid w:val="00711036"/>
    <w:rsid w:val="00713883"/>
    <w:rsid w:val="00717CCB"/>
    <w:rsid w:val="00722039"/>
    <w:rsid w:val="00727288"/>
    <w:rsid w:val="00727A4D"/>
    <w:rsid w:val="00732ACA"/>
    <w:rsid w:val="00734D9A"/>
    <w:rsid w:val="0074434A"/>
    <w:rsid w:val="00744E23"/>
    <w:rsid w:val="00745007"/>
    <w:rsid w:val="00754396"/>
    <w:rsid w:val="00755A0F"/>
    <w:rsid w:val="007563D8"/>
    <w:rsid w:val="00761185"/>
    <w:rsid w:val="00763AA6"/>
    <w:rsid w:val="00767436"/>
    <w:rsid w:val="00767850"/>
    <w:rsid w:val="00776F42"/>
    <w:rsid w:val="00790520"/>
    <w:rsid w:val="0079249E"/>
    <w:rsid w:val="007A2D97"/>
    <w:rsid w:val="007A363F"/>
    <w:rsid w:val="007A4FD0"/>
    <w:rsid w:val="007A6650"/>
    <w:rsid w:val="007B0B81"/>
    <w:rsid w:val="007B0BDA"/>
    <w:rsid w:val="007C1000"/>
    <w:rsid w:val="007C1176"/>
    <w:rsid w:val="007C4413"/>
    <w:rsid w:val="007C5F01"/>
    <w:rsid w:val="007C67BF"/>
    <w:rsid w:val="007D22A7"/>
    <w:rsid w:val="007D26C1"/>
    <w:rsid w:val="007D29EE"/>
    <w:rsid w:val="007D4A26"/>
    <w:rsid w:val="007D7737"/>
    <w:rsid w:val="007E48D9"/>
    <w:rsid w:val="007E4E24"/>
    <w:rsid w:val="007E5A92"/>
    <w:rsid w:val="007E7E1C"/>
    <w:rsid w:val="007F0542"/>
    <w:rsid w:val="007F1D85"/>
    <w:rsid w:val="007F21A8"/>
    <w:rsid w:val="007F3893"/>
    <w:rsid w:val="00802FC2"/>
    <w:rsid w:val="00807C41"/>
    <w:rsid w:val="00810372"/>
    <w:rsid w:val="00811776"/>
    <w:rsid w:val="00811FFC"/>
    <w:rsid w:val="00814D3D"/>
    <w:rsid w:val="00820A8E"/>
    <w:rsid w:val="00822BEC"/>
    <w:rsid w:val="008277C0"/>
    <w:rsid w:val="00836E97"/>
    <w:rsid w:val="00840C5C"/>
    <w:rsid w:val="00841924"/>
    <w:rsid w:val="00842AE8"/>
    <w:rsid w:val="00843024"/>
    <w:rsid w:val="00843045"/>
    <w:rsid w:val="00844982"/>
    <w:rsid w:val="00845C47"/>
    <w:rsid w:val="008467A7"/>
    <w:rsid w:val="00850435"/>
    <w:rsid w:val="00854060"/>
    <w:rsid w:val="00854309"/>
    <w:rsid w:val="00855656"/>
    <w:rsid w:val="00856661"/>
    <w:rsid w:val="0085766E"/>
    <w:rsid w:val="008612EB"/>
    <w:rsid w:val="0086146C"/>
    <w:rsid w:val="00862EA6"/>
    <w:rsid w:val="00864EDF"/>
    <w:rsid w:val="008714A5"/>
    <w:rsid w:val="00874F79"/>
    <w:rsid w:val="008768E0"/>
    <w:rsid w:val="00877537"/>
    <w:rsid w:val="008829B5"/>
    <w:rsid w:val="008840DE"/>
    <w:rsid w:val="008841A1"/>
    <w:rsid w:val="0088499A"/>
    <w:rsid w:val="00887F47"/>
    <w:rsid w:val="00890730"/>
    <w:rsid w:val="008A1E79"/>
    <w:rsid w:val="008A7157"/>
    <w:rsid w:val="008A7C42"/>
    <w:rsid w:val="008B1F4E"/>
    <w:rsid w:val="008B5386"/>
    <w:rsid w:val="008B5AD0"/>
    <w:rsid w:val="008B7DFC"/>
    <w:rsid w:val="008C430C"/>
    <w:rsid w:val="008C518E"/>
    <w:rsid w:val="008C5DD8"/>
    <w:rsid w:val="008C5FF2"/>
    <w:rsid w:val="008C6559"/>
    <w:rsid w:val="008C7A94"/>
    <w:rsid w:val="008D0696"/>
    <w:rsid w:val="008D71DF"/>
    <w:rsid w:val="008E22D5"/>
    <w:rsid w:val="008E29EC"/>
    <w:rsid w:val="008E5547"/>
    <w:rsid w:val="008E6497"/>
    <w:rsid w:val="008F107E"/>
    <w:rsid w:val="008F4ED9"/>
    <w:rsid w:val="008F6B4D"/>
    <w:rsid w:val="009011DE"/>
    <w:rsid w:val="0090533D"/>
    <w:rsid w:val="009077A8"/>
    <w:rsid w:val="00913A30"/>
    <w:rsid w:val="00915A4D"/>
    <w:rsid w:val="00916750"/>
    <w:rsid w:val="00925EF7"/>
    <w:rsid w:val="00927C3D"/>
    <w:rsid w:val="00930632"/>
    <w:rsid w:val="009308E4"/>
    <w:rsid w:val="009335E3"/>
    <w:rsid w:val="00933EB6"/>
    <w:rsid w:val="00934394"/>
    <w:rsid w:val="0093575C"/>
    <w:rsid w:val="00936EDD"/>
    <w:rsid w:val="00936EDF"/>
    <w:rsid w:val="00937BEF"/>
    <w:rsid w:val="00940924"/>
    <w:rsid w:val="0094275E"/>
    <w:rsid w:val="009464EE"/>
    <w:rsid w:val="0094676A"/>
    <w:rsid w:val="00946895"/>
    <w:rsid w:val="0095014C"/>
    <w:rsid w:val="00953828"/>
    <w:rsid w:val="00955BF5"/>
    <w:rsid w:val="009603A1"/>
    <w:rsid w:val="00963C73"/>
    <w:rsid w:val="00966334"/>
    <w:rsid w:val="0096751E"/>
    <w:rsid w:val="009703E0"/>
    <w:rsid w:val="00972093"/>
    <w:rsid w:val="00972295"/>
    <w:rsid w:val="00973E40"/>
    <w:rsid w:val="0097514F"/>
    <w:rsid w:val="00975545"/>
    <w:rsid w:val="00981352"/>
    <w:rsid w:val="00983446"/>
    <w:rsid w:val="009836B1"/>
    <w:rsid w:val="00986C0C"/>
    <w:rsid w:val="0098749E"/>
    <w:rsid w:val="009919B5"/>
    <w:rsid w:val="00991C85"/>
    <w:rsid w:val="00994E32"/>
    <w:rsid w:val="009A1249"/>
    <w:rsid w:val="009A6C63"/>
    <w:rsid w:val="009B20D0"/>
    <w:rsid w:val="009B23E0"/>
    <w:rsid w:val="009B4C39"/>
    <w:rsid w:val="009C27A1"/>
    <w:rsid w:val="009D056B"/>
    <w:rsid w:val="009D4CCF"/>
    <w:rsid w:val="009D79C4"/>
    <w:rsid w:val="009D7AB9"/>
    <w:rsid w:val="009E6163"/>
    <w:rsid w:val="009E7EAD"/>
    <w:rsid w:val="009F6966"/>
    <w:rsid w:val="009F6E70"/>
    <w:rsid w:val="00A01C04"/>
    <w:rsid w:val="00A02287"/>
    <w:rsid w:val="00A05AFC"/>
    <w:rsid w:val="00A1004F"/>
    <w:rsid w:val="00A26FA3"/>
    <w:rsid w:val="00A31758"/>
    <w:rsid w:val="00A441EE"/>
    <w:rsid w:val="00A443E1"/>
    <w:rsid w:val="00A45895"/>
    <w:rsid w:val="00A46C47"/>
    <w:rsid w:val="00A46F30"/>
    <w:rsid w:val="00A53749"/>
    <w:rsid w:val="00A60176"/>
    <w:rsid w:val="00A644A5"/>
    <w:rsid w:val="00A64C22"/>
    <w:rsid w:val="00A651DC"/>
    <w:rsid w:val="00A73E2D"/>
    <w:rsid w:val="00A80D82"/>
    <w:rsid w:val="00A85A37"/>
    <w:rsid w:val="00A920AE"/>
    <w:rsid w:val="00A93C0A"/>
    <w:rsid w:val="00A94F98"/>
    <w:rsid w:val="00AA2265"/>
    <w:rsid w:val="00AA3022"/>
    <w:rsid w:val="00AB09D2"/>
    <w:rsid w:val="00AC7D05"/>
    <w:rsid w:val="00AD2C81"/>
    <w:rsid w:val="00AD3EA8"/>
    <w:rsid w:val="00AD5614"/>
    <w:rsid w:val="00AD615A"/>
    <w:rsid w:val="00AD6DF1"/>
    <w:rsid w:val="00AD773F"/>
    <w:rsid w:val="00AE008D"/>
    <w:rsid w:val="00AE19BC"/>
    <w:rsid w:val="00AE2A82"/>
    <w:rsid w:val="00AE2DBE"/>
    <w:rsid w:val="00AE3078"/>
    <w:rsid w:val="00AE379B"/>
    <w:rsid w:val="00AE3CB8"/>
    <w:rsid w:val="00AE5E11"/>
    <w:rsid w:val="00AF189C"/>
    <w:rsid w:val="00AF6A09"/>
    <w:rsid w:val="00AF7FA4"/>
    <w:rsid w:val="00B02C28"/>
    <w:rsid w:val="00B06DF6"/>
    <w:rsid w:val="00B07B5F"/>
    <w:rsid w:val="00B10325"/>
    <w:rsid w:val="00B10622"/>
    <w:rsid w:val="00B106EC"/>
    <w:rsid w:val="00B12D40"/>
    <w:rsid w:val="00B14AA8"/>
    <w:rsid w:val="00B22929"/>
    <w:rsid w:val="00B230D6"/>
    <w:rsid w:val="00B319F4"/>
    <w:rsid w:val="00B406C8"/>
    <w:rsid w:val="00B43103"/>
    <w:rsid w:val="00B45EB6"/>
    <w:rsid w:val="00B4676B"/>
    <w:rsid w:val="00B470B8"/>
    <w:rsid w:val="00B5136E"/>
    <w:rsid w:val="00B52F97"/>
    <w:rsid w:val="00B53029"/>
    <w:rsid w:val="00B56FE1"/>
    <w:rsid w:val="00B5735F"/>
    <w:rsid w:val="00B60EE3"/>
    <w:rsid w:val="00B62561"/>
    <w:rsid w:val="00B6454B"/>
    <w:rsid w:val="00B74B79"/>
    <w:rsid w:val="00B74D6C"/>
    <w:rsid w:val="00B84F74"/>
    <w:rsid w:val="00B87B3E"/>
    <w:rsid w:val="00B91254"/>
    <w:rsid w:val="00B917DB"/>
    <w:rsid w:val="00B92750"/>
    <w:rsid w:val="00B93601"/>
    <w:rsid w:val="00B94E23"/>
    <w:rsid w:val="00B956B9"/>
    <w:rsid w:val="00BA2282"/>
    <w:rsid w:val="00BA410C"/>
    <w:rsid w:val="00BA4E79"/>
    <w:rsid w:val="00BA789A"/>
    <w:rsid w:val="00BB208B"/>
    <w:rsid w:val="00BB52EA"/>
    <w:rsid w:val="00BC1059"/>
    <w:rsid w:val="00BC3EC5"/>
    <w:rsid w:val="00BC7A77"/>
    <w:rsid w:val="00BD1156"/>
    <w:rsid w:val="00BD17CB"/>
    <w:rsid w:val="00BD20F3"/>
    <w:rsid w:val="00BD50F6"/>
    <w:rsid w:val="00BD5199"/>
    <w:rsid w:val="00BD76AD"/>
    <w:rsid w:val="00BD7FDD"/>
    <w:rsid w:val="00BE08A3"/>
    <w:rsid w:val="00BE5981"/>
    <w:rsid w:val="00BF5857"/>
    <w:rsid w:val="00C01389"/>
    <w:rsid w:val="00C030BE"/>
    <w:rsid w:val="00C06C72"/>
    <w:rsid w:val="00C11EB3"/>
    <w:rsid w:val="00C13834"/>
    <w:rsid w:val="00C143EE"/>
    <w:rsid w:val="00C160E9"/>
    <w:rsid w:val="00C2235E"/>
    <w:rsid w:val="00C264BE"/>
    <w:rsid w:val="00C265ED"/>
    <w:rsid w:val="00C26B52"/>
    <w:rsid w:val="00C27BE8"/>
    <w:rsid w:val="00C422EE"/>
    <w:rsid w:val="00C52C1A"/>
    <w:rsid w:val="00C535A6"/>
    <w:rsid w:val="00C549FE"/>
    <w:rsid w:val="00C55EB9"/>
    <w:rsid w:val="00C6033A"/>
    <w:rsid w:val="00C650FB"/>
    <w:rsid w:val="00C70116"/>
    <w:rsid w:val="00C763B4"/>
    <w:rsid w:val="00C82F92"/>
    <w:rsid w:val="00C8337D"/>
    <w:rsid w:val="00C84A30"/>
    <w:rsid w:val="00C91B39"/>
    <w:rsid w:val="00C91DA0"/>
    <w:rsid w:val="00C92209"/>
    <w:rsid w:val="00C94BB5"/>
    <w:rsid w:val="00CA0982"/>
    <w:rsid w:val="00CA1BC4"/>
    <w:rsid w:val="00CA792F"/>
    <w:rsid w:val="00CA79D2"/>
    <w:rsid w:val="00CB0A4E"/>
    <w:rsid w:val="00CB1033"/>
    <w:rsid w:val="00CB6103"/>
    <w:rsid w:val="00CC0513"/>
    <w:rsid w:val="00CC7660"/>
    <w:rsid w:val="00CD2DF9"/>
    <w:rsid w:val="00CD4BFA"/>
    <w:rsid w:val="00CD5CB0"/>
    <w:rsid w:val="00CF0A0B"/>
    <w:rsid w:val="00D05B79"/>
    <w:rsid w:val="00D06184"/>
    <w:rsid w:val="00D06BFF"/>
    <w:rsid w:val="00D06DD0"/>
    <w:rsid w:val="00D1152C"/>
    <w:rsid w:val="00D1195D"/>
    <w:rsid w:val="00D11C96"/>
    <w:rsid w:val="00D16712"/>
    <w:rsid w:val="00D22A12"/>
    <w:rsid w:val="00D25662"/>
    <w:rsid w:val="00D27669"/>
    <w:rsid w:val="00D27EA4"/>
    <w:rsid w:val="00D318FB"/>
    <w:rsid w:val="00D31FBF"/>
    <w:rsid w:val="00D36B85"/>
    <w:rsid w:val="00D37DDD"/>
    <w:rsid w:val="00D408E9"/>
    <w:rsid w:val="00D41623"/>
    <w:rsid w:val="00D4408F"/>
    <w:rsid w:val="00D45C5B"/>
    <w:rsid w:val="00D55B88"/>
    <w:rsid w:val="00D5745A"/>
    <w:rsid w:val="00D6038D"/>
    <w:rsid w:val="00D6323D"/>
    <w:rsid w:val="00D64639"/>
    <w:rsid w:val="00D66EC7"/>
    <w:rsid w:val="00D7253C"/>
    <w:rsid w:val="00D75E21"/>
    <w:rsid w:val="00D76C37"/>
    <w:rsid w:val="00D8511E"/>
    <w:rsid w:val="00D858EA"/>
    <w:rsid w:val="00D86892"/>
    <w:rsid w:val="00D87D6D"/>
    <w:rsid w:val="00D90B2B"/>
    <w:rsid w:val="00D91CAC"/>
    <w:rsid w:val="00D96EDC"/>
    <w:rsid w:val="00D979BB"/>
    <w:rsid w:val="00DA0A9E"/>
    <w:rsid w:val="00DA1D98"/>
    <w:rsid w:val="00DA27AE"/>
    <w:rsid w:val="00DA28B7"/>
    <w:rsid w:val="00DA3A13"/>
    <w:rsid w:val="00DA3AB6"/>
    <w:rsid w:val="00DA430B"/>
    <w:rsid w:val="00DA6136"/>
    <w:rsid w:val="00DA65BF"/>
    <w:rsid w:val="00DA79A8"/>
    <w:rsid w:val="00DB14C9"/>
    <w:rsid w:val="00DB2D91"/>
    <w:rsid w:val="00DB4550"/>
    <w:rsid w:val="00DC25BD"/>
    <w:rsid w:val="00DC5843"/>
    <w:rsid w:val="00DD0893"/>
    <w:rsid w:val="00DD69F8"/>
    <w:rsid w:val="00DE0FB0"/>
    <w:rsid w:val="00DE7FC0"/>
    <w:rsid w:val="00DF14E3"/>
    <w:rsid w:val="00DF1C51"/>
    <w:rsid w:val="00DF50B6"/>
    <w:rsid w:val="00E02CB2"/>
    <w:rsid w:val="00E056B5"/>
    <w:rsid w:val="00E064DC"/>
    <w:rsid w:val="00E075D4"/>
    <w:rsid w:val="00E0784F"/>
    <w:rsid w:val="00E078FE"/>
    <w:rsid w:val="00E07B20"/>
    <w:rsid w:val="00E10499"/>
    <w:rsid w:val="00E134FE"/>
    <w:rsid w:val="00E146B8"/>
    <w:rsid w:val="00E16325"/>
    <w:rsid w:val="00E17C2B"/>
    <w:rsid w:val="00E237E2"/>
    <w:rsid w:val="00E25EB1"/>
    <w:rsid w:val="00E279E7"/>
    <w:rsid w:val="00E31810"/>
    <w:rsid w:val="00E32E45"/>
    <w:rsid w:val="00E44587"/>
    <w:rsid w:val="00E46004"/>
    <w:rsid w:val="00E51830"/>
    <w:rsid w:val="00E54766"/>
    <w:rsid w:val="00E5480B"/>
    <w:rsid w:val="00E60EE9"/>
    <w:rsid w:val="00E64489"/>
    <w:rsid w:val="00E66C5B"/>
    <w:rsid w:val="00E75C4B"/>
    <w:rsid w:val="00E777F8"/>
    <w:rsid w:val="00E82791"/>
    <w:rsid w:val="00E843FD"/>
    <w:rsid w:val="00E97AD6"/>
    <w:rsid w:val="00EA0BEB"/>
    <w:rsid w:val="00EA365E"/>
    <w:rsid w:val="00EA515A"/>
    <w:rsid w:val="00EB4756"/>
    <w:rsid w:val="00EB4ADA"/>
    <w:rsid w:val="00EB78AE"/>
    <w:rsid w:val="00EC3C40"/>
    <w:rsid w:val="00EC496F"/>
    <w:rsid w:val="00EC52C1"/>
    <w:rsid w:val="00ED055F"/>
    <w:rsid w:val="00ED2AB8"/>
    <w:rsid w:val="00ED4FED"/>
    <w:rsid w:val="00ED6C9E"/>
    <w:rsid w:val="00EE11AB"/>
    <w:rsid w:val="00EE16D6"/>
    <w:rsid w:val="00EF40E4"/>
    <w:rsid w:val="00EF6A91"/>
    <w:rsid w:val="00F05573"/>
    <w:rsid w:val="00F058EB"/>
    <w:rsid w:val="00F10C53"/>
    <w:rsid w:val="00F13910"/>
    <w:rsid w:val="00F16646"/>
    <w:rsid w:val="00F166BE"/>
    <w:rsid w:val="00F16B59"/>
    <w:rsid w:val="00F16E20"/>
    <w:rsid w:val="00F16E4F"/>
    <w:rsid w:val="00F17699"/>
    <w:rsid w:val="00F23EB1"/>
    <w:rsid w:val="00F251F3"/>
    <w:rsid w:val="00F269AA"/>
    <w:rsid w:val="00F274D0"/>
    <w:rsid w:val="00F275A4"/>
    <w:rsid w:val="00F315FA"/>
    <w:rsid w:val="00F31B70"/>
    <w:rsid w:val="00F4211B"/>
    <w:rsid w:val="00F44314"/>
    <w:rsid w:val="00F45A33"/>
    <w:rsid w:val="00F477B1"/>
    <w:rsid w:val="00F5097F"/>
    <w:rsid w:val="00F5381E"/>
    <w:rsid w:val="00F54DD8"/>
    <w:rsid w:val="00F64F44"/>
    <w:rsid w:val="00F67497"/>
    <w:rsid w:val="00F7042C"/>
    <w:rsid w:val="00F74216"/>
    <w:rsid w:val="00F7473F"/>
    <w:rsid w:val="00F76C02"/>
    <w:rsid w:val="00F7701F"/>
    <w:rsid w:val="00F81B77"/>
    <w:rsid w:val="00F833A0"/>
    <w:rsid w:val="00F84851"/>
    <w:rsid w:val="00F86FD8"/>
    <w:rsid w:val="00F87194"/>
    <w:rsid w:val="00F87C72"/>
    <w:rsid w:val="00F9170B"/>
    <w:rsid w:val="00F918C1"/>
    <w:rsid w:val="00F91EC9"/>
    <w:rsid w:val="00F967DE"/>
    <w:rsid w:val="00FA4006"/>
    <w:rsid w:val="00FA479B"/>
    <w:rsid w:val="00FA4C7C"/>
    <w:rsid w:val="00FA6953"/>
    <w:rsid w:val="00FB3861"/>
    <w:rsid w:val="00FC7EC2"/>
    <w:rsid w:val="00FD05E7"/>
    <w:rsid w:val="00FD072B"/>
    <w:rsid w:val="00FD23BE"/>
    <w:rsid w:val="00FD4093"/>
    <w:rsid w:val="00FD5743"/>
    <w:rsid w:val="00FD6311"/>
    <w:rsid w:val="00FE2131"/>
    <w:rsid w:val="00FE58E0"/>
    <w:rsid w:val="00FF3131"/>
    <w:rsid w:val="00FF3485"/>
    <w:rsid w:val="00FF4D90"/>
    <w:rsid w:val="17DA75B1"/>
    <w:rsid w:val="41A84B21"/>
    <w:rsid w:val="474D11F9"/>
    <w:rsid w:val="5B6D63AC"/>
    <w:rsid w:val="5D745915"/>
    <w:rsid w:val="7A8D4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iPriority="99" w:name="Normal Indent"/>
    <w:lsdException w:unhideWhenUsed="0" w:uiPriority="0" w:semiHidden="0" w:name="footnote text"/>
    <w:lsdException w:qFormat="1" w:uiPriority="99" w:semiHidden="0" w:name="annotation text"/>
    <w:lsdException w:qFormat="1" w:uiPriority="0" w:semiHidden="0" w:name="header"/>
    <w:lsdException w:qFormat="1" w:uiPriority="99" w:semiHidden="0" w:name="footer"/>
    <w:lsdException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unhideWhenUsed="0" w:uiPriority="0" w:semiHidden="0" w:name="footnote reference"/>
    <w:lsdException w:qFormat="1" w:uiPriority="99" w:semiHidden="0" w:name="annotation reference"/>
    <w:lsdException w:uiPriority="99" w:name="line number"/>
    <w:lsdException w:qFormat="1" w:unhideWhenUsed="0" w:uiPriority="0" w:semiHidden="0" w:name="page number"/>
    <w:lsdException w:unhideWhenUsed="0" w:uiPriority="0" w:semiHidden="0" w:name="endnote reference"/>
    <w:lsdException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99" w:semiHidden="0" w:name="Body Text Indent 2"/>
    <w:lsdException w:uiPriority="99" w:name="Body Text Indent 3"/>
    <w:lsdException w:uiPriority="99" w:name="Block Text"/>
    <w:lsdException w:qFormat="1" w:uiPriority="0" w:semiHidden="0" w:name="Hyperlink"/>
    <w:lsdException w:qFormat="1" w:uiPriority="99" w:name="FollowedHyperlink"/>
    <w:lsdException w:qFormat="1" w:unhideWhenUsed="0" w:uiPriority="22" w:semiHidden="0" w:name="Strong"/>
    <w:lsdException w:qFormat="1" w:unhideWhenUsed="0" w:uiPriority="20" w:semiHidden="0" w:name="Emphasis"/>
    <w:lsdException w:unhideWhenUsed="0" w:uiPriority="99" w:semiHidden="0" w:name="Document Map"/>
    <w:lsdException w:qFormat="1" w:unhideWhenUsed="0"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58"/>
    <w:qFormat/>
    <w:uiPriority w:val="0"/>
    <w:pPr>
      <w:adjustRightInd w:val="0"/>
      <w:spacing w:line="560" w:lineRule="exact"/>
      <w:ind w:firstLine="640" w:firstLineChars="200"/>
      <w:outlineLvl w:val="0"/>
    </w:pPr>
    <w:rPr>
      <w:rFonts w:ascii="黑体" w:hAnsi="黑体" w:eastAsia="黑体" w:cs="Times New Roman"/>
      <w:kern w:val="0"/>
      <w:sz w:val="32"/>
      <w:szCs w:val="32"/>
    </w:rPr>
  </w:style>
  <w:style w:type="paragraph" w:styleId="3">
    <w:name w:val="heading 2"/>
    <w:basedOn w:val="1"/>
    <w:next w:val="1"/>
    <w:link w:val="59"/>
    <w:qFormat/>
    <w:uiPriority w:val="99"/>
    <w:pPr>
      <w:keepNext/>
      <w:keepLines/>
      <w:spacing w:before="260" w:after="260" w:line="416" w:lineRule="auto"/>
      <w:outlineLvl w:val="1"/>
    </w:pPr>
    <w:rPr>
      <w:rFonts w:ascii="Cambria" w:hAnsi="Cambria" w:eastAsia="宋体" w:cs="Times New Roman"/>
      <w:b/>
      <w:bCs/>
      <w:kern w:val="0"/>
      <w:sz w:val="32"/>
      <w:szCs w:val="32"/>
    </w:rPr>
  </w:style>
  <w:style w:type="character" w:default="1" w:styleId="42">
    <w:name w:val="Default Paragraph Font"/>
    <w:semiHidden/>
    <w:unhideWhenUsed/>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uiPriority w:val="0"/>
    <w:pPr>
      <w:tabs>
        <w:tab w:val="right" w:leader="dot" w:pos="9241"/>
      </w:tabs>
      <w:ind w:firstLine="500" w:firstLineChars="500"/>
      <w:jc w:val="left"/>
    </w:pPr>
    <w:rPr>
      <w:rFonts w:ascii="宋体" w:hAnsi="Times New Roman" w:eastAsia="宋体" w:cs="Times New Roman"/>
      <w:szCs w:val="21"/>
    </w:rPr>
  </w:style>
  <w:style w:type="paragraph" w:styleId="5">
    <w:name w:val="index 8"/>
    <w:basedOn w:val="1"/>
    <w:next w:val="1"/>
    <w:uiPriority w:val="0"/>
    <w:pPr>
      <w:ind w:left="1680" w:hanging="210"/>
      <w:jc w:val="left"/>
    </w:pPr>
    <w:rPr>
      <w:rFonts w:ascii="Calibri" w:hAnsi="Calibri" w:eastAsia="宋体" w:cs="Times New Roman"/>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uiPriority w:val="0"/>
    <w:pPr>
      <w:ind w:left="1050" w:hanging="210"/>
      <w:jc w:val="left"/>
    </w:pPr>
    <w:rPr>
      <w:rFonts w:ascii="Calibri" w:hAnsi="Calibri" w:eastAsia="宋体" w:cs="Times New Roman"/>
      <w:sz w:val="20"/>
      <w:szCs w:val="20"/>
    </w:rPr>
  </w:style>
  <w:style w:type="paragraph" w:styleId="8">
    <w:name w:val="Document Map"/>
    <w:basedOn w:val="1"/>
    <w:link w:val="82"/>
    <w:uiPriority w:val="99"/>
    <w:pPr>
      <w:shd w:val="clear" w:color="auto" w:fill="000080"/>
    </w:pPr>
    <w:rPr>
      <w:szCs w:val="24"/>
    </w:rPr>
  </w:style>
  <w:style w:type="paragraph" w:styleId="9">
    <w:name w:val="annotation text"/>
    <w:basedOn w:val="1"/>
    <w:link w:val="55"/>
    <w:unhideWhenUsed/>
    <w:qFormat/>
    <w:uiPriority w:val="99"/>
    <w:pPr>
      <w:jc w:val="left"/>
    </w:pPr>
  </w:style>
  <w:style w:type="paragraph" w:styleId="10">
    <w:name w:val="index 6"/>
    <w:basedOn w:val="1"/>
    <w:next w:val="1"/>
    <w:uiPriority w:val="0"/>
    <w:pPr>
      <w:ind w:left="1260" w:hanging="210"/>
      <w:jc w:val="left"/>
    </w:pPr>
    <w:rPr>
      <w:rFonts w:ascii="Calibri" w:hAnsi="Calibri" w:eastAsia="宋体" w:cs="Times New Roman"/>
      <w:sz w:val="20"/>
      <w:szCs w:val="20"/>
    </w:rPr>
  </w:style>
  <w:style w:type="paragraph" w:styleId="11">
    <w:name w:val="Body Text"/>
    <w:basedOn w:val="1"/>
    <w:link w:val="53"/>
    <w:qFormat/>
    <w:uiPriority w:val="0"/>
    <w:pPr>
      <w:spacing w:after="120"/>
    </w:pPr>
    <w:rPr>
      <w:rFonts w:ascii="Times New Roman" w:hAnsi="Times New Roman" w:eastAsia="宋体" w:cs="Times New Roman"/>
      <w:szCs w:val="20"/>
    </w:rPr>
  </w:style>
  <w:style w:type="paragraph" w:styleId="12">
    <w:name w:val="Body Text Indent"/>
    <w:basedOn w:val="1"/>
    <w:link w:val="63"/>
    <w:qFormat/>
    <w:uiPriority w:val="99"/>
    <w:pPr>
      <w:spacing w:after="120"/>
      <w:ind w:left="420" w:leftChars="200"/>
    </w:pPr>
    <w:rPr>
      <w:rFonts w:ascii="Calibri" w:hAnsi="Calibri" w:eastAsia="宋体" w:cs="Times New Roman"/>
      <w:sz w:val="24"/>
      <w:szCs w:val="20"/>
    </w:rPr>
  </w:style>
  <w:style w:type="paragraph" w:styleId="13">
    <w:name w:val="index 4"/>
    <w:basedOn w:val="1"/>
    <w:next w:val="1"/>
    <w:uiPriority w:val="0"/>
    <w:pPr>
      <w:ind w:left="840" w:hanging="210"/>
      <w:jc w:val="left"/>
    </w:pPr>
    <w:rPr>
      <w:rFonts w:ascii="Calibri" w:hAnsi="Calibri" w:eastAsia="宋体" w:cs="Times New Roman"/>
      <w:sz w:val="20"/>
      <w:szCs w:val="20"/>
    </w:rPr>
  </w:style>
  <w:style w:type="paragraph" w:styleId="14">
    <w:name w:val="toc 5"/>
    <w:basedOn w:val="1"/>
    <w:next w:val="1"/>
    <w:uiPriority w:val="0"/>
    <w:pPr>
      <w:tabs>
        <w:tab w:val="right" w:leader="dot" w:pos="9241"/>
      </w:tabs>
      <w:ind w:firstLine="300" w:firstLineChars="300"/>
      <w:jc w:val="left"/>
    </w:pPr>
    <w:rPr>
      <w:rFonts w:ascii="宋体" w:hAnsi="Times New Roman" w:eastAsia="宋体" w:cs="Times New Roman"/>
      <w:szCs w:val="21"/>
    </w:rPr>
  </w:style>
  <w:style w:type="paragraph" w:styleId="15">
    <w:name w:val="toc 3"/>
    <w:basedOn w:val="1"/>
    <w:next w:val="1"/>
    <w:uiPriority w:val="0"/>
    <w:pPr>
      <w:tabs>
        <w:tab w:val="right" w:leader="dot" w:pos="9241"/>
      </w:tabs>
      <w:ind w:firstLine="100" w:firstLineChars="100"/>
      <w:jc w:val="left"/>
    </w:pPr>
    <w:rPr>
      <w:rFonts w:ascii="宋体" w:hAnsi="Times New Roman" w:eastAsia="宋体" w:cs="Times New Roman"/>
      <w:szCs w:val="21"/>
    </w:rPr>
  </w:style>
  <w:style w:type="paragraph" w:styleId="16">
    <w:name w:val="Plain Text"/>
    <w:basedOn w:val="1"/>
    <w:link w:val="62"/>
    <w:qFormat/>
    <w:uiPriority w:val="99"/>
    <w:rPr>
      <w:rFonts w:ascii="宋体" w:hAnsi="Courier New" w:eastAsia="宋体" w:cs="Courier New"/>
      <w:szCs w:val="21"/>
    </w:rPr>
  </w:style>
  <w:style w:type="paragraph" w:styleId="17">
    <w:name w:val="toc 8"/>
    <w:basedOn w:val="1"/>
    <w:next w:val="1"/>
    <w:uiPriority w:val="0"/>
    <w:pPr>
      <w:tabs>
        <w:tab w:val="right" w:leader="dot" w:pos="9241"/>
      </w:tabs>
      <w:ind w:firstLine="607" w:firstLineChars="600"/>
      <w:jc w:val="left"/>
    </w:pPr>
    <w:rPr>
      <w:rFonts w:ascii="宋体" w:hAnsi="Times New Roman" w:eastAsia="宋体" w:cs="Times New Roman"/>
      <w:szCs w:val="21"/>
    </w:rPr>
  </w:style>
  <w:style w:type="paragraph" w:styleId="18">
    <w:name w:val="index 3"/>
    <w:basedOn w:val="1"/>
    <w:next w:val="1"/>
    <w:uiPriority w:val="0"/>
    <w:pPr>
      <w:ind w:left="630" w:hanging="210"/>
      <w:jc w:val="left"/>
    </w:pPr>
    <w:rPr>
      <w:rFonts w:ascii="Calibri" w:hAnsi="Calibri" w:eastAsia="宋体" w:cs="Times New Roman"/>
      <w:sz w:val="20"/>
      <w:szCs w:val="20"/>
    </w:rPr>
  </w:style>
  <w:style w:type="paragraph" w:styleId="19">
    <w:name w:val="Date"/>
    <w:basedOn w:val="1"/>
    <w:next w:val="1"/>
    <w:link w:val="65"/>
    <w:unhideWhenUsed/>
    <w:qFormat/>
    <w:uiPriority w:val="99"/>
    <w:pPr>
      <w:ind w:left="100" w:leftChars="2500"/>
    </w:pPr>
    <w:rPr>
      <w:rFonts w:ascii="Calibri" w:hAnsi="Calibri" w:eastAsia="宋体" w:cs="Times New Roman"/>
    </w:rPr>
  </w:style>
  <w:style w:type="paragraph" w:styleId="20">
    <w:name w:val="Body Text Indent 2"/>
    <w:basedOn w:val="1"/>
    <w:link w:val="60"/>
    <w:qFormat/>
    <w:uiPriority w:val="99"/>
    <w:pPr>
      <w:spacing w:after="120" w:line="480" w:lineRule="auto"/>
      <w:ind w:left="420" w:leftChars="200"/>
    </w:pPr>
    <w:rPr>
      <w:rFonts w:ascii="Calibri" w:hAnsi="Calibri" w:eastAsia="宋体" w:cs="Times New Roman"/>
      <w:kern w:val="0"/>
      <w:sz w:val="20"/>
      <w:szCs w:val="20"/>
    </w:rPr>
  </w:style>
  <w:style w:type="paragraph" w:styleId="21">
    <w:name w:val="endnote text"/>
    <w:basedOn w:val="1"/>
    <w:link w:val="68"/>
    <w:uiPriority w:val="0"/>
    <w:pPr>
      <w:snapToGrid w:val="0"/>
      <w:jc w:val="left"/>
    </w:pPr>
    <w:rPr>
      <w:szCs w:val="24"/>
    </w:rPr>
  </w:style>
  <w:style w:type="paragraph" w:styleId="22">
    <w:name w:val="Balloon Text"/>
    <w:basedOn w:val="1"/>
    <w:link w:val="57"/>
    <w:unhideWhenUsed/>
    <w:qFormat/>
    <w:uiPriority w:val="99"/>
    <w:rPr>
      <w:sz w:val="18"/>
      <w:szCs w:val="18"/>
    </w:rPr>
  </w:style>
  <w:style w:type="paragraph" w:styleId="23">
    <w:name w:val="footer"/>
    <w:basedOn w:val="1"/>
    <w:link w:val="52"/>
    <w:unhideWhenUsed/>
    <w:qFormat/>
    <w:uiPriority w:val="99"/>
    <w:pPr>
      <w:tabs>
        <w:tab w:val="center" w:pos="4153"/>
        <w:tab w:val="right" w:pos="8306"/>
      </w:tabs>
      <w:snapToGrid w:val="0"/>
      <w:jc w:val="left"/>
    </w:pPr>
    <w:rPr>
      <w:sz w:val="18"/>
      <w:szCs w:val="18"/>
    </w:rPr>
  </w:style>
  <w:style w:type="paragraph" w:styleId="24">
    <w:name w:val="header"/>
    <w:basedOn w:val="1"/>
    <w:link w:val="51"/>
    <w:unhideWhenUsed/>
    <w:qFormat/>
    <w:uiPriority w:val="0"/>
    <w:pPr>
      <w:pBdr>
        <w:bottom w:val="single" w:color="auto" w:sz="6" w:space="1"/>
      </w:pBdr>
      <w:tabs>
        <w:tab w:val="center" w:pos="4153"/>
        <w:tab w:val="right" w:pos="8306"/>
      </w:tabs>
      <w:snapToGrid w:val="0"/>
      <w:jc w:val="center"/>
    </w:pPr>
    <w:rPr>
      <w:sz w:val="18"/>
      <w:szCs w:val="18"/>
    </w:rPr>
  </w:style>
  <w:style w:type="paragraph" w:styleId="25">
    <w:name w:val="toc 1"/>
    <w:basedOn w:val="1"/>
    <w:next w:val="1"/>
    <w:uiPriority w:val="0"/>
    <w:pPr>
      <w:tabs>
        <w:tab w:val="right" w:leader="dot" w:pos="9242"/>
      </w:tabs>
      <w:spacing w:beforeLines="25" w:afterLines="25"/>
      <w:jc w:val="left"/>
    </w:pPr>
    <w:rPr>
      <w:rFonts w:ascii="宋体" w:hAnsi="Times New Roman" w:eastAsia="宋体" w:cs="Times New Roman"/>
      <w:szCs w:val="21"/>
    </w:rPr>
  </w:style>
  <w:style w:type="paragraph" w:styleId="26">
    <w:name w:val="toc 4"/>
    <w:basedOn w:val="1"/>
    <w:next w:val="1"/>
    <w:uiPriority w:val="0"/>
    <w:pPr>
      <w:tabs>
        <w:tab w:val="right" w:leader="dot" w:pos="9241"/>
      </w:tabs>
      <w:ind w:firstLine="200" w:firstLineChars="200"/>
      <w:jc w:val="left"/>
    </w:pPr>
    <w:rPr>
      <w:rFonts w:ascii="宋体" w:hAnsi="Times New Roman" w:eastAsia="宋体" w:cs="Times New Roman"/>
      <w:szCs w:val="21"/>
    </w:rPr>
  </w:style>
  <w:style w:type="paragraph" w:styleId="27">
    <w:name w:val="index heading"/>
    <w:basedOn w:val="1"/>
    <w:next w:val="28"/>
    <w:uiPriority w:val="0"/>
    <w:pPr>
      <w:spacing w:before="120" w:after="120"/>
      <w:jc w:val="center"/>
    </w:pPr>
    <w:rPr>
      <w:rFonts w:ascii="Calibri" w:hAnsi="Calibri" w:eastAsia="宋体" w:cs="Times New Roman"/>
      <w:b/>
      <w:bCs/>
      <w:iCs/>
      <w:szCs w:val="20"/>
    </w:rPr>
  </w:style>
  <w:style w:type="paragraph" w:styleId="28">
    <w:name w:val="index 1"/>
    <w:basedOn w:val="1"/>
    <w:next w:val="29"/>
    <w:uiPriority w:val="0"/>
    <w:pPr>
      <w:tabs>
        <w:tab w:val="right" w:leader="dot" w:pos="9299"/>
      </w:tabs>
      <w:jc w:val="left"/>
    </w:pPr>
    <w:rPr>
      <w:rFonts w:ascii="宋体" w:hAnsi="Times New Roman" w:eastAsia="宋体" w:cs="Times New Roman"/>
      <w:szCs w:val="21"/>
    </w:rPr>
  </w:style>
  <w:style w:type="paragraph" w:customStyle="1" w:styleId="29">
    <w:name w:val="段"/>
    <w:link w:val="73"/>
    <w:qFormat/>
    <w:uiPriority w:val="0"/>
    <w:pPr>
      <w:tabs>
        <w:tab w:val="center" w:pos="4201"/>
        <w:tab w:val="right" w:leader="dot" w:pos="9298"/>
      </w:tabs>
      <w:autoSpaceDE w:val="0"/>
      <w:autoSpaceDN w:val="0"/>
      <w:ind w:firstLine="420" w:firstLineChars="200"/>
      <w:jc w:val="both"/>
    </w:pPr>
    <w:rPr>
      <w:rFonts w:ascii="宋体" w:hAnsiTheme="minorHAnsi" w:eastAsiaTheme="minorEastAsia" w:cstheme="minorBidi"/>
      <w:kern w:val="2"/>
      <w:sz w:val="21"/>
      <w:szCs w:val="22"/>
      <w:lang w:val="en-US" w:eastAsia="zh-CN" w:bidi="ar-SA"/>
    </w:rPr>
  </w:style>
  <w:style w:type="paragraph" w:styleId="30">
    <w:name w:val="footnote text"/>
    <w:basedOn w:val="1"/>
    <w:link w:val="78"/>
    <w:uiPriority w:val="0"/>
    <w:pPr>
      <w:numPr>
        <w:ilvl w:val="0"/>
        <w:numId w:val="1"/>
      </w:numPr>
      <w:tabs>
        <w:tab w:val="left" w:pos="0"/>
      </w:tabs>
      <w:snapToGrid w:val="0"/>
      <w:jc w:val="left"/>
    </w:pPr>
    <w:rPr>
      <w:rFonts w:ascii="宋体"/>
      <w:sz w:val="18"/>
      <w:szCs w:val="18"/>
    </w:rPr>
  </w:style>
  <w:style w:type="paragraph" w:styleId="31">
    <w:name w:val="toc 6"/>
    <w:basedOn w:val="1"/>
    <w:next w:val="1"/>
    <w:uiPriority w:val="0"/>
    <w:pPr>
      <w:tabs>
        <w:tab w:val="right" w:leader="dot" w:pos="9241"/>
      </w:tabs>
      <w:ind w:firstLine="400" w:firstLineChars="400"/>
      <w:jc w:val="left"/>
    </w:pPr>
    <w:rPr>
      <w:rFonts w:ascii="宋体" w:hAnsi="Times New Roman" w:eastAsia="宋体" w:cs="Times New Roman"/>
      <w:szCs w:val="21"/>
    </w:rPr>
  </w:style>
  <w:style w:type="paragraph" w:styleId="32">
    <w:name w:val="index 7"/>
    <w:basedOn w:val="1"/>
    <w:next w:val="1"/>
    <w:uiPriority w:val="0"/>
    <w:pPr>
      <w:ind w:left="1470" w:hanging="210"/>
      <w:jc w:val="left"/>
    </w:pPr>
    <w:rPr>
      <w:rFonts w:ascii="Calibri" w:hAnsi="Calibri" w:eastAsia="宋体" w:cs="Times New Roman"/>
      <w:sz w:val="20"/>
      <w:szCs w:val="20"/>
    </w:rPr>
  </w:style>
  <w:style w:type="paragraph" w:styleId="33">
    <w:name w:val="index 9"/>
    <w:basedOn w:val="1"/>
    <w:next w:val="1"/>
    <w:uiPriority w:val="0"/>
    <w:pPr>
      <w:ind w:left="1890" w:hanging="210"/>
      <w:jc w:val="left"/>
    </w:pPr>
    <w:rPr>
      <w:rFonts w:ascii="Calibri" w:hAnsi="Calibri" w:eastAsia="宋体" w:cs="Times New Roman"/>
      <w:sz w:val="20"/>
      <w:szCs w:val="20"/>
    </w:rPr>
  </w:style>
  <w:style w:type="paragraph" w:styleId="34">
    <w:name w:val="toc 2"/>
    <w:basedOn w:val="1"/>
    <w:next w:val="1"/>
    <w:uiPriority w:val="0"/>
    <w:pPr>
      <w:tabs>
        <w:tab w:val="right" w:leader="dot" w:pos="9242"/>
      </w:tabs>
    </w:pPr>
    <w:rPr>
      <w:rFonts w:ascii="宋体" w:hAnsi="Times New Roman" w:eastAsia="宋体" w:cs="Times New Roman"/>
      <w:szCs w:val="21"/>
    </w:rPr>
  </w:style>
  <w:style w:type="paragraph" w:styleId="35">
    <w:name w:val="toc 9"/>
    <w:basedOn w:val="1"/>
    <w:next w:val="1"/>
    <w:uiPriority w:val="0"/>
    <w:pPr>
      <w:ind w:left="1470"/>
      <w:jc w:val="left"/>
    </w:pPr>
    <w:rPr>
      <w:rFonts w:ascii="Times New Roman" w:hAnsi="Times New Roman" w:eastAsia="宋体" w:cs="Times New Roman"/>
      <w:sz w:val="20"/>
      <w:szCs w:val="20"/>
    </w:rPr>
  </w:style>
  <w:style w:type="paragraph" w:styleId="36">
    <w:name w:val="HTML Preformatted"/>
    <w:basedOn w:val="1"/>
    <w:link w:val="79"/>
    <w:unhideWhenUsed/>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sz w:val="24"/>
      <w:szCs w:val="24"/>
    </w:rPr>
  </w:style>
  <w:style w:type="paragraph" w:styleId="37">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38">
    <w:name w:val="index 2"/>
    <w:basedOn w:val="1"/>
    <w:next w:val="1"/>
    <w:uiPriority w:val="0"/>
    <w:pPr>
      <w:ind w:left="420" w:hanging="210"/>
      <w:jc w:val="left"/>
    </w:pPr>
    <w:rPr>
      <w:rFonts w:ascii="Calibri" w:hAnsi="Calibri" w:eastAsia="宋体" w:cs="Times New Roman"/>
      <w:sz w:val="20"/>
      <w:szCs w:val="20"/>
    </w:rPr>
  </w:style>
  <w:style w:type="paragraph" w:styleId="39">
    <w:name w:val="annotation subject"/>
    <w:basedOn w:val="9"/>
    <w:next w:val="9"/>
    <w:link w:val="56"/>
    <w:unhideWhenUsed/>
    <w:qFormat/>
    <w:uiPriority w:val="99"/>
    <w:rPr>
      <w:b/>
      <w:bCs/>
    </w:rPr>
  </w:style>
  <w:style w:type="table" w:styleId="41">
    <w:name w:val="Table Grid"/>
    <w:basedOn w:val="40"/>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3">
    <w:name w:val="Strong"/>
    <w:qFormat/>
    <w:uiPriority w:val="22"/>
    <w:rPr>
      <w:b/>
      <w:bCs/>
    </w:rPr>
  </w:style>
  <w:style w:type="character" w:styleId="44">
    <w:name w:val="endnote reference"/>
    <w:uiPriority w:val="0"/>
    <w:rPr>
      <w:vertAlign w:val="superscript"/>
    </w:rPr>
  </w:style>
  <w:style w:type="character" w:styleId="45">
    <w:name w:val="page number"/>
    <w:qFormat/>
    <w:uiPriority w:val="0"/>
    <w:rPr>
      <w:rFonts w:cs="Times New Roman"/>
    </w:rPr>
  </w:style>
  <w:style w:type="character" w:styleId="46">
    <w:name w:val="FollowedHyperlink"/>
    <w:semiHidden/>
    <w:unhideWhenUsed/>
    <w:qFormat/>
    <w:uiPriority w:val="99"/>
    <w:rPr>
      <w:color w:val="800080"/>
      <w:u w:val="single"/>
    </w:rPr>
  </w:style>
  <w:style w:type="character" w:styleId="47">
    <w:name w:val="Emphasis"/>
    <w:basedOn w:val="42"/>
    <w:qFormat/>
    <w:uiPriority w:val="20"/>
    <w:rPr>
      <w:i/>
      <w:iCs/>
    </w:rPr>
  </w:style>
  <w:style w:type="character" w:styleId="48">
    <w:name w:val="Hyperlink"/>
    <w:basedOn w:val="42"/>
    <w:unhideWhenUsed/>
    <w:qFormat/>
    <w:uiPriority w:val="0"/>
    <w:rPr>
      <w:color w:val="0000FF" w:themeColor="hyperlink"/>
      <w:u w:val="single"/>
      <w14:textFill>
        <w14:solidFill>
          <w14:schemeClr w14:val="hlink"/>
        </w14:solidFill>
      </w14:textFill>
    </w:rPr>
  </w:style>
  <w:style w:type="character" w:styleId="49">
    <w:name w:val="annotation reference"/>
    <w:basedOn w:val="42"/>
    <w:unhideWhenUsed/>
    <w:qFormat/>
    <w:uiPriority w:val="99"/>
    <w:rPr>
      <w:sz w:val="21"/>
      <w:szCs w:val="21"/>
    </w:rPr>
  </w:style>
  <w:style w:type="character" w:styleId="50">
    <w:name w:val="footnote reference"/>
    <w:uiPriority w:val="0"/>
    <w:rPr>
      <w:vertAlign w:val="superscript"/>
    </w:rPr>
  </w:style>
  <w:style w:type="character" w:customStyle="1" w:styleId="51">
    <w:name w:val="页眉 Char"/>
    <w:basedOn w:val="42"/>
    <w:link w:val="24"/>
    <w:qFormat/>
    <w:uiPriority w:val="0"/>
    <w:rPr>
      <w:sz w:val="18"/>
      <w:szCs w:val="18"/>
    </w:rPr>
  </w:style>
  <w:style w:type="character" w:customStyle="1" w:styleId="52">
    <w:name w:val="页脚 Char"/>
    <w:basedOn w:val="42"/>
    <w:link w:val="23"/>
    <w:qFormat/>
    <w:uiPriority w:val="99"/>
    <w:rPr>
      <w:sz w:val="18"/>
      <w:szCs w:val="18"/>
    </w:rPr>
  </w:style>
  <w:style w:type="character" w:customStyle="1" w:styleId="53">
    <w:name w:val="正文文本 Char"/>
    <w:basedOn w:val="42"/>
    <w:link w:val="11"/>
    <w:qFormat/>
    <w:uiPriority w:val="0"/>
    <w:rPr>
      <w:rFonts w:ascii="Times New Roman" w:hAnsi="Times New Roman" w:eastAsia="宋体" w:cs="Times New Roman"/>
      <w:szCs w:val="20"/>
    </w:rPr>
  </w:style>
  <w:style w:type="paragraph" w:styleId="54">
    <w:name w:val="List Paragraph"/>
    <w:basedOn w:val="1"/>
    <w:qFormat/>
    <w:uiPriority w:val="34"/>
    <w:pPr>
      <w:ind w:firstLine="420" w:firstLineChars="200"/>
    </w:pPr>
    <w:rPr>
      <w:rFonts w:ascii="Calibri" w:hAnsi="Calibri" w:eastAsia="宋体" w:cs="Times New Roman"/>
    </w:rPr>
  </w:style>
  <w:style w:type="character" w:customStyle="1" w:styleId="55">
    <w:name w:val="批注文字 Char"/>
    <w:basedOn w:val="42"/>
    <w:link w:val="9"/>
    <w:qFormat/>
    <w:uiPriority w:val="99"/>
  </w:style>
  <w:style w:type="character" w:customStyle="1" w:styleId="56">
    <w:name w:val="批注主题 Char"/>
    <w:basedOn w:val="55"/>
    <w:link w:val="39"/>
    <w:qFormat/>
    <w:uiPriority w:val="99"/>
    <w:rPr>
      <w:b/>
      <w:bCs/>
    </w:rPr>
  </w:style>
  <w:style w:type="character" w:customStyle="1" w:styleId="57">
    <w:name w:val="批注框文本 Char"/>
    <w:basedOn w:val="42"/>
    <w:link w:val="22"/>
    <w:qFormat/>
    <w:uiPriority w:val="99"/>
    <w:rPr>
      <w:sz w:val="18"/>
      <w:szCs w:val="18"/>
    </w:rPr>
  </w:style>
  <w:style w:type="character" w:customStyle="1" w:styleId="58">
    <w:name w:val="标题 1 Char"/>
    <w:basedOn w:val="42"/>
    <w:link w:val="2"/>
    <w:qFormat/>
    <w:uiPriority w:val="0"/>
    <w:rPr>
      <w:rFonts w:ascii="黑体" w:hAnsi="黑体" w:eastAsia="黑体" w:cs="Times New Roman"/>
      <w:kern w:val="0"/>
      <w:sz w:val="32"/>
      <w:szCs w:val="32"/>
    </w:rPr>
  </w:style>
  <w:style w:type="character" w:customStyle="1" w:styleId="59">
    <w:name w:val="标题 2 Char"/>
    <w:basedOn w:val="42"/>
    <w:link w:val="3"/>
    <w:qFormat/>
    <w:uiPriority w:val="99"/>
    <w:rPr>
      <w:rFonts w:ascii="Cambria" w:hAnsi="Cambria" w:eastAsia="宋体" w:cs="Times New Roman"/>
      <w:b/>
      <w:bCs/>
      <w:kern w:val="0"/>
      <w:sz w:val="32"/>
      <w:szCs w:val="32"/>
    </w:rPr>
  </w:style>
  <w:style w:type="character" w:customStyle="1" w:styleId="60">
    <w:name w:val="正文文本缩进 2 Char"/>
    <w:basedOn w:val="42"/>
    <w:link w:val="20"/>
    <w:qFormat/>
    <w:uiPriority w:val="99"/>
    <w:rPr>
      <w:rFonts w:ascii="Calibri" w:hAnsi="Calibri" w:eastAsia="宋体" w:cs="Times New Roman"/>
      <w:kern w:val="0"/>
      <w:sz w:val="20"/>
      <w:szCs w:val="20"/>
    </w:rPr>
  </w:style>
  <w:style w:type="paragraph" w:customStyle="1" w:styleId="61">
    <w:name w:val="Char Char Char Char"/>
    <w:basedOn w:val="1"/>
    <w:qFormat/>
    <w:uiPriority w:val="99"/>
    <w:pPr>
      <w:adjustRightInd w:val="0"/>
      <w:spacing w:line="360" w:lineRule="auto"/>
    </w:pPr>
    <w:rPr>
      <w:rFonts w:ascii="Times New Roman" w:hAnsi="Times New Roman" w:eastAsia="宋体" w:cs="Times New Roman"/>
      <w:kern w:val="0"/>
      <w:sz w:val="24"/>
      <w:szCs w:val="20"/>
    </w:rPr>
  </w:style>
  <w:style w:type="character" w:customStyle="1" w:styleId="62">
    <w:name w:val="纯文本 Char"/>
    <w:basedOn w:val="42"/>
    <w:link w:val="16"/>
    <w:qFormat/>
    <w:uiPriority w:val="99"/>
    <w:rPr>
      <w:rFonts w:ascii="宋体" w:hAnsi="Courier New" w:eastAsia="宋体" w:cs="Courier New"/>
      <w:szCs w:val="21"/>
    </w:rPr>
  </w:style>
  <w:style w:type="character" w:customStyle="1" w:styleId="63">
    <w:name w:val="正文文本缩进 Char"/>
    <w:basedOn w:val="42"/>
    <w:link w:val="12"/>
    <w:qFormat/>
    <w:uiPriority w:val="99"/>
    <w:rPr>
      <w:rFonts w:ascii="Calibri" w:hAnsi="Calibri" w:eastAsia="宋体" w:cs="Times New Roman"/>
      <w:sz w:val="24"/>
      <w:szCs w:val="20"/>
    </w:rPr>
  </w:style>
  <w:style w:type="character" w:customStyle="1" w:styleId="64">
    <w:name w:val="Body Text Indent Char"/>
    <w:semiHidden/>
    <w:qFormat/>
    <w:locked/>
    <w:uiPriority w:val="99"/>
    <w:rPr>
      <w:rFonts w:cs="Times New Roman"/>
    </w:rPr>
  </w:style>
  <w:style w:type="character" w:customStyle="1" w:styleId="65">
    <w:name w:val="日期 Char"/>
    <w:basedOn w:val="42"/>
    <w:link w:val="19"/>
    <w:qFormat/>
    <w:uiPriority w:val="99"/>
    <w:rPr>
      <w:rFonts w:ascii="Calibri" w:hAnsi="Calibri" w:eastAsia="宋体" w:cs="Times New Roman"/>
    </w:rPr>
  </w:style>
  <w:style w:type="character" w:customStyle="1" w:styleId="66">
    <w:name w:val="发布"/>
    <w:uiPriority w:val="0"/>
    <w:rPr>
      <w:rFonts w:ascii="黑体" w:eastAsia="黑体"/>
      <w:spacing w:val="85"/>
      <w:w w:val="100"/>
      <w:position w:val="3"/>
      <w:sz w:val="28"/>
      <w:szCs w:val="28"/>
    </w:rPr>
  </w:style>
  <w:style w:type="paragraph" w:customStyle="1" w:styleId="67">
    <w:name w:val="_Style 37"/>
    <w:uiPriority w:val="0"/>
    <w:pPr>
      <w:widowControl w:val="0"/>
      <w:jc w:val="both"/>
    </w:pPr>
    <w:rPr>
      <w:rFonts w:asciiTheme="minorHAnsi" w:hAnsiTheme="minorHAnsi" w:eastAsiaTheme="minorEastAsia" w:cstheme="minorBidi"/>
      <w:kern w:val="2"/>
      <w:sz w:val="21"/>
      <w:szCs w:val="22"/>
      <w:lang w:val="en-US" w:eastAsia="zh-CN" w:bidi="ar-SA"/>
    </w:rPr>
  </w:style>
  <w:style w:type="character" w:customStyle="1" w:styleId="68">
    <w:name w:val="尾注文本 Char"/>
    <w:basedOn w:val="42"/>
    <w:link w:val="21"/>
    <w:uiPriority w:val="0"/>
    <w:rPr>
      <w:szCs w:val="24"/>
    </w:rPr>
  </w:style>
  <w:style w:type="character" w:customStyle="1" w:styleId="69">
    <w:name w:val="二级条标题 Char"/>
    <w:link w:val="70"/>
    <w:uiPriority w:val="0"/>
    <w:rPr>
      <w:rFonts w:ascii="黑体" w:eastAsia="黑体"/>
      <w:szCs w:val="21"/>
    </w:rPr>
  </w:style>
  <w:style w:type="paragraph" w:customStyle="1" w:styleId="70">
    <w:name w:val="二级条标题"/>
    <w:basedOn w:val="71"/>
    <w:next w:val="29"/>
    <w:link w:val="69"/>
    <w:qFormat/>
    <w:uiPriority w:val="0"/>
    <w:pPr>
      <w:numPr>
        <w:ilvl w:val="2"/>
      </w:numPr>
      <w:tabs>
        <w:tab w:val="left" w:pos="360"/>
      </w:tabs>
      <w:spacing w:before="50" w:after="50"/>
      <w:ind w:left="851"/>
      <w:outlineLvl w:val="3"/>
    </w:pPr>
  </w:style>
  <w:style w:type="paragraph" w:customStyle="1" w:styleId="71">
    <w:name w:val="一级条标题"/>
    <w:next w:val="29"/>
    <w:link w:val="75"/>
    <w:qFormat/>
    <w:uiPriority w:val="0"/>
    <w:pPr>
      <w:numPr>
        <w:ilvl w:val="1"/>
        <w:numId w:val="2"/>
      </w:numPr>
      <w:spacing w:beforeLines="50" w:afterLines="50"/>
      <w:outlineLvl w:val="2"/>
    </w:pPr>
    <w:rPr>
      <w:rFonts w:ascii="黑体" w:eastAsia="黑体" w:hAnsiTheme="minorHAnsi" w:cstheme="minorBidi"/>
      <w:kern w:val="2"/>
      <w:sz w:val="21"/>
      <w:szCs w:val="21"/>
      <w:lang w:val="en-US" w:eastAsia="zh-CN" w:bidi="ar-SA"/>
    </w:rPr>
  </w:style>
  <w:style w:type="character" w:customStyle="1" w:styleId="72">
    <w:name w:val="附录公式 Char"/>
    <w:basedOn w:val="73"/>
    <w:link w:val="74"/>
    <w:uiPriority w:val="0"/>
    <w:rPr>
      <w:rFonts w:ascii="宋体"/>
      <w:lang w:val="en-US" w:eastAsia="zh-CN"/>
    </w:rPr>
  </w:style>
  <w:style w:type="character" w:customStyle="1" w:styleId="73">
    <w:name w:val="段 Char"/>
    <w:link w:val="29"/>
    <w:qFormat/>
    <w:uiPriority w:val="0"/>
    <w:rPr>
      <w:rFonts w:ascii="宋体"/>
      <w:lang w:val="en-US" w:eastAsia="zh-CN"/>
    </w:rPr>
  </w:style>
  <w:style w:type="paragraph" w:customStyle="1" w:styleId="74">
    <w:name w:val="附录公式"/>
    <w:basedOn w:val="29"/>
    <w:next w:val="29"/>
    <w:link w:val="72"/>
    <w:qFormat/>
    <w:uiPriority w:val="0"/>
  </w:style>
  <w:style w:type="character" w:customStyle="1" w:styleId="75">
    <w:name w:val="一级条标题 Char"/>
    <w:link w:val="71"/>
    <w:uiPriority w:val="0"/>
    <w:rPr>
      <w:rFonts w:ascii="黑体" w:eastAsia="黑体"/>
      <w:szCs w:val="21"/>
    </w:rPr>
  </w:style>
  <w:style w:type="character" w:customStyle="1" w:styleId="76">
    <w:name w:val="三级条标题 Char"/>
    <w:link w:val="77"/>
    <w:qFormat/>
    <w:uiPriority w:val="0"/>
    <w:rPr>
      <w:rFonts w:ascii="黑体" w:eastAsia="黑体"/>
      <w:szCs w:val="21"/>
    </w:rPr>
  </w:style>
  <w:style w:type="paragraph" w:customStyle="1" w:styleId="77">
    <w:name w:val="三级条标题"/>
    <w:basedOn w:val="70"/>
    <w:next w:val="29"/>
    <w:link w:val="76"/>
    <w:qFormat/>
    <w:uiPriority w:val="0"/>
    <w:pPr>
      <w:numPr>
        <w:ilvl w:val="0"/>
        <w:numId w:val="0"/>
      </w:numPr>
      <w:outlineLvl w:val="4"/>
    </w:pPr>
  </w:style>
  <w:style w:type="character" w:customStyle="1" w:styleId="78">
    <w:name w:val="脚注文本 Char"/>
    <w:basedOn w:val="42"/>
    <w:link w:val="30"/>
    <w:uiPriority w:val="0"/>
    <w:rPr>
      <w:rFonts w:ascii="宋体"/>
      <w:sz w:val="18"/>
      <w:szCs w:val="18"/>
    </w:rPr>
  </w:style>
  <w:style w:type="character" w:customStyle="1" w:styleId="79">
    <w:name w:val="HTML 预设格式 Char"/>
    <w:basedOn w:val="42"/>
    <w:link w:val="36"/>
    <w:uiPriority w:val="99"/>
    <w:rPr>
      <w:rFonts w:ascii="宋体" w:hAnsi="宋体" w:cs="宋体"/>
      <w:sz w:val="24"/>
      <w:szCs w:val="24"/>
    </w:rPr>
  </w:style>
  <w:style w:type="character" w:customStyle="1" w:styleId="80">
    <w:name w:val="首示例 Char"/>
    <w:link w:val="81"/>
    <w:uiPriority w:val="0"/>
    <w:rPr>
      <w:rFonts w:ascii="宋体" w:hAnsi="宋体"/>
      <w:sz w:val="18"/>
      <w:szCs w:val="18"/>
    </w:rPr>
  </w:style>
  <w:style w:type="paragraph" w:customStyle="1" w:styleId="81">
    <w:name w:val="首示例"/>
    <w:next w:val="29"/>
    <w:link w:val="80"/>
    <w:qFormat/>
    <w:uiPriority w:val="0"/>
    <w:pPr>
      <w:tabs>
        <w:tab w:val="left" w:pos="360"/>
      </w:tabs>
    </w:pPr>
    <w:rPr>
      <w:rFonts w:ascii="宋体" w:hAnsi="宋体" w:eastAsiaTheme="minorEastAsia" w:cstheme="minorBidi"/>
      <w:kern w:val="2"/>
      <w:sz w:val="18"/>
      <w:szCs w:val="18"/>
      <w:lang w:val="en-US" w:eastAsia="zh-CN" w:bidi="ar-SA"/>
    </w:rPr>
  </w:style>
  <w:style w:type="character" w:customStyle="1" w:styleId="82">
    <w:name w:val="文档结构图 Char"/>
    <w:basedOn w:val="42"/>
    <w:link w:val="8"/>
    <w:uiPriority w:val="99"/>
    <w:rPr>
      <w:szCs w:val="24"/>
      <w:shd w:val="clear" w:color="auto" w:fill="000080"/>
    </w:rPr>
  </w:style>
  <w:style w:type="character" w:customStyle="1" w:styleId="83">
    <w:name w:val="导则正文 Char Char"/>
    <w:link w:val="84"/>
    <w:uiPriority w:val="0"/>
    <w:rPr>
      <w:szCs w:val="21"/>
    </w:rPr>
  </w:style>
  <w:style w:type="paragraph" w:customStyle="1" w:styleId="84">
    <w:name w:val="导则正文"/>
    <w:basedOn w:val="1"/>
    <w:link w:val="83"/>
    <w:uiPriority w:val="0"/>
    <w:pPr>
      <w:spacing w:line="360" w:lineRule="auto"/>
      <w:ind w:firstLine="482"/>
    </w:pPr>
    <w:rPr>
      <w:szCs w:val="21"/>
    </w:rPr>
  </w:style>
  <w:style w:type="character" w:customStyle="1" w:styleId="85">
    <w:name w:val="文档结构图 Char1"/>
    <w:basedOn w:val="42"/>
    <w:semiHidden/>
    <w:uiPriority w:val="99"/>
    <w:rPr>
      <w:rFonts w:ascii="宋体" w:eastAsia="宋体"/>
      <w:sz w:val="18"/>
      <w:szCs w:val="18"/>
    </w:rPr>
  </w:style>
  <w:style w:type="character" w:customStyle="1" w:styleId="86">
    <w:name w:val="尾注文本 Char1"/>
    <w:basedOn w:val="42"/>
    <w:semiHidden/>
    <w:uiPriority w:val="99"/>
  </w:style>
  <w:style w:type="paragraph" w:customStyle="1" w:styleId="87">
    <w:name w:val="三级无"/>
    <w:basedOn w:val="77"/>
    <w:uiPriority w:val="0"/>
    <w:pPr>
      <w:spacing w:beforeLines="0" w:afterLines="0"/>
    </w:pPr>
    <w:rPr>
      <w:rFonts w:ascii="宋体" w:eastAsia="宋体"/>
    </w:rPr>
  </w:style>
  <w:style w:type="paragraph" w:customStyle="1" w:styleId="88">
    <w:name w:val="列项●（二级）"/>
    <w:uiPriority w:val="0"/>
    <w:pPr>
      <w:numPr>
        <w:ilvl w:val="1"/>
        <w:numId w:val="3"/>
      </w:numPr>
      <w:tabs>
        <w:tab w:val="left" w:pos="760"/>
        <w:tab w:val="left" w:pos="840"/>
      </w:tabs>
      <w:jc w:val="both"/>
    </w:pPr>
    <w:rPr>
      <w:rFonts w:ascii="宋体" w:hAnsi="Times New Roman" w:eastAsia="宋体" w:cs="Times New Roman"/>
      <w:kern w:val="0"/>
      <w:sz w:val="21"/>
      <w:szCs w:val="20"/>
      <w:lang w:val="en-US" w:eastAsia="zh-CN" w:bidi="ar-SA"/>
    </w:rPr>
  </w:style>
  <w:style w:type="paragraph" w:customStyle="1" w:styleId="89">
    <w:name w:val="附录标识"/>
    <w:basedOn w:val="1"/>
    <w:next w:val="29"/>
    <w:uiPriority w:val="0"/>
    <w:pPr>
      <w:keepNext/>
      <w:widowControl/>
      <w:numPr>
        <w:ilvl w:val="0"/>
        <w:numId w:val="4"/>
      </w:numPr>
      <w:shd w:val="clear" w:color="FFFFFF" w:fill="FFFFFF"/>
      <w:tabs>
        <w:tab w:val="left" w:pos="360"/>
        <w:tab w:val="left" w:pos="6405"/>
      </w:tabs>
      <w:spacing w:before="640" w:after="280"/>
      <w:jc w:val="center"/>
      <w:outlineLvl w:val="0"/>
    </w:pPr>
    <w:rPr>
      <w:rFonts w:ascii="黑体" w:hAnsi="Times New Roman" w:eastAsia="黑体" w:cs="Times New Roman"/>
      <w:kern w:val="0"/>
      <w:szCs w:val="20"/>
    </w:rPr>
  </w:style>
  <w:style w:type="paragraph" w:customStyle="1" w:styleId="90">
    <w:name w:val="其他发布日期"/>
    <w:basedOn w:val="91"/>
    <w:uiPriority w:val="0"/>
    <w:pPr>
      <w:framePr w:wrap="around" w:vAnchor="page" w:hAnchor="text" w:x="1419"/>
    </w:pPr>
  </w:style>
  <w:style w:type="paragraph" w:customStyle="1" w:styleId="91">
    <w:name w:val="发布日期"/>
    <w:uiPriority w:val="0"/>
    <w:pPr>
      <w:framePr w:w="3997" w:h="471" w:hRule="exact" w:vSpace="181" w:wrap="around" w:vAnchor="margin" w:hAnchor="page" w:x="7089" w:y="14097" w:anchorLock="1"/>
    </w:pPr>
    <w:rPr>
      <w:rFonts w:ascii="Times New Roman" w:hAnsi="Times New Roman" w:eastAsia="黑体" w:cs="Times New Roman"/>
      <w:kern w:val="0"/>
      <w:sz w:val="28"/>
      <w:szCs w:val="20"/>
      <w:lang w:val="en-US" w:eastAsia="zh-CN" w:bidi="ar-SA"/>
    </w:rPr>
  </w:style>
  <w:style w:type="paragraph" w:customStyle="1" w:styleId="92">
    <w:name w:val="目次、索引正文"/>
    <w:uiPriority w:val="0"/>
    <w:pPr>
      <w:spacing w:line="320" w:lineRule="exact"/>
      <w:jc w:val="both"/>
    </w:pPr>
    <w:rPr>
      <w:rFonts w:ascii="宋体" w:hAnsi="Times New Roman" w:eastAsia="宋体" w:cs="Times New Roman"/>
      <w:kern w:val="0"/>
      <w:sz w:val="21"/>
      <w:szCs w:val="20"/>
      <w:lang w:val="en-US" w:eastAsia="zh-CN" w:bidi="ar-SA"/>
    </w:rPr>
  </w:style>
  <w:style w:type="paragraph" w:customStyle="1" w:styleId="93">
    <w:name w:val="标准书眉一"/>
    <w:uiPriority w:val="0"/>
    <w:pPr>
      <w:jc w:val="both"/>
    </w:pPr>
    <w:rPr>
      <w:rFonts w:ascii="Times New Roman" w:hAnsi="Times New Roman" w:eastAsia="宋体" w:cs="Times New Roman"/>
      <w:kern w:val="0"/>
      <w:sz w:val="20"/>
      <w:szCs w:val="20"/>
      <w:lang w:val="en-US" w:eastAsia="zh-CN" w:bidi="ar-SA"/>
    </w:rPr>
  </w:style>
  <w:style w:type="paragraph" w:customStyle="1" w:styleId="94">
    <w:name w:val="封面正文"/>
    <w:uiPriority w:val="0"/>
    <w:pPr>
      <w:jc w:val="both"/>
    </w:pPr>
    <w:rPr>
      <w:rFonts w:ascii="Times New Roman" w:hAnsi="Times New Roman" w:eastAsia="宋体" w:cs="Times New Roman"/>
      <w:kern w:val="0"/>
      <w:sz w:val="20"/>
      <w:szCs w:val="20"/>
      <w:lang w:val="en-US" w:eastAsia="zh-CN" w:bidi="ar-SA"/>
    </w:rPr>
  </w:style>
  <w:style w:type="paragraph" w:customStyle="1" w:styleId="95">
    <w:name w:val="标准标志"/>
    <w:next w:val="1"/>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kern w:val="0"/>
      <w:sz w:val="96"/>
      <w:szCs w:val="96"/>
      <w:lang w:val="en-US" w:eastAsia="zh-CN" w:bidi="ar-SA"/>
    </w:rPr>
  </w:style>
  <w:style w:type="paragraph" w:customStyle="1" w:styleId="96">
    <w:name w:val="附录二级条标题"/>
    <w:basedOn w:val="1"/>
    <w:next w:val="29"/>
    <w:uiPriority w:val="0"/>
    <w:pPr>
      <w:widowControl/>
      <w:numPr>
        <w:ilvl w:val="3"/>
        <w:numId w:val="4"/>
      </w:numPr>
      <w:tabs>
        <w:tab w:val="left" w:pos="360"/>
      </w:tabs>
      <w:wordWrap w:val="0"/>
      <w:overflowPunct w:val="0"/>
      <w:autoSpaceDE w:val="0"/>
      <w:autoSpaceDN w:val="0"/>
      <w:spacing w:beforeLines="50" w:afterLines="50"/>
      <w:textAlignment w:val="baseline"/>
      <w:outlineLvl w:val="3"/>
    </w:pPr>
    <w:rPr>
      <w:rFonts w:ascii="黑体" w:hAnsi="Times New Roman" w:eastAsia="黑体" w:cs="Times New Roman"/>
      <w:kern w:val="21"/>
      <w:szCs w:val="20"/>
    </w:rPr>
  </w:style>
  <w:style w:type="paragraph" w:customStyle="1" w:styleId="97">
    <w:name w:val="列项说明数字编号"/>
    <w:uiPriority w:val="0"/>
    <w:pPr>
      <w:ind w:left="600" w:leftChars="400" w:hanging="200" w:hangingChars="200"/>
    </w:pPr>
    <w:rPr>
      <w:rFonts w:ascii="宋体" w:hAnsi="Times New Roman" w:eastAsia="宋体" w:cs="Times New Roman"/>
      <w:kern w:val="0"/>
      <w:sz w:val="21"/>
      <w:szCs w:val="20"/>
      <w:lang w:val="en-US" w:eastAsia="zh-CN" w:bidi="ar-SA"/>
    </w:rPr>
  </w:style>
  <w:style w:type="paragraph" w:customStyle="1" w:styleId="98">
    <w:name w:val="列项——（一级）"/>
    <w:uiPriority w:val="0"/>
    <w:pPr>
      <w:widowControl w:val="0"/>
      <w:numPr>
        <w:ilvl w:val="0"/>
        <w:numId w:val="3"/>
      </w:numPr>
      <w:jc w:val="both"/>
    </w:pPr>
    <w:rPr>
      <w:rFonts w:ascii="宋体" w:hAnsi="Times New Roman" w:eastAsia="宋体" w:cs="Times New Roman"/>
      <w:kern w:val="0"/>
      <w:sz w:val="21"/>
      <w:szCs w:val="20"/>
      <w:lang w:val="en-US" w:eastAsia="zh-CN" w:bidi="ar-SA"/>
    </w:rPr>
  </w:style>
  <w:style w:type="paragraph" w:customStyle="1" w:styleId="99">
    <w:name w:val="封面标准英文名称2"/>
    <w:basedOn w:val="100"/>
    <w:uiPriority w:val="0"/>
    <w:pPr>
      <w:framePr w:wrap="around" w:y="4469"/>
    </w:pPr>
  </w:style>
  <w:style w:type="paragraph" w:customStyle="1" w:styleId="100">
    <w:name w:val="封面标准英文名称"/>
    <w:basedOn w:val="101"/>
    <w:uiPriority w:val="0"/>
    <w:pPr>
      <w:framePr w:wrap="around"/>
      <w:spacing w:before="370" w:line="400" w:lineRule="exact"/>
    </w:pPr>
    <w:rPr>
      <w:rFonts w:ascii="Times New Roman"/>
      <w:sz w:val="28"/>
      <w:szCs w:val="28"/>
    </w:rPr>
  </w:style>
  <w:style w:type="paragraph" w:customStyle="1" w:styleId="101">
    <w:name w:val="封面标准名称"/>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kern w:val="0"/>
      <w:sz w:val="52"/>
      <w:szCs w:val="20"/>
      <w:lang w:val="en-US" w:eastAsia="zh-CN" w:bidi="ar-SA"/>
    </w:rPr>
  </w:style>
  <w:style w:type="character" w:customStyle="1" w:styleId="102">
    <w:name w:val="HTML 预设格式 Char1"/>
    <w:basedOn w:val="42"/>
    <w:semiHidden/>
    <w:uiPriority w:val="99"/>
    <w:rPr>
      <w:rFonts w:ascii="Courier New" w:hAnsi="Courier New" w:cs="Courier New"/>
      <w:sz w:val="20"/>
      <w:szCs w:val="20"/>
    </w:rPr>
  </w:style>
  <w:style w:type="paragraph" w:customStyle="1" w:styleId="103">
    <w:name w:val="附录五级无"/>
    <w:basedOn w:val="104"/>
    <w:uiPriority w:val="0"/>
    <w:pPr>
      <w:tabs>
        <w:tab w:val="left" w:pos="2071"/>
        <w:tab w:val="left" w:pos="3007"/>
      </w:tabs>
      <w:spacing w:beforeLines="0" w:afterLines="0"/>
    </w:pPr>
    <w:rPr>
      <w:rFonts w:ascii="宋体" w:eastAsia="宋体"/>
      <w:szCs w:val="21"/>
    </w:rPr>
  </w:style>
  <w:style w:type="paragraph" w:customStyle="1" w:styleId="104">
    <w:name w:val="附录五级条标题"/>
    <w:basedOn w:val="105"/>
    <w:next w:val="29"/>
    <w:uiPriority w:val="0"/>
    <w:pPr>
      <w:tabs>
        <w:tab w:val="left" w:pos="360"/>
        <w:tab w:val="left" w:pos="2071"/>
        <w:tab w:val="left" w:pos="3007"/>
      </w:tabs>
      <w:ind w:left="2820"/>
      <w:outlineLvl w:val="6"/>
    </w:pPr>
  </w:style>
  <w:style w:type="paragraph" w:customStyle="1" w:styleId="105">
    <w:name w:val="附录四级条标题"/>
    <w:basedOn w:val="106"/>
    <w:next w:val="29"/>
    <w:uiPriority w:val="0"/>
    <w:pPr>
      <w:numPr>
        <w:ilvl w:val="0"/>
        <w:numId w:val="0"/>
      </w:numPr>
      <w:tabs>
        <w:tab w:val="left" w:pos="360"/>
        <w:tab w:val="left" w:pos="2071"/>
        <w:tab w:val="left" w:pos="2695"/>
      </w:tabs>
      <w:ind w:left="2508" w:hanging="528"/>
      <w:outlineLvl w:val="5"/>
    </w:pPr>
  </w:style>
  <w:style w:type="paragraph" w:customStyle="1" w:styleId="106">
    <w:name w:val="附录三级条标题"/>
    <w:basedOn w:val="96"/>
    <w:next w:val="29"/>
    <w:uiPriority w:val="0"/>
    <w:pPr>
      <w:numPr>
        <w:ilvl w:val="4"/>
      </w:numPr>
      <w:outlineLvl w:val="4"/>
    </w:pPr>
  </w:style>
  <w:style w:type="paragraph" w:customStyle="1" w:styleId="107">
    <w:name w:val="五级条标题"/>
    <w:basedOn w:val="108"/>
    <w:next w:val="29"/>
    <w:qFormat/>
    <w:uiPriority w:val="0"/>
    <w:pPr>
      <w:numPr>
        <w:ilvl w:val="5"/>
      </w:numPr>
      <w:tabs>
        <w:tab w:val="left" w:pos="360"/>
      </w:tabs>
      <w:outlineLvl w:val="6"/>
    </w:pPr>
  </w:style>
  <w:style w:type="paragraph" w:customStyle="1" w:styleId="108">
    <w:name w:val="四级条标题"/>
    <w:basedOn w:val="77"/>
    <w:next w:val="29"/>
    <w:qFormat/>
    <w:uiPriority w:val="0"/>
    <w:pPr>
      <w:numPr>
        <w:ilvl w:val="4"/>
        <w:numId w:val="2"/>
      </w:numPr>
      <w:outlineLvl w:val="5"/>
    </w:pPr>
  </w:style>
  <w:style w:type="paragraph" w:customStyle="1" w:styleId="109">
    <w:name w:val="附录图标号"/>
    <w:basedOn w:val="1"/>
    <w:uiPriority w:val="0"/>
    <w:pPr>
      <w:keepNext/>
      <w:pageBreakBefore/>
      <w:widowControl/>
      <w:numPr>
        <w:ilvl w:val="0"/>
        <w:numId w:val="5"/>
      </w:numPr>
      <w:spacing w:line="14" w:lineRule="exact"/>
      <w:ind w:firstLine="363"/>
      <w:jc w:val="center"/>
      <w:outlineLvl w:val="0"/>
    </w:pPr>
    <w:rPr>
      <w:rFonts w:ascii="Times New Roman" w:hAnsi="Times New Roman" w:eastAsia="宋体" w:cs="Times New Roman"/>
      <w:color w:val="FFFFFF"/>
      <w:szCs w:val="24"/>
    </w:rPr>
  </w:style>
  <w:style w:type="paragraph" w:customStyle="1" w:styleId="110">
    <w:name w:val="附录标题"/>
    <w:basedOn w:val="29"/>
    <w:next w:val="29"/>
    <w:uiPriority w:val="0"/>
    <w:pPr>
      <w:ind w:firstLine="0" w:firstLineChars="0"/>
      <w:jc w:val="center"/>
    </w:pPr>
    <w:rPr>
      <w:rFonts w:ascii="黑体" w:eastAsia="黑体"/>
    </w:rPr>
  </w:style>
  <w:style w:type="paragraph" w:customStyle="1" w:styleId="111">
    <w:name w:val="列项◆（三级）"/>
    <w:basedOn w:val="1"/>
    <w:uiPriority w:val="0"/>
    <w:pPr>
      <w:numPr>
        <w:ilvl w:val="2"/>
        <w:numId w:val="3"/>
      </w:numPr>
      <w:tabs>
        <w:tab w:val="left" w:pos="1678"/>
      </w:tabs>
    </w:pPr>
    <w:rPr>
      <w:rFonts w:ascii="宋体" w:hAnsi="Times New Roman" w:eastAsia="宋体" w:cs="Times New Roman"/>
      <w:szCs w:val="21"/>
    </w:rPr>
  </w:style>
  <w:style w:type="paragraph" w:customStyle="1" w:styleId="112">
    <w:name w:val="编号列项（三级）"/>
    <w:uiPriority w:val="0"/>
    <w:rPr>
      <w:rFonts w:ascii="宋体" w:hAnsi="Times New Roman" w:eastAsia="宋体" w:cs="Times New Roman"/>
      <w:kern w:val="0"/>
      <w:sz w:val="21"/>
      <w:szCs w:val="20"/>
      <w:lang w:val="en-US" w:eastAsia="zh-CN" w:bidi="ar-SA"/>
    </w:rPr>
  </w:style>
  <w:style w:type="paragraph" w:customStyle="1" w:styleId="113">
    <w:name w:val="图表脚注说明"/>
    <w:basedOn w:val="1"/>
    <w:uiPriority w:val="0"/>
    <w:pPr>
      <w:ind w:left="544" w:hanging="181"/>
    </w:pPr>
    <w:rPr>
      <w:rFonts w:ascii="宋体" w:hAnsi="Times New Roman" w:eastAsia="宋体" w:cs="Times New Roman"/>
      <w:sz w:val="18"/>
      <w:szCs w:val="18"/>
    </w:rPr>
  </w:style>
  <w:style w:type="character" w:customStyle="1" w:styleId="114">
    <w:name w:val="脚注文本 Char1"/>
    <w:basedOn w:val="42"/>
    <w:semiHidden/>
    <w:uiPriority w:val="99"/>
    <w:rPr>
      <w:sz w:val="18"/>
      <w:szCs w:val="18"/>
    </w:rPr>
  </w:style>
  <w:style w:type="paragraph" w:customStyle="1" w:styleId="115">
    <w:name w:val="其他发布部门"/>
    <w:basedOn w:val="116"/>
    <w:uiPriority w:val="0"/>
    <w:pPr>
      <w:framePr w:wrap="around" w:y="15310"/>
      <w:spacing w:line="0" w:lineRule="atLeast"/>
    </w:pPr>
    <w:rPr>
      <w:rFonts w:ascii="黑体" w:eastAsia="黑体"/>
      <w:b w:val="0"/>
    </w:rPr>
  </w:style>
  <w:style w:type="paragraph" w:customStyle="1" w:styleId="116">
    <w:name w:val="发布部门"/>
    <w:next w:val="29"/>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kern w:val="0"/>
      <w:sz w:val="28"/>
      <w:szCs w:val="20"/>
      <w:lang w:val="en-US" w:eastAsia="zh-CN" w:bidi="ar-SA"/>
    </w:rPr>
  </w:style>
  <w:style w:type="paragraph" w:customStyle="1" w:styleId="117">
    <w:name w:val="图标脚注说明"/>
    <w:basedOn w:val="29"/>
    <w:uiPriority w:val="0"/>
    <w:pPr>
      <w:ind w:left="840" w:hanging="420" w:firstLineChars="0"/>
    </w:pPr>
    <w:rPr>
      <w:sz w:val="18"/>
      <w:szCs w:val="18"/>
    </w:rPr>
  </w:style>
  <w:style w:type="paragraph" w:customStyle="1" w:styleId="118">
    <w:name w:val="章标题"/>
    <w:next w:val="29"/>
    <w:qFormat/>
    <w:uiPriority w:val="0"/>
    <w:pPr>
      <w:numPr>
        <w:ilvl w:val="0"/>
        <w:numId w:val="2"/>
      </w:numPr>
      <w:spacing w:beforeLines="100" w:afterLines="100"/>
      <w:jc w:val="both"/>
      <w:outlineLvl w:val="1"/>
    </w:pPr>
    <w:rPr>
      <w:rFonts w:ascii="黑体" w:hAnsi="Times New Roman" w:eastAsia="黑体" w:cs="Times New Roman"/>
      <w:kern w:val="0"/>
      <w:sz w:val="21"/>
      <w:szCs w:val="20"/>
      <w:lang w:val="en-US" w:eastAsia="zh-CN" w:bidi="ar-SA"/>
    </w:rPr>
  </w:style>
  <w:style w:type="paragraph" w:customStyle="1" w:styleId="119">
    <w:name w:val="封面标准代替信息"/>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kern w:val="0"/>
      <w:sz w:val="21"/>
      <w:szCs w:val="21"/>
      <w:lang w:val="en-US" w:eastAsia="zh-CN" w:bidi="ar-SA"/>
    </w:rPr>
  </w:style>
  <w:style w:type="paragraph" w:customStyle="1" w:styleId="120">
    <w:name w:val="标准书脚_奇数页"/>
    <w:uiPriority w:val="0"/>
    <w:pPr>
      <w:spacing w:before="120"/>
      <w:ind w:right="198"/>
      <w:jc w:val="right"/>
    </w:pPr>
    <w:rPr>
      <w:rFonts w:ascii="宋体" w:hAnsi="Times New Roman" w:eastAsia="宋体" w:cs="Times New Roman"/>
      <w:kern w:val="0"/>
      <w:sz w:val="18"/>
      <w:szCs w:val="18"/>
      <w:lang w:val="en-US" w:eastAsia="zh-CN" w:bidi="ar-SA"/>
    </w:rPr>
  </w:style>
  <w:style w:type="paragraph" w:customStyle="1" w:styleId="121">
    <w:name w:val="附录一级条标题"/>
    <w:basedOn w:val="122"/>
    <w:next w:val="29"/>
    <w:uiPriority w:val="0"/>
    <w:pPr>
      <w:numPr>
        <w:ilvl w:val="2"/>
      </w:numPr>
      <w:tabs>
        <w:tab w:val="left" w:pos="360"/>
        <w:tab w:val="left" w:pos="760"/>
      </w:tabs>
      <w:autoSpaceDN w:val="0"/>
      <w:spacing w:beforeLines="50" w:afterLines="50"/>
      <w:outlineLvl w:val="2"/>
    </w:pPr>
  </w:style>
  <w:style w:type="paragraph" w:customStyle="1" w:styleId="122">
    <w:name w:val="附录章标题"/>
    <w:next w:val="29"/>
    <w:qFormat/>
    <w:uiPriority w:val="0"/>
    <w:pPr>
      <w:numPr>
        <w:ilvl w:val="1"/>
        <w:numId w:val="4"/>
      </w:numPr>
      <w:tabs>
        <w:tab w:val="left" w:pos="360"/>
      </w:tabs>
      <w:wordWrap w:val="0"/>
      <w:overflowPunct w:val="0"/>
      <w:autoSpaceDE w:val="0"/>
      <w:spacing w:beforeLines="100" w:afterLines="100"/>
      <w:jc w:val="both"/>
      <w:textAlignment w:val="baseline"/>
      <w:outlineLvl w:val="1"/>
    </w:pPr>
    <w:rPr>
      <w:rFonts w:ascii="黑体" w:hAnsi="Times New Roman" w:eastAsia="黑体" w:cs="Times New Roman"/>
      <w:kern w:val="21"/>
      <w:sz w:val="21"/>
      <w:szCs w:val="20"/>
      <w:lang w:val="en-US" w:eastAsia="zh-CN" w:bidi="ar-SA"/>
    </w:rPr>
  </w:style>
  <w:style w:type="paragraph" w:customStyle="1" w:styleId="123">
    <w:name w:val="Char1"/>
    <w:basedOn w:val="1"/>
    <w:uiPriority w:val="0"/>
    <w:pPr>
      <w:widowControl/>
      <w:adjustRightInd w:val="0"/>
      <w:spacing w:after="160" w:line="240" w:lineRule="exact"/>
      <w:jc w:val="left"/>
      <w:textAlignment w:val="baseline"/>
    </w:pPr>
    <w:rPr>
      <w:rFonts w:ascii="Arial" w:hAnsi="Arial" w:eastAsia="Times New Roman" w:cs="Verdana"/>
      <w:b/>
      <w:kern w:val="0"/>
      <w:sz w:val="24"/>
      <w:szCs w:val="24"/>
      <w:lang w:eastAsia="en-US"/>
    </w:rPr>
  </w:style>
  <w:style w:type="paragraph" w:customStyle="1" w:styleId="124">
    <w:name w:val="封面标准文稿类别"/>
    <w:basedOn w:val="125"/>
    <w:uiPriority w:val="0"/>
    <w:pPr>
      <w:framePr w:wrap="around"/>
      <w:spacing w:after="160" w:line="240" w:lineRule="auto"/>
    </w:pPr>
    <w:rPr>
      <w:sz w:val="24"/>
    </w:rPr>
  </w:style>
  <w:style w:type="paragraph" w:customStyle="1" w:styleId="125">
    <w:name w:val="封面一致性程度标识"/>
    <w:basedOn w:val="100"/>
    <w:uiPriority w:val="0"/>
    <w:pPr>
      <w:framePr w:wrap="around"/>
      <w:spacing w:before="440"/>
    </w:pPr>
    <w:rPr>
      <w:rFonts w:ascii="宋体" w:eastAsia="宋体"/>
    </w:rPr>
  </w:style>
  <w:style w:type="paragraph" w:customStyle="1" w:styleId="126">
    <w:name w:val="正文公式编号制表符"/>
    <w:basedOn w:val="29"/>
    <w:next w:val="29"/>
    <w:qFormat/>
    <w:uiPriority w:val="0"/>
    <w:pPr>
      <w:ind w:firstLine="0" w:firstLineChars="0"/>
    </w:pPr>
  </w:style>
  <w:style w:type="paragraph" w:customStyle="1" w:styleId="127">
    <w:name w:val="参考文献"/>
    <w:basedOn w:val="1"/>
    <w:next w:val="29"/>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rPr>
  </w:style>
  <w:style w:type="paragraph" w:customStyle="1" w:styleId="128">
    <w:name w:val="目次、标准名称标题"/>
    <w:basedOn w:val="1"/>
    <w:next w:val="29"/>
    <w:uiPriority w:val="0"/>
    <w:pPr>
      <w:keepNext/>
      <w:pageBreakBefore/>
      <w:widowControl/>
      <w:shd w:val="clear" w:color="FFFFFF" w:fill="FFFFFF"/>
      <w:spacing w:before="640" w:after="560" w:line="460" w:lineRule="exact"/>
      <w:jc w:val="center"/>
      <w:outlineLvl w:val="0"/>
    </w:pPr>
    <w:rPr>
      <w:rFonts w:ascii="黑体" w:hAnsi="Times New Roman" w:eastAsia="黑体" w:cs="Times New Roman"/>
      <w:kern w:val="0"/>
      <w:sz w:val="32"/>
      <w:szCs w:val="20"/>
    </w:rPr>
  </w:style>
  <w:style w:type="paragraph" w:customStyle="1" w:styleId="129">
    <w:name w:val="封面标准文稿编辑信息2"/>
    <w:basedOn w:val="130"/>
    <w:uiPriority w:val="0"/>
    <w:pPr>
      <w:framePr w:wrap="around" w:y="4469"/>
    </w:pPr>
  </w:style>
  <w:style w:type="paragraph" w:customStyle="1" w:styleId="130">
    <w:name w:val="封面标准文稿编辑信息"/>
    <w:basedOn w:val="124"/>
    <w:uiPriority w:val="0"/>
    <w:pPr>
      <w:framePr w:wrap="around"/>
      <w:spacing w:before="180" w:line="180" w:lineRule="exact"/>
    </w:pPr>
    <w:rPr>
      <w:sz w:val="21"/>
    </w:rPr>
  </w:style>
  <w:style w:type="paragraph" w:customStyle="1" w:styleId="131">
    <w:name w:val="注："/>
    <w:next w:val="29"/>
    <w:uiPriority w:val="0"/>
    <w:pPr>
      <w:widowControl w:val="0"/>
      <w:numPr>
        <w:ilvl w:val="0"/>
        <w:numId w:val="6"/>
      </w:numPr>
      <w:autoSpaceDE w:val="0"/>
      <w:autoSpaceDN w:val="0"/>
      <w:jc w:val="both"/>
    </w:pPr>
    <w:rPr>
      <w:rFonts w:ascii="宋体" w:hAnsi="Times New Roman" w:eastAsia="宋体" w:cs="Times New Roman"/>
      <w:kern w:val="0"/>
      <w:sz w:val="18"/>
      <w:szCs w:val="18"/>
      <w:lang w:val="en-US" w:eastAsia="zh-CN" w:bidi="ar-SA"/>
    </w:rPr>
  </w:style>
  <w:style w:type="paragraph" w:customStyle="1" w:styleId="132">
    <w:name w:val="标准书眉_偶数页"/>
    <w:basedOn w:val="133"/>
    <w:next w:val="1"/>
    <w:uiPriority w:val="0"/>
    <w:pPr>
      <w:tabs>
        <w:tab w:val="center" w:pos="4154"/>
        <w:tab w:val="right" w:pos="8306"/>
      </w:tabs>
      <w:jc w:val="left"/>
    </w:pPr>
  </w:style>
  <w:style w:type="paragraph" w:customStyle="1" w:styleId="133">
    <w:name w:val="标准书眉_奇数页"/>
    <w:next w:val="1"/>
    <w:uiPriority w:val="0"/>
    <w:pPr>
      <w:tabs>
        <w:tab w:val="center" w:pos="4154"/>
        <w:tab w:val="right" w:pos="8306"/>
      </w:tabs>
      <w:spacing w:after="220"/>
      <w:jc w:val="right"/>
    </w:pPr>
    <w:rPr>
      <w:rFonts w:ascii="黑体" w:hAnsi="Times New Roman" w:eastAsia="黑体" w:cs="Times New Roman"/>
      <w:kern w:val="0"/>
      <w:sz w:val="21"/>
      <w:szCs w:val="21"/>
      <w:lang w:val="en-US" w:eastAsia="zh-CN" w:bidi="ar-SA"/>
    </w:rPr>
  </w:style>
  <w:style w:type="paragraph" w:customStyle="1" w:styleId="134">
    <w:name w:val="注×："/>
    <w:uiPriority w:val="0"/>
    <w:pPr>
      <w:widowControl w:val="0"/>
      <w:numPr>
        <w:ilvl w:val="0"/>
        <w:numId w:val="7"/>
      </w:numPr>
      <w:autoSpaceDE w:val="0"/>
      <w:autoSpaceDN w:val="0"/>
      <w:jc w:val="both"/>
    </w:pPr>
    <w:rPr>
      <w:rFonts w:ascii="宋体" w:hAnsi="Times New Roman" w:eastAsia="宋体" w:cs="Times New Roman"/>
      <w:kern w:val="0"/>
      <w:sz w:val="18"/>
      <w:szCs w:val="18"/>
      <w:lang w:val="en-US" w:eastAsia="zh-CN" w:bidi="ar-SA"/>
    </w:rPr>
  </w:style>
  <w:style w:type="paragraph" w:customStyle="1" w:styleId="135">
    <w:name w:val="附录二级无"/>
    <w:basedOn w:val="96"/>
    <w:uiPriority w:val="0"/>
    <w:pPr>
      <w:tabs>
        <w:tab w:val="clear" w:pos="360"/>
      </w:tabs>
      <w:spacing w:beforeLines="0" w:afterLines="0"/>
    </w:pPr>
    <w:rPr>
      <w:rFonts w:ascii="宋体" w:eastAsia="宋体"/>
      <w:szCs w:val="21"/>
    </w:rPr>
  </w:style>
  <w:style w:type="paragraph" w:customStyle="1" w:styleId="136">
    <w:name w:val="封面标准号2"/>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kern w:val="0"/>
      <w:sz w:val="28"/>
      <w:szCs w:val="28"/>
      <w:lang w:val="en-US" w:eastAsia="zh-CN" w:bidi="ar-SA"/>
    </w:rPr>
  </w:style>
  <w:style w:type="paragraph" w:customStyle="1" w:styleId="137">
    <w:name w:val="字母编号列项（一级）"/>
    <w:uiPriority w:val="0"/>
    <w:pPr>
      <w:numPr>
        <w:ilvl w:val="0"/>
        <w:numId w:val="8"/>
      </w:numPr>
      <w:tabs>
        <w:tab w:val="left" w:pos="840"/>
      </w:tabs>
      <w:jc w:val="both"/>
    </w:pPr>
    <w:rPr>
      <w:rFonts w:ascii="宋体" w:hAnsi="Times New Roman" w:eastAsia="宋体" w:cs="Times New Roman"/>
      <w:kern w:val="0"/>
      <w:sz w:val="21"/>
      <w:szCs w:val="20"/>
      <w:lang w:val="en-US" w:eastAsia="zh-CN" w:bidi="ar-SA"/>
    </w:rPr>
  </w:style>
  <w:style w:type="paragraph" w:customStyle="1" w:styleId="138">
    <w:name w:val="注：（正文）"/>
    <w:basedOn w:val="131"/>
    <w:next w:val="29"/>
    <w:uiPriority w:val="0"/>
    <w:pPr>
      <w:numPr>
        <w:numId w:val="9"/>
      </w:numPr>
      <w:tabs>
        <w:tab w:val="left" w:pos="840"/>
      </w:tabs>
    </w:pPr>
  </w:style>
  <w:style w:type="paragraph" w:customStyle="1" w:styleId="139">
    <w:name w:val="示例×："/>
    <w:basedOn w:val="118"/>
    <w:qFormat/>
    <w:uiPriority w:val="0"/>
    <w:pPr>
      <w:numPr>
        <w:ilvl w:val="0"/>
        <w:numId w:val="10"/>
      </w:numPr>
      <w:spacing w:beforeLines="0" w:afterLines="0"/>
      <w:outlineLvl w:val="9"/>
    </w:pPr>
    <w:rPr>
      <w:rFonts w:ascii="宋体" w:eastAsia="宋体"/>
      <w:sz w:val="18"/>
      <w:szCs w:val="18"/>
    </w:rPr>
  </w:style>
  <w:style w:type="paragraph" w:customStyle="1" w:styleId="140">
    <w:name w:val="实施日期"/>
    <w:basedOn w:val="91"/>
    <w:uiPriority w:val="0"/>
    <w:pPr>
      <w:framePr w:wrap="around" w:vAnchor="page" w:hAnchor="text"/>
      <w:jc w:val="right"/>
    </w:pPr>
  </w:style>
  <w:style w:type="paragraph" w:customStyle="1" w:styleId="141">
    <w:name w:val="正文表标题"/>
    <w:next w:val="29"/>
    <w:uiPriority w:val="0"/>
    <w:pPr>
      <w:numPr>
        <w:ilvl w:val="0"/>
        <w:numId w:val="11"/>
      </w:numPr>
      <w:tabs>
        <w:tab w:val="left" w:pos="360"/>
      </w:tabs>
      <w:spacing w:beforeLines="50" w:afterLines="50"/>
      <w:jc w:val="center"/>
    </w:pPr>
    <w:rPr>
      <w:rFonts w:ascii="黑体" w:hAnsi="Times New Roman" w:eastAsia="黑体" w:cs="Times New Roman"/>
      <w:kern w:val="0"/>
      <w:sz w:val="21"/>
      <w:szCs w:val="20"/>
      <w:lang w:val="en-US" w:eastAsia="zh-CN" w:bidi="ar-SA"/>
    </w:rPr>
  </w:style>
  <w:style w:type="paragraph" w:customStyle="1" w:styleId="142">
    <w:name w:val="附录数字编号列项（二级）"/>
    <w:qFormat/>
    <w:uiPriority w:val="0"/>
    <w:pPr>
      <w:numPr>
        <w:ilvl w:val="1"/>
        <w:numId w:val="12"/>
      </w:numPr>
      <w:tabs>
        <w:tab w:val="left" w:pos="840"/>
      </w:tabs>
    </w:pPr>
    <w:rPr>
      <w:rFonts w:ascii="宋体" w:hAnsi="Times New Roman" w:eastAsia="宋体" w:cs="Times New Roman"/>
      <w:kern w:val="0"/>
      <w:sz w:val="21"/>
      <w:szCs w:val="20"/>
      <w:lang w:val="en-US" w:eastAsia="zh-CN" w:bidi="ar-SA"/>
    </w:rPr>
  </w:style>
  <w:style w:type="paragraph" w:customStyle="1" w:styleId="143">
    <w:name w:val="注×：（正文）"/>
    <w:uiPriority w:val="0"/>
    <w:pPr>
      <w:numPr>
        <w:ilvl w:val="0"/>
        <w:numId w:val="13"/>
      </w:numPr>
      <w:jc w:val="both"/>
    </w:pPr>
    <w:rPr>
      <w:rFonts w:ascii="宋体" w:hAnsi="Times New Roman" w:eastAsia="宋体" w:cs="Times New Roman"/>
      <w:kern w:val="0"/>
      <w:sz w:val="18"/>
      <w:szCs w:val="18"/>
      <w:lang w:val="en-US" w:eastAsia="zh-CN" w:bidi="ar-SA"/>
    </w:rPr>
  </w:style>
  <w:style w:type="paragraph" w:customStyle="1" w:styleId="144">
    <w:name w:val="列项说明"/>
    <w:basedOn w:val="1"/>
    <w:uiPriority w:val="0"/>
    <w:pPr>
      <w:adjustRightInd w:val="0"/>
      <w:spacing w:line="320" w:lineRule="exact"/>
      <w:ind w:left="400" w:leftChars="200" w:hanging="200" w:hangingChars="200"/>
      <w:jc w:val="left"/>
      <w:textAlignment w:val="baseline"/>
    </w:pPr>
    <w:rPr>
      <w:rFonts w:ascii="宋体" w:hAnsi="Times New Roman" w:eastAsia="宋体" w:cs="Times New Roman"/>
      <w:kern w:val="0"/>
      <w:szCs w:val="20"/>
    </w:rPr>
  </w:style>
  <w:style w:type="paragraph" w:customStyle="1" w:styleId="145">
    <w:name w:val="正文图标题"/>
    <w:next w:val="29"/>
    <w:uiPriority w:val="0"/>
    <w:pPr>
      <w:numPr>
        <w:ilvl w:val="0"/>
        <w:numId w:val="14"/>
      </w:numPr>
      <w:spacing w:beforeLines="50" w:afterLines="50"/>
      <w:jc w:val="center"/>
    </w:pPr>
    <w:rPr>
      <w:rFonts w:ascii="黑体" w:hAnsi="Times New Roman" w:eastAsia="黑体" w:cs="Times New Roman"/>
      <w:kern w:val="0"/>
      <w:sz w:val="21"/>
      <w:szCs w:val="20"/>
      <w:lang w:val="en-US" w:eastAsia="zh-CN" w:bidi="ar-SA"/>
    </w:rPr>
  </w:style>
  <w:style w:type="paragraph" w:customStyle="1" w:styleId="146">
    <w:name w:val="附录四级无"/>
    <w:basedOn w:val="105"/>
    <w:uiPriority w:val="0"/>
    <w:pPr>
      <w:tabs>
        <w:tab w:val="clear" w:pos="360"/>
      </w:tabs>
      <w:spacing w:beforeLines="0" w:afterLines="0"/>
    </w:pPr>
    <w:rPr>
      <w:rFonts w:ascii="宋体" w:eastAsia="宋体"/>
      <w:szCs w:val="21"/>
    </w:rPr>
  </w:style>
  <w:style w:type="paragraph" w:customStyle="1" w:styleId="147">
    <w:name w:val="终结线"/>
    <w:basedOn w:val="1"/>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148">
    <w:name w:val="封面标准名称2"/>
    <w:basedOn w:val="101"/>
    <w:uiPriority w:val="0"/>
    <w:pPr>
      <w:framePr w:wrap="around" w:y="4469"/>
      <w:spacing w:beforeLines="630"/>
    </w:pPr>
  </w:style>
  <w:style w:type="paragraph" w:customStyle="1" w:styleId="149">
    <w:name w:val="示例"/>
    <w:next w:val="150"/>
    <w:uiPriority w:val="0"/>
    <w:pPr>
      <w:widowControl w:val="0"/>
      <w:numPr>
        <w:ilvl w:val="0"/>
        <w:numId w:val="15"/>
      </w:numPr>
      <w:jc w:val="both"/>
    </w:pPr>
    <w:rPr>
      <w:rFonts w:ascii="宋体" w:hAnsi="Times New Roman" w:eastAsia="宋体" w:cs="Times New Roman"/>
      <w:kern w:val="0"/>
      <w:sz w:val="18"/>
      <w:szCs w:val="18"/>
      <w:lang w:val="en-US" w:eastAsia="zh-CN" w:bidi="ar-SA"/>
    </w:rPr>
  </w:style>
  <w:style w:type="paragraph" w:customStyle="1" w:styleId="150">
    <w:name w:val="示例内容"/>
    <w:uiPriority w:val="0"/>
    <w:pPr>
      <w:ind w:firstLine="200" w:firstLineChars="200"/>
    </w:pPr>
    <w:rPr>
      <w:rFonts w:ascii="宋体" w:hAnsi="Times New Roman" w:eastAsia="宋体" w:cs="Times New Roman"/>
      <w:kern w:val="0"/>
      <w:sz w:val="18"/>
      <w:szCs w:val="18"/>
      <w:lang w:val="en-US" w:eastAsia="zh-CN" w:bidi="ar-SA"/>
    </w:rPr>
  </w:style>
  <w:style w:type="paragraph" w:customStyle="1" w:styleId="151">
    <w:name w:val="附录图标题"/>
    <w:basedOn w:val="1"/>
    <w:next w:val="29"/>
    <w:uiPriority w:val="0"/>
    <w:pPr>
      <w:numPr>
        <w:ilvl w:val="1"/>
        <w:numId w:val="5"/>
      </w:numPr>
      <w:tabs>
        <w:tab w:val="left" w:pos="363"/>
      </w:tabs>
      <w:spacing w:beforeLines="50" w:afterLines="50"/>
      <w:jc w:val="center"/>
    </w:pPr>
    <w:rPr>
      <w:rFonts w:ascii="黑体" w:hAnsi="Times New Roman" w:eastAsia="黑体" w:cs="Times New Roman"/>
      <w:szCs w:val="21"/>
    </w:rPr>
  </w:style>
  <w:style w:type="paragraph" w:customStyle="1" w:styleId="152">
    <w:name w:val="参考文献、索引标题"/>
    <w:basedOn w:val="1"/>
    <w:next w:val="29"/>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rPr>
  </w:style>
  <w:style w:type="paragraph" w:customStyle="1" w:styleId="153">
    <w:name w:val="文献分类号"/>
    <w:uiPriority w:val="0"/>
    <w:pPr>
      <w:framePr w:hSpace="180" w:vSpace="180" w:wrap="around" w:vAnchor="margin" w:hAnchor="margin" w:y="1" w:anchorLock="1"/>
      <w:widowControl w:val="0"/>
      <w:textAlignment w:val="center"/>
    </w:pPr>
    <w:rPr>
      <w:rFonts w:ascii="黑体" w:hAnsi="Times New Roman" w:eastAsia="黑体" w:cs="Times New Roman"/>
      <w:kern w:val="0"/>
      <w:sz w:val="21"/>
      <w:szCs w:val="21"/>
      <w:lang w:val="en-US" w:eastAsia="zh-CN" w:bidi="ar-SA"/>
    </w:rPr>
  </w:style>
  <w:style w:type="paragraph" w:customStyle="1" w:styleId="154">
    <w:name w:val="图的脚注"/>
    <w:next w:val="29"/>
    <w:qFormat/>
    <w:uiPriority w:val="0"/>
    <w:pPr>
      <w:widowControl w:val="0"/>
      <w:ind w:left="840" w:leftChars="200" w:hanging="420" w:hangingChars="200"/>
      <w:jc w:val="both"/>
    </w:pPr>
    <w:rPr>
      <w:rFonts w:ascii="宋体" w:hAnsi="Times New Roman" w:eastAsia="宋体" w:cs="Times New Roman"/>
      <w:kern w:val="0"/>
      <w:sz w:val="18"/>
      <w:szCs w:val="20"/>
      <w:lang w:val="en-US" w:eastAsia="zh-CN" w:bidi="ar-SA"/>
    </w:rPr>
  </w:style>
  <w:style w:type="paragraph" w:customStyle="1" w:styleId="155">
    <w:name w:val="其他标准称谓"/>
    <w:next w:val="1"/>
    <w:uiPriority w:val="0"/>
    <w:pPr>
      <w:framePr w:hSpace="181" w:vSpace="181" w:wrap="around" w:vAnchor="page" w:hAnchor="page" w:x="1419" w:y="2286" w:anchorLock="1"/>
      <w:spacing w:line="0" w:lineRule="atLeast"/>
      <w:jc w:val="distribute"/>
    </w:pPr>
    <w:rPr>
      <w:rFonts w:ascii="黑体" w:hAnsi="宋体" w:eastAsia="黑体" w:cs="Times New Roman"/>
      <w:spacing w:val="-40"/>
      <w:kern w:val="0"/>
      <w:sz w:val="48"/>
      <w:szCs w:val="52"/>
      <w:lang w:val="en-US" w:eastAsia="zh-CN" w:bidi="ar-SA"/>
    </w:rPr>
  </w:style>
  <w:style w:type="paragraph" w:customStyle="1" w:styleId="156">
    <w:name w:val="封面标准文稿类别2"/>
    <w:basedOn w:val="124"/>
    <w:uiPriority w:val="0"/>
    <w:pPr>
      <w:framePr w:wrap="around" w:y="4469"/>
    </w:pPr>
  </w:style>
  <w:style w:type="paragraph" w:customStyle="1" w:styleId="157">
    <w:name w:val="附录一级无"/>
    <w:basedOn w:val="121"/>
    <w:uiPriority w:val="0"/>
    <w:pPr>
      <w:tabs>
        <w:tab w:val="clear" w:pos="360"/>
      </w:tabs>
      <w:spacing w:beforeLines="0" w:afterLines="0"/>
    </w:pPr>
    <w:rPr>
      <w:rFonts w:ascii="宋体" w:eastAsia="宋体"/>
      <w:szCs w:val="21"/>
    </w:rPr>
  </w:style>
  <w:style w:type="paragraph" w:customStyle="1" w:styleId="158">
    <w:name w:val="二级无"/>
    <w:basedOn w:val="70"/>
    <w:qFormat/>
    <w:uiPriority w:val="99"/>
    <w:pPr>
      <w:spacing w:beforeLines="0" w:afterLines="0"/>
      <w:ind w:left="0"/>
    </w:pPr>
    <w:rPr>
      <w:rFonts w:ascii="宋体" w:eastAsia="宋体"/>
    </w:rPr>
  </w:style>
  <w:style w:type="paragraph" w:customStyle="1" w:styleId="159">
    <w:name w:val="附录三级无"/>
    <w:basedOn w:val="106"/>
    <w:uiPriority w:val="0"/>
    <w:pPr>
      <w:tabs>
        <w:tab w:val="clear" w:pos="360"/>
      </w:tabs>
      <w:spacing w:beforeLines="0" w:afterLines="0"/>
    </w:pPr>
    <w:rPr>
      <w:rFonts w:ascii="宋体" w:eastAsia="宋体"/>
      <w:szCs w:val="21"/>
    </w:rPr>
  </w:style>
  <w:style w:type="paragraph" w:customStyle="1" w:styleId="160">
    <w:name w:val="前言、引言标题"/>
    <w:next w:val="29"/>
    <w:uiPriority w:val="0"/>
    <w:pPr>
      <w:keepNext/>
      <w:pageBreakBefore/>
      <w:shd w:val="clear" w:color="FFFFFF" w:fill="FFFFFF"/>
      <w:spacing w:before="640" w:after="560"/>
      <w:jc w:val="center"/>
      <w:outlineLvl w:val="0"/>
    </w:pPr>
    <w:rPr>
      <w:rFonts w:ascii="黑体" w:hAnsi="Times New Roman" w:eastAsia="黑体" w:cs="Times New Roman"/>
      <w:kern w:val="0"/>
      <w:sz w:val="32"/>
      <w:szCs w:val="20"/>
      <w:lang w:val="en-US" w:eastAsia="zh-CN" w:bidi="ar-SA"/>
    </w:rPr>
  </w:style>
  <w:style w:type="paragraph" w:customStyle="1" w:styleId="161">
    <w:name w:val="数字编号列项（二级）"/>
    <w:uiPriority w:val="0"/>
    <w:pPr>
      <w:numPr>
        <w:ilvl w:val="1"/>
        <w:numId w:val="8"/>
      </w:numPr>
      <w:tabs>
        <w:tab w:val="left" w:pos="1260"/>
      </w:tabs>
      <w:jc w:val="both"/>
    </w:pPr>
    <w:rPr>
      <w:rFonts w:ascii="宋体" w:hAnsi="Times New Roman" w:eastAsia="宋体" w:cs="Times New Roman"/>
      <w:kern w:val="0"/>
      <w:sz w:val="21"/>
      <w:szCs w:val="20"/>
      <w:lang w:val="en-US" w:eastAsia="zh-CN" w:bidi="ar-SA"/>
    </w:rPr>
  </w:style>
  <w:style w:type="paragraph" w:customStyle="1" w:styleId="162">
    <w:name w:val="封面标准号1"/>
    <w:uiPriority w:val="0"/>
    <w:pPr>
      <w:widowControl w:val="0"/>
      <w:kinsoku w:val="0"/>
      <w:overflowPunct w:val="0"/>
      <w:autoSpaceDE w:val="0"/>
      <w:autoSpaceDN w:val="0"/>
      <w:spacing w:before="308"/>
      <w:jc w:val="right"/>
      <w:textAlignment w:val="center"/>
    </w:pPr>
    <w:rPr>
      <w:rFonts w:ascii="Times New Roman" w:hAnsi="Times New Roman" w:eastAsia="宋体" w:cs="Times New Roman"/>
      <w:kern w:val="0"/>
      <w:sz w:val="28"/>
      <w:szCs w:val="20"/>
      <w:lang w:val="en-US" w:eastAsia="zh-CN" w:bidi="ar-SA"/>
    </w:rPr>
  </w:style>
  <w:style w:type="paragraph" w:customStyle="1" w:styleId="163">
    <w:name w:val="标准称谓"/>
    <w:next w:val="1"/>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kern w:val="0"/>
      <w:sz w:val="48"/>
      <w:szCs w:val="20"/>
      <w:lang w:val="en-US" w:eastAsia="zh-CN" w:bidi="ar-SA"/>
    </w:rPr>
  </w:style>
  <w:style w:type="paragraph" w:customStyle="1" w:styleId="164">
    <w:name w:val="标准书脚_偶数页"/>
    <w:uiPriority w:val="0"/>
    <w:pPr>
      <w:spacing w:before="120"/>
      <w:ind w:left="221"/>
    </w:pPr>
    <w:rPr>
      <w:rFonts w:ascii="宋体" w:hAnsi="Times New Roman" w:eastAsia="宋体" w:cs="Times New Roman"/>
      <w:kern w:val="0"/>
      <w:sz w:val="18"/>
      <w:szCs w:val="18"/>
      <w:lang w:val="en-US" w:eastAsia="zh-CN" w:bidi="ar-SA"/>
    </w:rPr>
  </w:style>
  <w:style w:type="paragraph" w:customStyle="1" w:styleId="165">
    <w:name w:val="五级无"/>
    <w:basedOn w:val="107"/>
    <w:uiPriority w:val="0"/>
    <w:pPr>
      <w:spacing w:beforeLines="0" w:afterLines="0"/>
    </w:pPr>
    <w:rPr>
      <w:rFonts w:ascii="宋体" w:eastAsia="宋体"/>
    </w:rPr>
  </w:style>
  <w:style w:type="paragraph" w:customStyle="1" w:styleId="166">
    <w:name w:val="其他标准标志"/>
    <w:basedOn w:val="95"/>
    <w:uiPriority w:val="0"/>
    <w:pPr>
      <w:framePr w:w="6101" w:wrap="around" w:vAnchor="page" w:hAnchor="page" w:x="4673" w:y="942"/>
    </w:pPr>
    <w:rPr>
      <w:w w:val="130"/>
    </w:rPr>
  </w:style>
  <w:style w:type="paragraph" w:customStyle="1" w:styleId="167">
    <w:name w:val="附录公式编号制表符"/>
    <w:basedOn w:val="1"/>
    <w:next w:val="29"/>
    <w:qFormat/>
    <w:uiPriority w:val="0"/>
    <w:pPr>
      <w:widowControl/>
      <w:tabs>
        <w:tab w:val="center" w:pos="4201"/>
        <w:tab w:val="right" w:leader="dot" w:pos="9298"/>
      </w:tabs>
      <w:autoSpaceDE w:val="0"/>
      <w:autoSpaceDN w:val="0"/>
    </w:pPr>
    <w:rPr>
      <w:rFonts w:ascii="宋体" w:hAnsi="Times New Roman" w:eastAsia="宋体" w:cs="Times New Roman"/>
      <w:kern w:val="0"/>
      <w:szCs w:val="20"/>
    </w:rPr>
  </w:style>
  <w:style w:type="paragraph" w:customStyle="1" w:styleId="168">
    <w:name w:val="附录表标号"/>
    <w:basedOn w:val="1"/>
    <w:next w:val="29"/>
    <w:uiPriority w:val="0"/>
    <w:pPr>
      <w:numPr>
        <w:ilvl w:val="0"/>
        <w:numId w:val="16"/>
      </w:numPr>
      <w:spacing w:line="14" w:lineRule="exact"/>
      <w:ind w:left="811" w:hanging="448"/>
      <w:jc w:val="center"/>
      <w:outlineLvl w:val="0"/>
    </w:pPr>
    <w:rPr>
      <w:rFonts w:ascii="Times New Roman" w:hAnsi="Times New Roman" w:eastAsia="宋体" w:cs="Times New Roman"/>
      <w:color w:val="FFFFFF"/>
      <w:szCs w:val="24"/>
    </w:rPr>
  </w:style>
  <w:style w:type="paragraph" w:customStyle="1" w:styleId="169">
    <w:name w:val="附录表标题"/>
    <w:basedOn w:val="1"/>
    <w:next w:val="29"/>
    <w:qFormat/>
    <w:uiPriority w:val="0"/>
    <w:pPr>
      <w:numPr>
        <w:ilvl w:val="1"/>
        <w:numId w:val="16"/>
      </w:numPr>
      <w:tabs>
        <w:tab w:val="left" w:pos="180"/>
      </w:tabs>
      <w:spacing w:beforeLines="50" w:afterLines="50"/>
      <w:ind w:firstLine="0"/>
      <w:jc w:val="center"/>
    </w:pPr>
    <w:rPr>
      <w:rFonts w:ascii="黑体" w:hAnsi="Times New Roman" w:eastAsia="黑体" w:cs="Times New Roman"/>
      <w:szCs w:val="21"/>
    </w:rPr>
  </w:style>
  <w:style w:type="paragraph" w:customStyle="1" w:styleId="170">
    <w:name w:val="四级无"/>
    <w:basedOn w:val="108"/>
    <w:uiPriority w:val="0"/>
    <w:pPr>
      <w:numPr>
        <w:ilvl w:val="0"/>
        <w:numId w:val="17"/>
      </w:numPr>
      <w:spacing w:beforeLines="0" w:afterLines="0"/>
      <w:ind w:firstLine="0"/>
    </w:pPr>
    <w:rPr>
      <w:rFonts w:ascii="宋体" w:eastAsia="宋体"/>
    </w:rPr>
  </w:style>
  <w:style w:type="paragraph" w:customStyle="1" w:styleId="171">
    <w:name w:val="附录字母编号列项（一级）"/>
    <w:qFormat/>
    <w:uiPriority w:val="0"/>
    <w:pPr>
      <w:numPr>
        <w:ilvl w:val="0"/>
        <w:numId w:val="12"/>
      </w:numPr>
      <w:tabs>
        <w:tab w:val="left" w:pos="839"/>
      </w:tabs>
    </w:pPr>
    <w:rPr>
      <w:rFonts w:ascii="宋体" w:hAnsi="Times New Roman" w:eastAsia="宋体" w:cs="Times New Roman"/>
      <w:kern w:val="0"/>
      <w:sz w:val="21"/>
      <w:szCs w:val="20"/>
      <w:lang w:val="en-US" w:eastAsia="zh-CN" w:bidi="ar-SA"/>
    </w:rPr>
  </w:style>
  <w:style w:type="paragraph" w:customStyle="1" w:styleId="172">
    <w:name w:val="示例后文字"/>
    <w:basedOn w:val="29"/>
    <w:next w:val="29"/>
    <w:qFormat/>
    <w:uiPriority w:val="0"/>
    <w:pPr>
      <w:ind w:firstLine="360"/>
    </w:pPr>
    <w:rPr>
      <w:sz w:val="18"/>
    </w:rPr>
  </w:style>
  <w:style w:type="paragraph" w:customStyle="1" w:styleId="173">
    <w:name w:val="条文脚注"/>
    <w:basedOn w:val="30"/>
    <w:uiPriority w:val="0"/>
    <w:pPr>
      <w:numPr>
        <w:numId w:val="0"/>
      </w:numPr>
      <w:jc w:val="both"/>
    </w:pPr>
  </w:style>
  <w:style w:type="paragraph" w:customStyle="1" w:styleId="174">
    <w:name w:val="一级无"/>
    <w:basedOn w:val="71"/>
    <w:uiPriority w:val="0"/>
    <w:pPr>
      <w:spacing w:beforeLines="0" w:afterLines="0"/>
    </w:pPr>
    <w:rPr>
      <w:rFonts w:ascii="宋体" w:eastAsia="宋体"/>
    </w:rPr>
  </w:style>
  <w:style w:type="paragraph" w:customStyle="1" w:styleId="175">
    <w:name w:val="其他实施日期"/>
    <w:basedOn w:val="140"/>
    <w:uiPriority w:val="0"/>
    <w:pPr>
      <w:framePr w:wrap="around"/>
    </w:pPr>
  </w:style>
  <w:style w:type="paragraph" w:customStyle="1" w:styleId="176">
    <w:name w:val="封面一致性程度标识2"/>
    <w:basedOn w:val="125"/>
    <w:uiPriority w:val="0"/>
    <w:pPr>
      <w:framePr w:wrap="around" w:y="4469"/>
    </w:pPr>
  </w:style>
  <w:style w:type="table" w:customStyle="1" w:styleId="177">
    <w:name w:val="网格型1"/>
    <w:basedOn w:val="40"/>
    <w:uiPriority w:val="0"/>
    <w:pPr>
      <w:numPr>
        <w:numId w:val="18"/>
      </w:numPr>
      <w:ind w:firstLine="0"/>
    </w:pPr>
    <w:rPr>
      <w:rFonts w:ascii="宋体" w:hAnsi="Times New Roman" w:eastAsia="宋体" w:cs="Times New Roman"/>
      <w:kern w:val="0"/>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178">
    <w:name w:val="Body text|1"/>
    <w:basedOn w:val="1"/>
    <w:uiPriority w:val="0"/>
    <w:pPr>
      <w:spacing w:line="336" w:lineRule="auto"/>
    </w:pPr>
    <w:rPr>
      <w:rFonts w:ascii="MingLiU" w:hAnsi="MingLiU" w:eastAsia="MingLiU" w:cs="MingLiU"/>
      <w:sz w:val="19"/>
      <w:szCs w:val="19"/>
      <w:lang w:val="zh-TW" w:eastAsia="zh-TW" w:bidi="zh-TW"/>
    </w:rPr>
  </w:style>
  <w:style w:type="character" w:customStyle="1" w:styleId="179">
    <w:name w:val="apple-converted-space"/>
    <w:basedOn w:val="42"/>
    <w:uiPriority w:val="0"/>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3B41351-C6DF-423F-A548-2C524C05D7C2}">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4595</Words>
  <Characters>26196</Characters>
  <Lines>218</Lines>
  <Paragraphs>61</Paragraphs>
  <TotalTime>2564</TotalTime>
  <ScaleCrop>false</ScaleCrop>
  <LinksUpToDate>false</LinksUpToDate>
  <CharactersWithSpaces>30730</CharactersWithSpaces>
  <Application>WPS Office_11.8.2.8808_F1E327BC-269C-435d-A152-05C5408002CA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2018-07-10T05:01:00Z</dcterms:created>
  <dc:creator>HL</dc:creator>
  <cp:lastModifiedBy>ADMIN</cp:lastModifiedBy>
  <cp:lastPrinted>2020-10-14T08:01:00Z</cp:lastPrinted>
  <dcterms:modified xsi:type="dcterms:W3CDTF">2020-10-15T02:53:28Z</dcterms:modified>
  <cp:revision>300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2052-11.8.2.8808</vt:lpwstr>
  </property>
</Properties>
</file>