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eastAsia="zh-CN"/>
        </w:rPr>
        <w:t>煤业有限公司</w:t>
      </w:r>
    </w:p>
    <w:p>
      <w:pPr>
        <w:jc w:val="center"/>
        <w:rPr>
          <w:rFonts w:hint="eastAsia"/>
          <w:b/>
          <w:bCs/>
          <w:sz w:val="36"/>
          <w:szCs w:val="36"/>
          <w:lang w:eastAsia="zh-CN"/>
        </w:rPr>
      </w:pPr>
      <w:r>
        <w:rPr>
          <w:rFonts w:hint="eastAsia"/>
          <w:b/>
          <w:bCs/>
          <w:sz w:val="36"/>
          <w:szCs w:val="36"/>
          <w:lang w:eastAsia="zh-CN"/>
        </w:rPr>
        <w:t>水害事故应急演练方案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为认真贯彻执行为认真贯彻执行“安全第一、预防为主、综合治理”的生产方针，保障矿井安全生产和职工生命安全，根据《煤矿防治水规定》第一百一十五条“煤矿企业、矿井应当根据本单位的主要水害类型和可能发生的水害事故，制定水害应急预案和现场处置方案”的规定和上级有关文件精神要求，结合本矿井的实际情况，特制定《201</w:t>
      </w:r>
      <w:r>
        <w:rPr>
          <w:rFonts w:hint="eastAsia" w:asciiTheme="minorEastAsia" w:hAnsiTheme="minorEastAsia" w:cstheme="minorEastAsia"/>
          <w:b w:val="0"/>
          <w:bCs w:val="0"/>
          <w:sz w:val="28"/>
          <w:szCs w:val="28"/>
          <w:lang w:val="en-US" w:eastAsia="zh-CN"/>
        </w:rPr>
        <w:t>6</w:t>
      </w:r>
      <w:r>
        <w:rPr>
          <w:rFonts w:hint="eastAsia" w:asciiTheme="minorEastAsia" w:hAnsiTheme="minorEastAsia" w:eastAsiaTheme="minorEastAsia" w:cstheme="minorEastAsia"/>
          <w:b w:val="0"/>
          <w:bCs w:val="0"/>
          <w:sz w:val="28"/>
          <w:szCs w:val="28"/>
          <w:lang w:eastAsia="zh-CN"/>
        </w:rPr>
        <w:t>年水害事故应急演练方案》。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cstheme="minorEastAsia"/>
          <w:b/>
          <w:bCs/>
          <w:sz w:val="28"/>
          <w:szCs w:val="28"/>
          <w:lang w:eastAsia="zh-CN"/>
        </w:rPr>
        <w:t>一、</w:t>
      </w:r>
      <w:r>
        <w:rPr>
          <w:rFonts w:hint="eastAsia" w:asciiTheme="minorEastAsia" w:hAnsiTheme="minorEastAsia" w:eastAsiaTheme="minorEastAsia" w:cstheme="minorEastAsia"/>
          <w:b/>
          <w:bCs/>
          <w:sz w:val="28"/>
          <w:szCs w:val="28"/>
          <w:lang w:eastAsia="zh-CN"/>
        </w:rPr>
        <w:t>组织机构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eastAsia="zh-CN"/>
        </w:rPr>
      </w:pPr>
      <w:r>
        <w:rPr>
          <w:rFonts w:hint="eastAsia" w:asciiTheme="minorEastAsia" w:hAnsiTheme="minorEastAsia" w:cstheme="minorEastAsia"/>
          <w:b w:val="0"/>
          <w:bCs w:val="0"/>
          <w:sz w:val="28"/>
          <w:szCs w:val="28"/>
          <w:lang w:eastAsia="zh-CN"/>
        </w:rPr>
        <w:t>组</w:t>
      </w:r>
      <w:r>
        <w:rPr>
          <w:rFonts w:hint="eastAsia" w:asciiTheme="minorEastAsia" w:hAnsiTheme="minorEastAsia" w:cstheme="minorEastAsia"/>
          <w:b w:val="0"/>
          <w:bCs w:val="0"/>
          <w:sz w:val="28"/>
          <w:szCs w:val="28"/>
          <w:lang w:val="en-US" w:eastAsia="zh-CN"/>
        </w:rPr>
        <w:t xml:space="preserve">  </w:t>
      </w:r>
      <w:r>
        <w:rPr>
          <w:rFonts w:hint="eastAsia" w:asciiTheme="minorEastAsia" w:hAnsiTheme="minorEastAsia" w:cstheme="minorEastAsia"/>
          <w:b w:val="0"/>
          <w:bCs w:val="0"/>
          <w:sz w:val="28"/>
          <w:szCs w:val="28"/>
          <w:lang w:eastAsia="zh-CN"/>
        </w:rPr>
        <w:t>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eastAsia="zh-CN"/>
        </w:rPr>
      </w:pPr>
      <w:r>
        <w:rPr>
          <w:rFonts w:hint="eastAsia" w:asciiTheme="minorEastAsia" w:hAnsiTheme="minorEastAsia" w:cstheme="minorEastAsia"/>
          <w:b w:val="0"/>
          <w:bCs w:val="0"/>
          <w:sz w:val="28"/>
          <w:szCs w:val="28"/>
          <w:lang w:eastAsia="zh-CN"/>
        </w:rPr>
        <w:t>副组长：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eastAsia="zh-CN"/>
        </w:rPr>
        <w:t>成</w:t>
      </w:r>
      <w:r>
        <w:rPr>
          <w:rFonts w:hint="eastAsia" w:asciiTheme="minorEastAsia" w:hAnsiTheme="minorEastAsia" w:cstheme="minorEastAsia"/>
          <w:b w:val="0"/>
          <w:bCs w:val="0"/>
          <w:sz w:val="28"/>
          <w:szCs w:val="28"/>
          <w:lang w:val="en-US" w:eastAsia="zh-CN"/>
        </w:rPr>
        <w:t xml:space="preserve">  </w:t>
      </w:r>
      <w:r>
        <w:rPr>
          <w:rFonts w:hint="eastAsia" w:asciiTheme="minorEastAsia" w:hAnsiTheme="minorEastAsia" w:cstheme="minorEastAsia"/>
          <w:b w:val="0"/>
          <w:bCs w:val="0"/>
          <w:sz w:val="28"/>
          <w:szCs w:val="28"/>
          <w:lang w:eastAsia="zh-CN"/>
        </w:rPr>
        <w:t>员：</w:t>
      </w:r>
      <w:r>
        <w:rPr>
          <w:rFonts w:hint="eastAsia" w:asciiTheme="minorEastAsia" w:hAnsiTheme="minorEastAsia" w:cstheme="minorEastAsia"/>
          <w:b w:val="0"/>
          <w:bCs w:val="0"/>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二、模拟灾害演练范围及演练时间：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演习范围：10101回风顺槽、泵房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演练时间：2016年4月25日早班，9:00时集合所有人员。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bCs/>
          <w:sz w:val="28"/>
          <w:szCs w:val="28"/>
          <w:lang w:val="en-US" w:eastAsia="zh-CN"/>
        </w:rPr>
        <w:t>三、演练指挥程序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1、由总指挥宣布救灾撤人演练开始，下达撤人演练命令。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2、现场模拟10101回风顺槽出现透水预兆：迎头出现渗水，并有增大趋势。模拟信号人员接到演练命令后，发出水害事故信号，通知矿调度室值班调度员。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3、调度室值班调度员接到险情信号报告通知后，立即启动本矿井《水害事故现场应急演练预案》，根据来水方向、地点、水量等因素，确定人员安全撤离的路径，依据《汛期灾害性天气停产撤人十项规定》及矿井关于对调度员停产撤人授权的规定，迅速通知井下调度员以及受水患影响地点的10101回风顺槽施工人员立即停产撤离升井，并立即向值班领导和矿长汇报，并将水患情况通报周边所有矿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4、调度室调度员及时通知值班矿长、各部门值班人员及相关人员到调度会议室集合，成立救灾指挥部，并及时通知县医院、仓库及相关部门。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5、矿长接到水害事故报告后，立即召集救灾指挥部成员、各应急救援小组到调度室待命，进入抢险紧急状态。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6、救灾指挥部所属各工作组要按各自职责，积极行动、尽职尽责做好抢险救灾工作，并及时将工作情况向救灾指挥部汇报。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7、救灾指挥部迅速判定水害的性质，了解透水地点、影响范围、静止水位，估计突出水量、补给水源及有影响的地面水体。掌握灾区范围、搞清事故前人员分布，分析被困人员可能躲避的地点，以便迅速组织抢救。根据透水量的大小和矿井排水能力，积极采取排、堵、疏的技术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8、加强通风，防止瓦斯和其它有害气体的积聚和发生缺氧窒息事故。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9、排水后进行抢险时，要防止冒顶、掉底和二次突水。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10、抢救和运送长期被困井下的人员时，要防止突然改变其适应的环境和生存条件，造成不应有的伤亡。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11、对于被水、沙截堵的灾区人员，除应积极组织抢救外，应利用管道或其它方式向遇险人员供风。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12、10101所有施工地点的人员接到矿调度室撤人命令后，在跟班区长、班组长及安全员的带领下，按规定的撤人路线迅速撤离，在撤退过程中绝对听从班组长的统一指挥，不要惊慌失措。所有人员撤到地面后，由带班矿长对撤离人员仔细清点，核对无误后，上报总指挥，总指挥宣布停产撤人应急演练结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bCs/>
          <w:sz w:val="28"/>
          <w:szCs w:val="28"/>
          <w:lang w:val="en-US" w:eastAsia="zh-CN"/>
        </w:rPr>
        <w:t>四、水害事故演练安全技术措施</w:t>
      </w:r>
      <w:r>
        <w:rPr>
          <w:rFonts w:hint="eastAsia" w:asciiTheme="minorEastAsia" w:hAnsiTheme="minorEastAsia" w:cstheme="minorEastAsia"/>
          <w:b w:val="0"/>
          <w:bCs w:val="0"/>
          <w:sz w:val="28"/>
          <w:szCs w:val="28"/>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为保证此次演练的顺利进行，保障矿井安全生产和职工生命安全，特制定如下安全技术措施：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1、认真贯彻学习《2016年度矿井灾害预防和处理计划》、《2016年度重大安全生产事故应急预案》等有关灾害预防及避灾路线等内容，保证所有参加人员必须考试合格，考试不合格者不得参加演习。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2、矿调度室于4月24日联合对井上下通信设备、设施检查维修一遍，确保所有通信设备信号畅通，正常使用。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3、技术科、机电科、安全科、调度室必须严格按照《2016年度矿井灾害预防与处理计划》中的要求检查井下设施和图纸资料，保证齐全完好，准确无误。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4、演练开始前，主提升绞车要停止使用，并正确使用好各种防跑车设施，等接到演练结束的通知后方能进行正常提升作业。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6、编制准备好《演练结束后恢复通风和生产的安全技术措施》。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五、救灾演练过程中注意事项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（一）、演习过程中，调度室必须严格按照《2016年度矿井灾害预防与处理计划》和《2016年度水害事故现场处置演练方案》的要求做好记录。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（二）、演练时，井下各施工地点的人员必须绝对服从指挥，在本工作面的跟班区长、班组长、安全员带领下沿以下避灾路线撤离：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（三）、地面仓库在接到灾情通报后，必须简化物料发放审批手续，专门供应救灾所用物资，停止发放与救灾无关的物资。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六、演练结束后的工作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1、严格按照《演练结束后恢复通风和生产的安全技术措施》对10101回风顺槽恢复通风和供电，直至正常后方可进行生产工作。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2、演练结束后，各有关人员必须立即把演习过程中的记录、数据、发现的问题汇总上报，由小组组长组织人员编写《2016年度水害事故现场应急演练总结报告》。对于演练过程中出现的问题进行分析总结，并限期整改。对违反规定的人员和单位进行考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七、演练收集的资料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1、救灾演练开始时间、结束时间；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2、模拟灾害事故发出信号的时间；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3、矿调度值班人员通知值班矿长的时间；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4、通知井下停产撤人的时间；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5、召集矿井救灾小组领导成员（具体到每个人）的时间；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6、矿井救灾小组领导成员（具体到每个人）到达矿调度会议室的时间；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7、上下井人员（包括姓名、单位、人数）的统计；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8、撤人过程中发现的问题。  </w:t>
      </w:r>
    </w:p>
    <w:p>
      <w:pPr>
        <w:numPr>
          <w:ilvl w:val="0"/>
          <w:numId w:val="0"/>
        </w:numPr>
        <w:jc w:val="left"/>
        <w:rPr>
          <w:rFonts w:hint="eastAsia" w:asciiTheme="minorEastAsia" w:hAnsiTheme="minorEastAsia" w:cstheme="minorEastAsia"/>
          <w:b w:val="0"/>
          <w:bCs w:val="0"/>
          <w:sz w:val="28"/>
          <w:szCs w:val="28"/>
          <w:lang w:val="en-US" w:eastAsia="zh-CN"/>
        </w:rPr>
      </w:pPr>
    </w:p>
    <w:p>
      <w:pPr>
        <w:numPr>
          <w:ilvl w:val="0"/>
          <w:numId w:val="0"/>
        </w:numPr>
        <w:jc w:val="left"/>
        <w:rPr>
          <w:rFonts w:hint="eastAsia" w:asciiTheme="minorEastAsia" w:hAnsiTheme="minorEastAsia" w:cstheme="minorEastAsia"/>
          <w:b w:val="0"/>
          <w:bCs w:val="0"/>
          <w:sz w:val="28"/>
          <w:szCs w:val="28"/>
          <w:lang w:val="en-US" w:eastAsia="zh-CN"/>
        </w:rPr>
      </w:pPr>
    </w:p>
    <w:p>
      <w:pPr>
        <w:numPr>
          <w:ilvl w:val="0"/>
          <w:numId w:val="0"/>
        </w:numPr>
        <w:jc w:val="left"/>
        <w:rPr>
          <w:rFonts w:hint="eastAsia" w:asciiTheme="minorEastAsia" w:hAnsiTheme="minorEastAsia" w:cstheme="minorEastAsia"/>
          <w:b w:val="0"/>
          <w:bCs w:val="0"/>
          <w:sz w:val="28"/>
          <w:szCs w:val="28"/>
          <w:lang w:val="en-US" w:eastAsia="zh-CN"/>
        </w:rPr>
      </w:pPr>
    </w:p>
    <w:p>
      <w:pPr>
        <w:numPr>
          <w:ilvl w:val="0"/>
          <w:numId w:val="0"/>
        </w:numPr>
        <w:jc w:val="left"/>
        <w:rPr>
          <w:rFonts w:hint="eastAsia" w:asciiTheme="minorEastAsia" w:hAnsiTheme="minorEastAsia" w:cstheme="minorEastAsia"/>
          <w:b w:val="0"/>
          <w:bCs w:val="0"/>
          <w:sz w:val="28"/>
          <w:szCs w:val="28"/>
          <w:lang w:val="en-US" w:eastAsia="zh-CN"/>
        </w:rPr>
      </w:pPr>
    </w:p>
    <w:p>
      <w:pPr>
        <w:numPr>
          <w:ilvl w:val="0"/>
          <w:numId w:val="0"/>
        </w:numPr>
        <w:jc w:val="left"/>
        <w:rPr>
          <w:rFonts w:hint="eastAsia" w:asciiTheme="minorEastAsia" w:hAnsiTheme="minorEastAsia" w:cstheme="minorEastAsia"/>
          <w:b w:val="0"/>
          <w:bCs w:val="0"/>
          <w:sz w:val="28"/>
          <w:szCs w:val="28"/>
          <w:lang w:val="en-US" w:eastAsia="zh-CN"/>
        </w:rPr>
      </w:pPr>
    </w:p>
    <w:p>
      <w:pPr>
        <w:numPr>
          <w:ilvl w:val="0"/>
          <w:numId w:val="0"/>
        </w:numPr>
        <w:jc w:val="left"/>
        <w:rPr>
          <w:rFonts w:hint="eastAsia" w:asciiTheme="minorEastAsia" w:hAnsiTheme="minorEastAsia" w:cstheme="minorEastAsia"/>
          <w:b w:val="0"/>
          <w:bCs w:val="0"/>
          <w:sz w:val="28"/>
          <w:szCs w:val="28"/>
          <w:lang w:val="en-US" w:eastAsia="zh-CN"/>
        </w:rPr>
      </w:pPr>
    </w:p>
    <w:p>
      <w:pPr>
        <w:numPr>
          <w:ilvl w:val="0"/>
          <w:numId w:val="0"/>
        </w:numPr>
        <w:jc w:val="left"/>
        <w:rPr>
          <w:rFonts w:hint="eastAsia" w:asciiTheme="minorEastAsia" w:hAnsiTheme="minorEastAsia" w:cstheme="minorEastAsia"/>
          <w:b w:val="0"/>
          <w:bCs w:val="0"/>
          <w:sz w:val="28"/>
          <w:szCs w:val="28"/>
          <w:lang w:val="en-US" w:eastAsia="zh-CN"/>
        </w:rPr>
      </w:pPr>
    </w:p>
    <w:p>
      <w:pPr>
        <w:numPr>
          <w:ilvl w:val="0"/>
          <w:numId w:val="0"/>
        </w:numPr>
        <w:jc w:val="center"/>
        <w:rPr>
          <w:rFonts w:hint="eastAsia" w:asciiTheme="minorEastAsia" w:hAnsiTheme="minorEastAsia" w:cstheme="minorEastAsia"/>
          <w:b/>
          <w:bCs/>
          <w:sz w:val="36"/>
          <w:szCs w:val="36"/>
          <w:lang w:val="en-US" w:eastAsia="zh-CN"/>
        </w:rPr>
      </w:pPr>
      <w:r>
        <w:rPr>
          <w:rFonts w:hint="eastAsia" w:asciiTheme="minorEastAsia" w:hAnsiTheme="minorEastAsia" w:cstheme="minorEastAsia"/>
          <w:b/>
          <w:bCs/>
          <w:sz w:val="36"/>
          <w:szCs w:val="36"/>
          <w:lang w:val="en-US" w:eastAsia="zh-CN"/>
        </w:rPr>
        <w:t>演练结束后恢复通风和生产的安全技术措施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1、恢复生产的顺序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（1）、恢复生产时生产办公室组织有关人员到调度会议室集合，由总工程师组织学习《恢复通风和生产的安全技术措施》后，下井进行检查，无安全隐患后，方可恢复生产。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2）、根据分工，首先检查各自所负责区域内的进、回风巷之间的联络巷风门，确保完好并正常关闭，且本区域风量满足要求;然后对所负责头、面依次进行恢复通风、送电、送水工作，并对复工前的工程质量及安全生产条件进行全面检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（3）、具备安全生产的条件后，方可开工，否则必须组织人员进行整改。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2、恢复通风、送电、送水时必须严格遵守下列规定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（1）、掘进巷道恢复通风时，必须配有两名以上的救护队员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（兼瓦检员）佩戴自救器，以便发现异常情况及时处理，恢复通风安全的技术措施如下：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①恢复正常通风时，必须由通防副总工程师在现场协助救护队完成恢复通风工作。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②首先有瓦检员检查局部通风机及其开关附近10米以内巷道风流中的瓦斯浓度不超过0.5%时，方准人工开动局部通风机，否则要通过调整其相关风路中的风量，增大局部通风机所处巷道的风量，使瓦斯浓度降到0.5%以下。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③由救护队员佩戴氧气呼吸器检测停风区内氧气和二氧化碳浓度，停风区内瓦斯浓度不超过1.0%或二氧化碳浓度不超过1.5%时，可人工直接恢复通风；当停风区内瓦斯浓度超过1.0%或二氧化碳浓度超过1.5%，且瓦斯浓度和二氧化碳浓度都不超过3.0%时，可在局部通风机第一节排风筒上套上绳索，人工开动局部通风机后，收紧或放松绳索以控制局部通风机向巷道内送入的风量，由瓦检员在回风流中，经常检查瓦斯浓度，始终使巷道中排出的风流与全风压风流混合处的瓦斯和二氧化碳浓度都不超过1%，每往前接一节风筒，全风压风流混合处的瓦斯和二氧化碳浓度均必须控制在以上浓度标准以下，且稳定3-5分钟后，方准再往前接一节风筒。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④在恢复掘进巷道通风时，要先检查自己携带的矿灯、自救器和甲烷检测仪，确认完好可靠，方可进入掘进巷道。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⑤检查掘进巷道入口处的瓦斯和二氧化碳浓度，其浓度均小于3%时，才能有外向里逐段检查。发现掘进巷道瓦斯或二氧化碳达到3%或3%以上时，必须停止检测，返回新鲜空气中。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⑥在检测瓦斯和二氧化碳浓度时，还应检测氧气和其他有毒有害气体浓度，以防止引起窒息或中毒事故。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⑦依上述方法逐节由外向里，恢复通风直至施工迎头，只有整个巷道内回风流中的瓦斯浓度低于1.0%、二氧化碳浓度低于1.5%、氧气浓度不低9 于20%，且稳定30分钟后，才确定整个巷道已恢复了正常通风。恢复通风时，风筒接头吊挂必须符合《煤矿安全规程》；当停风区中瓦斯或二氧化碳浓度超过3.0%时，必须制定排放瓦斯安全措施，报矿总工程师批准。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⑧进入掘进巷道还应注意顶板变化情况，如遇冒顶，必须停止前进。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⑨在恢复通风过程中，必须在所有可能进入待恢复通风巷道及其采区回风系统的通道中设专人站岗，直至恢复正常通风，然后由各组组长撤岗，进行其他工作。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⑩供水工作由管道工负责把各自沿途防尘系统管路阀门检查一遍，确保完好。当发现有断管漏水现象时，及时进行维修。井下全部恢复完通风、供水后，由总指挥下令把所有工作面的回风路线检查一遍，发现问题立即整改。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（2）、恢复送电的技术措施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①掘进工作面恢复正常通风后，进行送电工作之前，必须有专职电工对所有电气设备进行检查，证实各种保护措施齐全完好，方可人工恢复电气设备供电，并严格遵循由外向里由近及远的送电顺序。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②掘进工作面只有在各种安全设施、工程质量、通风等均正常后，方可向各设备送电，然后再向矿井总回风巷恢复供电。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③井下中央变电所的恢复供电工作由专职机电工具体负责，送电时必须接到生产调度室的电话后，方可进行。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3）、在掘进工作面风、水、电完全恢复正常后，并认真检查工程质量及安全设施情况，重点是顶板情况及其沿途提升运输设施，只有井下所有工作地点均具备安全生产的条件后，方可恢复生产，并把恢复情况通报矿调度室。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（4）、恢复生产时所有人员必须在新鲜风流中行走，由测风员检测矿井进、回风巷及井下各用风地点的风量，若与所要求的风量不符时，及时通报通防科，并组织有关人员查明原因，进行调整，直至满足要求。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（5）、根据井下恢复生产的实际情况，可随时修改和完善本措施内容。</w:t>
      </w:r>
    </w:p>
    <w:p>
      <w:pPr>
        <w:numPr>
          <w:ilvl w:val="0"/>
          <w:numId w:val="0"/>
        </w:numPr>
        <w:jc w:val="left"/>
        <w:rPr>
          <w:rFonts w:hint="eastAsia" w:asciiTheme="minorEastAsia" w:hAnsiTheme="minorEastAsia" w:cstheme="minorEastAsia"/>
          <w:b w:val="0"/>
          <w:bCs w:val="0"/>
          <w:sz w:val="28"/>
          <w:szCs w:val="28"/>
          <w:lang w:val="en-US" w:eastAsia="zh-CN"/>
        </w:rPr>
      </w:pPr>
    </w:p>
    <w:p>
      <w:pPr>
        <w:numPr>
          <w:ilvl w:val="0"/>
          <w:numId w:val="0"/>
        </w:numPr>
        <w:jc w:val="left"/>
        <w:rPr>
          <w:rFonts w:hint="eastAsia"/>
          <w:lang w:val="en-US" w:eastAsia="zh-CN"/>
        </w:rPr>
      </w:pPr>
    </w:p>
    <w:p>
      <w:pPr>
        <w:numPr>
          <w:ilvl w:val="0"/>
          <w:numId w:val="0"/>
        </w:numPr>
        <w:jc w:val="left"/>
        <w:rPr>
          <w:rFonts w:hint="eastAsia"/>
          <w:lang w:val="en-US" w:eastAsia="zh-CN"/>
        </w:rPr>
      </w:pPr>
    </w:p>
    <w:p>
      <w:pPr>
        <w:numPr>
          <w:ilvl w:val="0"/>
          <w:numId w:val="0"/>
        </w:numPr>
        <w:jc w:val="center"/>
        <w:rPr>
          <w:rFonts w:hint="eastAsia"/>
          <w:b/>
          <w:bCs/>
          <w:sz w:val="52"/>
          <w:szCs w:val="52"/>
          <w:lang w:val="en-US" w:eastAsia="zh-CN"/>
        </w:rPr>
      </w:pPr>
    </w:p>
    <w:p>
      <w:pPr>
        <w:numPr>
          <w:ilvl w:val="0"/>
          <w:numId w:val="0"/>
        </w:numPr>
        <w:jc w:val="center"/>
        <w:rPr>
          <w:rFonts w:hint="eastAsia"/>
          <w:b/>
          <w:bCs/>
          <w:sz w:val="52"/>
          <w:szCs w:val="52"/>
          <w:lang w:val="en-US" w:eastAsia="zh-CN"/>
        </w:rPr>
      </w:pPr>
      <w:bookmarkStart w:id="0" w:name="_GoBack"/>
      <w:bookmarkEnd w:id="0"/>
    </w:p>
    <w:sectPr>
      <w:pgSz w:w="11906" w:h="16838"/>
      <w:pgMar w:top="1157" w:right="1463" w:bottom="1157" w:left="146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E1246A"/>
    <w:rsid w:val="3BE43E4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jinyimeiye</dc:creator>
  <cp:lastModifiedBy>jinyimeiye</cp:lastModifiedBy>
  <dcterms:modified xsi:type="dcterms:W3CDTF">2016-10-26T06:17:03Z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