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ind w:firstLine="883" w:firstLineChars="200"/>
        <w:jc w:val="center"/>
        <w:outlineLvl w:val="0"/>
        <w:rPr>
          <w:rFonts w:hint="eastAsia" w:ascii="仿宋" w:hAnsi="仿宋" w:eastAsia="仿宋" w:cs="仿宋"/>
          <w:sz w:val="44"/>
          <w:szCs w:val="44"/>
          <w:lang w:eastAsia="zh-CN"/>
        </w:rPr>
      </w:pPr>
      <w:r>
        <w:rPr>
          <w:rFonts w:hint="eastAsia" w:ascii="仿宋" w:hAnsi="仿宋" w:eastAsia="仿宋" w:cs="仿宋"/>
          <w:b/>
          <w:sz w:val="44"/>
          <w:szCs w:val="44"/>
          <w:lang w:eastAsia="zh-CN"/>
        </w:rPr>
        <w:t>安全生产责任状</w:t>
      </w:r>
    </w:p>
    <w:p>
      <w:pPr>
        <w:pStyle w:val="3"/>
        <w:snapToGrid w:val="0"/>
        <w:spacing w:after="0" w:line="360" w:lineRule="auto"/>
        <w:ind w:left="0" w:leftChars="0" w:firstLine="0" w:firstLineChars="0"/>
        <w:rPr>
          <w:rFonts w:hint="eastAsia" w:ascii="仿宋" w:hAnsi="仿宋" w:eastAsia="仿宋" w:cs="仿宋"/>
          <w:b/>
          <w:bCs/>
          <w:sz w:val="24"/>
        </w:rPr>
      </w:pPr>
      <w:r>
        <w:rPr>
          <w:rFonts w:hint="eastAsia" w:ascii="仿宋" w:hAnsi="仿宋" w:eastAsia="仿宋" w:cs="仿宋"/>
          <w:b/>
          <w:bCs/>
          <w:sz w:val="24"/>
        </w:rPr>
        <w:t>甲方：</w:t>
      </w:r>
      <w:r>
        <w:rPr>
          <w:rFonts w:hint="eastAsia" w:ascii="仿宋" w:hAnsi="仿宋" w:eastAsia="仿宋" w:cs="仿宋"/>
          <w:b/>
          <w:bCs/>
          <w:sz w:val="24"/>
          <w:u w:val="single"/>
        </w:rPr>
        <w:t xml:space="preserve">              (作业队)    </w:t>
      </w:r>
      <w:r>
        <w:rPr>
          <w:rFonts w:hint="eastAsia" w:ascii="仿宋" w:hAnsi="仿宋" w:eastAsia="仿宋" w:cs="仿宋"/>
          <w:b/>
          <w:bCs/>
          <w:sz w:val="24"/>
        </w:rPr>
        <w:t>，以下简称甲方</w:t>
      </w:r>
    </w:p>
    <w:p>
      <w:pPr>
        <w:pStyle w:val="3"/>
        <w:snapToGrid w:val="0"/>
        <w:spacing w:after="0" w:line="360" w:lineRule="auto"/>
        <w:ind w:left="0" w:leftChars="0" w:firstLine="0" w:firstLineChars="0"/>
        <w:rPr>
          <w:rFonts w:hint="eastAsia" w:ascii="仿宋" w:hAnsi="仿宋" w:eastAsia="仿宋" w:cs="仿宋"/>
          <w:b/>
          <w:bCs/>
          <w:sz w:val="24"/>
        </w:rPr>
      </w:pPr>
      <w:r>
        <w:rPr>
          <w:rFonts w:hint="eastAsia" w:ascii="仿宋" w:hAnsi="仿宋" w:eastAsia="仿宋" w:cs="仿宋"/>
          <w:b/>
          <w:bCs/>
          <w:sz w:val="24"/>
        </w:rPr>
        <w:t>乙方：</w:t>
      </w:r>
      <w:r>
        <w:rPr>
          <w:rFonts w:hint="eastAsia" w:ascii="仿宋" w:hAnsi="仿宋" w:eastAsia="仿宋" w:cs="仿宋"/>
          <w:b/>
          <w:bCs/>
          <w:sz w:val="24"/>
          <w:u w:val="single"/>
        </w:rPr>
        <w:t xml:space="preserve">               (班组)      </w:t>
      </w:r>
      <w:r>
        <w:rPr>
          <w:rFonts w:hint="eastAsia" w:ascii="仿宋" w:hAnsi="仿宋" w:eastAsia="仿宋" w:cs="仿宋"/>
          <w:b/>
          <w:bCs/>
          <w:sz w:val="24"/>
        </w:rPr>
        <w:t>，以下简称乙方</w:t>
      </w:r>
    </w:p>
    <w:p>
      <w:pPr>
        <w:pStyle w:val="5"/>
        <w:snapToGrid w:val="0"/>
        <w:spacing w:line="360" w:lineRule="auto"/>
        <w:ind w:left="0" w:leftChars="0" w:firstLine="480" w:firstLineChars="200"/>
        <w:outlineLvl w:val="0"/>
        <w:rPr>
          <w:rFonts w:hint="eastAsia" w:ascii="仿宋" w:hAnsi="仿宋" w:eastAsia="仿宋" w:cs="仿宋"/>
          <w:b/>
          <w:sz w:val="24"/>
          <w:szCs w:val="24"/>
        </w:rPr>
      </w:pPr>
      <w:bookmarkStart w:id="0" w:name="_Toc149372157"/>
      <w:bookmarkStart w:id="1" w:name="_Toc149371686"/>
      <w:bookmarkStart w:id="2" w:name="_Toc149372411"/>
      <w:r>
        <w:rPr>
          <w:rFonts w:hint="eastAsia" w:ascii="仿宋" w:hAnsi="仿宋" w:eastAsia="仿宋" w:cs="仿宋"/>
          <w:sz w:val="24"/>
          <w:szCs w:val="24"/>
          <w:lang w:bidi="he-IL"/>
        </w:rPr>
        <w:t>为进一步贯彻“安全第一，预防为主，综合治理”的安全生产方针，牢牢坚守“发展决不能以牺牲人的生命为代价”红线，建立健全“党政同责、一岗双责、齐抓共管”的安全监管基本框架，有效遏制职业健康、安全环保、安全生产责任事故发生</w:t>
      </w:r>
      <w:r>
        <w:rPr>
          <w:rFonts w:hint="eastAsia" w:ascii="仿宋" w:hAnsi="仿宋" w:eastAsia="仿宋" w:cs="仿宋"/>
          <w:sz w:val="24"/>
          <w:szCs w:val="24"/>
        </w:rPr>
        <w:t>，结合本项目工程实际，特签订本责任书，以明确双方的责任和义务。</w:t>
      </w:r>
      <w:bookmarkEnd w:id="0"/>
      <w:bookmarkEnd w:id="1"/>
      <w:bookmarkEnd w:id="2"/>
    </w:p>
    <w:p>
      <w:pPr>
        <w:spacing w:line="360" w:lineRule="auto"/>
        <w:rPr>
          <w:rFonts w:hint="eastAsia" w:ascii="仿宋" w:hAnsi="仿宋" w:eastAsia="仿宋" w:cs="仿宋"/>
          <w:b/>
          <w:bCs/>
          <w:sz w:val="24"/>
          <w:szCs w:val="24"/>
        </w:rPr>
      </w:pPr>
      <w:r>
        <w:rPr>
          <w:rFonts w:hint="eastAsia" w:ascii="仿宋" w:hAnsi="仿宋" w:eastAsia="仿宋" w:cs="仿宋"/>
          <w:b/>
          <w:bCs/>
          <w:sz w:val="24"/>
          <w:szCs w:val="24"/>
          <w:lang w:eastAsia="zh-CN"/>
        </w:rPr>
        <w:t>一、</w:t>
      </w:r>
      <w:r>
        <w:rPr>
          <w:rFonts w:hint="eastAsia" w:ascii="仿宋" w:hAnsi="仿宋" w:eastAsia="仿宋" w:cs="仿宋"/>
          <w:b/>
          <w:bCs/>
          <w:sz w:val="24"/>
          <w:szCs w:val="24"/>
        </w:rPr>
        <w:t>甲方职责</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1、认真学习并贯彻执行项目有关安全生产的规章制度，带头严格遵守各项安全操作规程，执行经理部的指示、决定，对本作业队负责承担施工的作业项目的安全生产负直接责任。</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2、认真开展切实可行的安全教育，尤其是对新工、青工、特种工及危险、复杂、邻边、交叉施工地段施工的人员，提高其安全生产意识。</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严格按照实施性施工组织设计中安全技术措施要求，设置所有安全防护设施并组织围护，对所管辖施工现场中所设置安全防护设施的完整、齐全、有效性负直接责任；保证本作业队工作区域内的安全设施和个人劳动防护用品的可靠有效、正确正当使用。</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每周组织一次安全生产检查，经常检查所管辖各工班组的作业环境、设备和安全防护设施的安全状况，发现问题及时主动纠正解决；对重点特殊部位、首件工程施工，必须检查作业人员及各种设备安全防护设施技术状况是否符合安全标准要求，落实安全技术措施并监督执行。</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5、具体组织实施、落实由各主管工程技术人员对各专项作业班组长、兼职安全员的书面次级安全技术交底，带头杜绝违章指挥、违章作业、违犯劳动纪律“三违”现象的出现。</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6、接受安全管理机构和人员、上级和有关方面人员、工程技术人员的安全指导或监督检查，及时解决其指出的不安全问题，认真组织整改各种事故隐患。</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7、根据其安全意识、施工经验、反应速度、能力水平等负责给各工班（组）配备至少1名兼职安全员，支持他们正当工作、充分发挥其作用。</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8、有权拒绝上级的违章指挥。遇有紧急险情，有权立即停止或暂缓施工，将人员、设备撤离危险区域并及时向上级报告。</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9、发生伤亡事故和重大未遂事故时必须停止施工，采取应急措施，积极抢救伤员、保护现场、防止事态扩大，并立即如实上报，参与事故调查和分析工作；发生其他安全事故时要视具体情况立即组织抢险或组织员工撤离现场、报告项目专职安全生产监督管理人员。对较大伤亡和重大未遂事故必须查明事故原因，落实整改措施，经上级有关部门验收合格后方可恢复施工，不得擅自撤离现场保护设施、强行复工。</w:t>
      </w:r>
    </w:p>
    <w:p>
      <w:pPr>
        <w:spacing w:line="360" w:lineRule="auto"/>
        <w:rPr>
          <w:rFonts w:hint="eastAsia" w:ascii="仿宋" w:hAnsi="仿宋" w:eastAsia="仿宋" w:cs="仿宋"/>
          <w:b/>
          <w:bCs/>
          <w:sz w:val="24"/>
          <w:szCs w:val="24"/>
        </w:rPr>
      </w:pPr>
      <w:r>
        <w:rPr>
          <w:rFonts w:hint="eastAsia" w:ascii="仿宋" w:hAnsi="仿宋" w:eastAsia="仿宋" w:cs="仿宋"/>
          <w:b/>
          <w:bCs/>
          <w:sz w:val="24"/>
          <w:szCs w:val="24"/>
          <w:lang w:eastAsia="zh-CN"/>
        </w:rPr>
        <w:t>二、</w:t>
      </w:r>
      <w:r>
        <w:rPr>
          <w:rFonts w:hint="eastAsia" w:ascii="仿宋" w:hAnsi="仿宋" w:eastAsia="仿宋" w:cs="仿宋"/>
          <w:b/>
          <w:bCs/>
          <w:sz w:val="24"/>
          <w:szCs w:val="24"/>
        </w:rPr>
        <w:t>乙方职责</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1、认真学习并贯彻执行项目有关安全生产的规章制度，以身作则，带头遵守各项安全操作规程，及时纠正违章作业，对本工班（组）作业人员的生产安全与健康负直接管理责任。</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2、带领本工班（组）工</w:t>
      </w:r>
      <w:bookmarkStart w:id="3" w:name="_GoBack"/>
      <w:bookmarkEnd w:id="3"/>
      <w:r>
        <w:rPr>
          <w:rFonts w:hint="eastAsia" w:ascii="仿宋" w:hAnsi="仿宋" w:eastAsia="仿宋" w:cs="仿宋"/>
          <w:sz w:val="24"/>
          <w:szCs w:val="24"/>
        </w:rPr>
        <w:t xml:space="preserve">人严格执行安全技术操作规程，遵守劳动纪律，听从管理人员安全生产指导，制止“三违行为”，保证按正确方法施工；尤其对新工、青工，更要加强安全教育和实际指导，必要时亲自示范。 </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3、认真执行安全技术交底制度，对不具备安全生产条件、人身安全得不到保障的工程任务，有权拒绝施工，必要时可越级向上级领导或安监部门反映。</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4、积极开展班组安全生产活动，组织开好每天的班前班后会，具体布置安全生产，进行安全训诫和必要的岗前安全检查，严格执行自检、互检、交接检及交接班制度，做好交接班记录。</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5、合理安排劳动力，严格控制加班、加点；根据当天的生产任务和每个工人的思想动态、身体状况，具体布置其生产岗位，对不按时作息的人员要进行教育，以保证其休息，避免事故发生．确保安全生产。 </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6、工作前必须先进入工地，对工地、工具、机电设备的安全情况进行检查，坚持交接班制，发现问题及时解决，并将注意事项向本班组作业人员交待清楚；保证本工班（组）的安全防护设施和个人劳动防护用品的正确使用。对不能解决的问题，立即报告上级处理。</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7、负责支持配备到工班（组）的兼职安全员工作，并发挥他们的作用。</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8、自觉接受上级领导、有关方面和安监人员的安全监督检查，对检查中提出的问题及时认真进行整改，不留隐患。</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9、有权拒绝上级的违章指挥。遇有紧急险情，有权立即带领工人撤离现场，并立即报告工地负责人及时组织排除险情。</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10、对发现违章指挥、违章作业、违犯劳动纪律的“三违”行为不予制止及发现事故隐患不予及时消除而导致的人身伤亡事故，承担直接领导责任。</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11、积极参加抢险救灾活动。发生伤亡事故时要积极抢救伤员，保护现场，并立即如实上报，组织本班组作业人员协助事故调查和分析工作。协助专职安全生产监督管理员负责对未遂事故的分析、追查、处理。</w:t>
      </w:r>
    </w:p>
    <w:p>
      <w:pPr>
        <w:pStyle w:val="3"/>
        <w:spacing w:line="360" w:lineRule="auto"/>
        <w:ind w:left="0" w:leftChars="0"/>
        <w:rPr>
          <w:rFonts w:ascii="仿宋" w:hAnsi="仿宋" w:eastAsia="仿宋" w:cs="仿宋"/>
          <w:b/>
          <w:bCs/>
          <w:sz w:val="24"/>
        </w:rPr>
      </w:pPr>
      <w:r>
        <w:rPr>
          <w:rFonts w:hint="eastAsia" w:ascii="仿宋" w:hAnsi="仿宋" w:eastAsia="仿宋" w:cs="仿宋"/>
          <w:b/>
          <w:bCs/>
          <w:sz w:val="24"/>
        </w:rPr>
        <w:t>三、安全生产管理目标</w:t>
      </w:r>
    </w:p>
    <w:p>
      <w:pPr>
        <w:spacing w:line="360" w:lineRule="auto"/>
        <w:ind w:firstLine="480" w:firstLineChars="200"/>
        <w:rPr>
          <w:rFonts w:ascii="仿宋" w:hAnsi="仿宋" w:eastAsia="仿宋" w:cs="仿宋"/>
          <w:sz w:val="24"/>
        </w:rPr>
      </w:pPr>
      <w:r>
        <w:rPr>
          <w:rFonts w:hint="eastAsia" w:ascii="仿宋" w:hAnsi="仿宋" w:eastAsia="仿宋" w:cs="仿宋"/>
          <w:sz w:val="24"/>
        </w:rPr>
        <w:t>本项目职业健康、安全环保、安全生产管理目标为：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一</w:t>
      </w:r>
      <w:r>
        <w:rPr>
          <w:rFonts w:hint="eastAsia" w:ascii="仿宋" w:hAnsi="仿宋" w:eastAsia="仿宋" w:cs="仿宋"/>
          <w:sz w:val="24"/>
          <w:szCs w:val="24"/>
        </w:rPr>
        <w:t>)杜绝发生有人员死亡的一般以上生产安全责任事故；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二</w:t>
      </w:r>
      <w:r>
        <w:rPr>
          <w:rFonts w:hint="eastAsia" w:ascii="仿宋" w:hAnsi="仿宋" w:eastAsia="仿宋" w:cs="仿宋"/>
          <w:sz w:val="24"/>
          <w:szCs w:val="24"/>
        </w:rPr>
        <w:t>)杜绝发生有人员死亡的一般以上水上交通责任事故；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三</w:t>
      </w:r>
      <w:r>
        <w:rPr>
          <w:rFonts w:hint="eastAsia" w:ascii="仿宋" w:hAnsi="仿宋" w:eastAsia="仿宋" w:cs="仿宋"/>
          <w:sz w:val="24"/>
          <w:szCs w:val="24"/>
        </w:rPr>
        <w:t>)杜绝</w:t>
      </w:r>
      <w:r>
        <w:rPr>
          <w:rFonts w:hint="eastAsia" w:ascii="仿宋" w:hAnsi="仿宋" w:eastAsia="仿宋" w:cs="仿宋"/>
          <w:sz w:val="24"/>
          <w:szCs w:val="24"/>
          <w:lang w:eastAsia="zh-CN"/>
        </w:rPr>
        <w:t>发生负有建设管理责任的</w:t>
      </w:r>
      <w:r>
        <w:rPr>
          <w:rFonts w:hint="eastAsia" w:ascii="仿宋" w:hAnsi="仿宋" w:eastAsia="仿宋" w:cs="仿宋"/>
          <w:sz w:val="24"/>
          <w:szCs w:val="24"/>
        </w:rPr>
        <w:t>有人员死亡的一般</w:t>
      </w:r>
      <w:r>
        <w:rPr>
          <w:rFonts w:hint="eastAsia" w:ascii="仿宋" w:hAnsi="仿宋" w:eastAsia="仿宋" w:cs="仿宋"/>
          <w:sz w:val="24"/>
          <w:szCs w:val="24"/>
          <w:lang w:eastAsia="zh-CN"/>
        </w:rPr>
        <w:t>及</w:t>
      </w:r>
      <w:r>
        <w:rPr>
          <w:rFonts w:hint="eastAsia" w:ascii="仿宋" w:hAnsi="仿宋" w:eastAsia="仿宋" w:cs="仿宋"/>
          <w:sz w:val="24"/>
          <w:szCs w:val="24"/>
        </w:rPr>
        <w:t>以上生产安全责任事故；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四</w:t>
      </w:r>
      <w:r>
        <w:rPr>
          <w:rFonts w:hint="eastAsia" w:ascii="仿宋" w:hAnsi="仿宋" w:eastAsia="仿宋" w:cs="仿宋"/>
          <w:sz w:val="24"/>
          <w:szCs w:val="24"/>
        </w:rPr>
        <w:t>)杜绝</w:t>
      </w:r>
      <w:r>
        <w:rPr>
          <w:rFonts w:hint="eastAsia" w:ascii="仿宋" w:hAnsi="仿宋" w:eastAsia="仿宋" w:cs="仿宋"/>
          <w:sz w:val="24"/>
          <w:szCs w:val="24"/>
          <w:lang w:eastAsia="zh-CN"/>
        </w:rPr>
        <w:t>发生一般及</w:t>
      </w:r>
      <w:r>
        <w:rPr>
          <w:rFonts w:hint="eastAsia" w:ascii="仿宋" w:hAnsi="仿宋" w:eastAsia="仿宋" w:cs="仿宋"/>
          <w:sz w:val="24"/>
          <w:szCs w:val="24"/>
        </w:rPr>
        <w:t>以上突发环境责任事件；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五</w:t>
      </w:r>
      <w:r>
        <w:rPr>
          <w:rFonts w:hint="eastAsia" w:ascii="仿宋" w:hAnsi="仿宋" w:eastAsia="仿宋" w:cs="仿宋"/>
          <w:sz w:val="24"/>
          <w:szCs w:val="24"/>
        </w:rPr>
        <w:t>)杜绝</w:t>
      </w:r>
      <w:r>
        <w:rPr>
          <w:rFonts w:hint="eastAsia" w:ascii="仿宋" w:hAnsi="仿宋" w:eastAsia="仿宋" w:cs="仿宋"/>
          <w:sz w:val="24"/>
          <w:szCs w:val="24"/>
          <w:lang w:eastAsia="zh-CN"/>
        </w:rPr>
        <w:t>发生一般及</w:t>
      </w:r>
      <w:r>
        <w:rPr>
          <w:rFonts w:hint="eastAsia" w:ascii="仿宋" w:hAnsi="仿宋" w:eastAsia="仿宋" w:cs="仿宋"/>
          <w:sz w:val="24"/>
          <w:szCs w:val="24"/>
        </w:rPr>
        <w:t>以上职业病危害责任事故；</w:t>
      </w:r>
    </w:p>
    <w:p>
      <w:pPr>
        <w:spacing w:line="360" w:lineRule="auto"/>
        <w:rPr>
          <w:rFonts w:hint="eastAsia" w:ascii="仿宋" w:hAnsi="仿宋" w:eastAsia="仿宋" w:cs="仿宋"/>
          <w:b/>
          <w:sz w:val="24"/>
          <w:lang w:eastAsia="zh-CN"/>
        </w:rPr>
      </w:pPr>
      <w:r>
        <w:rPr>
          <w:rFonts w:hint="eastAsia" w:ascii="仿宋" w:hAnsi="仿宋" w:eastAsia="仿宋" w:cs="仿宋"/>
          <w:b/>
          <w:sz w:val="24"/>
          <w:lang w:eastAsia="zh-CN"/>
        </w:rPr>
        <w:t>四、奖惩措施及考核</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如果各方没有对其负责的上述事项采取必要的措施而导致项目范围内发生事故且被认定为生产安全责任事故的其应根据安监部门出具的事故调查报告或者有关的法律法规承担相应的责任。</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安全生产责任日常考核按照《贵黄7标安全管理制度汇编》有关章节落实考核，特殊情况下经项目安全生产领导小组表决通过的，项目安全生产领导小组有权对相关负责人作出额外处罚和奖励。</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p>
    <w:p>
      <w:pPr>
        <w:spacing w:line="360" w:lineRule="auto"/>
        <w:rPr>
          <w:rFonts w:ascii="仿宋" w:hAnsi="仿宋" w:eastAsia="仿宋" w:cs="仿宋"/>
          <w:b/>
          <w:sz w:val="24"/>
        </w:rPr>
      </w:pPr>
      <w:r>
        <w:rPr>
          <w:rFonts w:hint="eastAsia" w:ascii="仿宋" w:hAnsi="仿宋" w:eastAsia="仿宋" w:cs="仿宋"/>
          <w:b/>
          <w:sz w:val="24"/>
          <w:lang w:eastAsia="zh-CN"/>
        </w:rPr>
        <w:t>附：</w:t>
      </w:r>
      <w:r>
        <w:rPr>
          <w:rFonts w:hint="eastAsia" w:ascii="仿宋" w:hAnsi="仿宋" w:eastAsia="仿宋" w:cs="仿宋"/>
          <w:b/>
          <w:sz w:val="24"/>
        </w:rPr>
        <w:t>1、本责任书一式叁份，甲乙双方及安全环保部各执一份。</w:t>
      </w:r>
    </w:p>
    <w:p>
      <w:pPr>
        <w:pStyle w:val="3"/>
        <w:spacing w:line="360" w:lineRule="auto"/>
        <w:ind w:left="0" w:leftChars="0" w:firstLine="482" w:firstLineChars="200"/>
        <w:rPr>
          <w:rFonts w:ascii="仿宋" w:hAnsi="仿宋" w:eastAsia="仿宋" w:cs="仿宋"/>
          <w:sz w:val="24"/>
        </w:rPr>
      </w:pPr>
      <w:r>
        <w:rPr>
          <w:rFonts w:hint="eastAsia" w:ascii="仿宋" w:hAnsi="仿宋" w:eastAsia="仿宋" w:cs="仿宋"/>
          <w:b/>
          <w:kern w:val="0"/>
          <w:sz w:val="24"/>
        </w:rPr>
        <w:t>2、本责任状自签订之日起生效至201</w:t>
      </w:r>
      <w:r>
        <w:rPr>
          <w:rFonts w:hint="eastAsia" w:ascii="仿宋" w:hAnsi="仿宋" w:eastAsia="仿宋" w:cs="仿宋"/>
          <w:b/>
          <w:kern w:val="0"/>
          <w:sz w:val="24"/>
          <w:lang w:val="en-US" w:eastAsia="zh-CN"/>
        </w:rPr>
        <w:t>9</w:t>
      </w:r>
      <w:r>
        <w:rPr>
          <w:rFonts w:hint="eastAsia" w:ascii="仿宋" w:hAnsi="仿宋" w:eastAsia="仿宋" w:cs="仿宋"/>
          <w:b/>
          <w:kern w:val="0"/>
          <w:sz w:val="24"/>
        </w:rPr>
        <w:t>年2月</w:t>
      </w:r>
      <w:r>
        <w:rPr>
          <w:rFonts w:hint="eastAsia" w:ascii="仿宋" w:hAnsi="仿宋" w:eastAsia="仿宋" w:cs="仿宋"/>
          <w:b/>
          <w:kern w:val="0"/>
          <w:sz w:val="24"/>
          <w:lang w:val="en-US" w:eastAsia="zh-CN"/>
        </w:rPr>
        <w:t>4</w:t>
      </w:r>
      <w:r>
        <w:rPr>
          <w:rFonts w:hint="eastAsia" w:ascii="仿宋" w:hAnsi="仿宋" w:eastAsia="仿宋" w:cs="仿宋"/>
          <w:b/>
          <w:kern w:val="0"/>
          <w:sz w:val="24"/>
        </w:rPr>
        <w:t>日。</w:t>
      </w:r>
    </w:p>
    <w:p>
      <w:pPr>
        <w:spacing w:line="360" w:lineRule="auto"/>
        <w:ind w:firstLine="480" w:firstLineChars="200"/>
        <w:jc w:val="left"/>
        <w:rPr>
          <w:rFonts w:ascii="仿宋" w:hAnsi="仿宋" w:eastAsia="仿宋" w:cs="仿宋"/>
          <w:sz w:val="24"/>
        </w:rPr>
      </w:pP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甲方：（签字）                    乙方：（签字）</w:t>
      </w: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 xml:space="preserve">     （印章）                         （印章）</w:t>
      </w:r>
    </w:p>
    <w:p>
      <w:pPr>
        <w:spacing w:line="360" w:lineRule="auto"/>
        <w:ind w:firstLine="480" w:firstLineChars="200"/>
        <w:jc w:val="left"/>
        <w:rPr>
          <w:rFonts w:ascii="仿宋" w:hAnsi="仿宋" w:eastAsia="仿宋" w:cs="仿宋"/>
          <w:sz w:val="24"/>
        </w:rPr>
      </w:pP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 xml:space="preserve">日期：    年   月   日      </w:t>
      </w:r>
      <w:r>
        <w:rPr>
          <w:rFonts w:hint="eastAsia" w:ascii="仿宋" w:hAnsi="仿宋" w:eastAsia="仿宋" w:cs="仿宋"/>
          <w:sz w:val="24"/>
          <w:lang w:val="en-US" w:eastAsia="zh-CN"/>
        </w:rPr>
        <w:t xml:space="preserve">    </w:t>
      </w:r>
      <w:r>
        <w:rPr>
          <w:rFonts w:hint="eastAsia" w:ascii="仿宋" w:hAnsi="仿宋" w:eastAsia="仿宋" w:cs="仿宋"/>
          <w:sz w:val="24"/>
        </w:rPr>
        <w:t xml:space="preserve"> 日期：    年   月   日</w:t>
      </w:r>
    </w:p>
    <w:p>
      <w:pPr>
        <w:snapToGrid w:val="0"/>
        <w:spacing w:line="360" w:lineRule="auto"/>
        <w:rPr>
          <w:rFonts w:hint="eastAsia" w:ascii="仿宋" w:hAnsi="仿宋" w:eastAsia="仿宋" w:cs="仿宋"/>
          <w:kern w:val="0"/>
          <w:sz w:val="24"/>
          <w:szCs w:val="24"/>
        </w:rPr>
      </w:pPr>
    </w:p>
    <w:sectPr>
      <w:headerReference r:id="rId3" w:type="default"/>
      <w:pgSz w:w="11906" w:h="16838"/>
      <w:pgMar w:top="1276" w:right="1800" w:bottom="1134"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none" w:color="auto" w:sz="0" w:space="0"/>
        <w:left w:val="none" w:color="auto" w:sz="0" w:space="0"/>
        <w:bottom w:val="none" w:color="auto" w:sz="0" w:space="1"/>
        <w:right w:val="none" w:color="auto" w:sz="0" w:space="0"/>
        <w:between w:val="none" w:color="auto" w:sz="0" w:space="0"/>
      </w:pBdr>
      <w:jc w:val="right"/>
    </w:pPr>
    <w:r>
      <w:rPr>
        <w:rFonts w:hint="eastAsia"/>
        <w:u w:val="single"/>
      </w:rPr>
      <w:t>安责201</w:t>
    </w:r>
    <w:r>
      <w:rPr>
        <w:rFonts w:hint="eastAsia"/>
        <w:u w:val="single"/>
        <w:lang w:val="en-US" w:eastAsia="zh-CN"/>
      </w:rPr>
      <w:t>8</w:t>
    </w:r>
    <w:r>
      <w:rPr>
        <w:rFonts w:hint="eastAsia"/>
        <w:u w:val="single"/>
      </w:rPr>
      <w:t>（二公隧</w:t>
    </w:r>
    <w:r>
      <w:rPr>
        <w:rFonts w:hint="eastAsia"/>
        <w:u w:val="single"/>
        <w:lang w:eastAsia="zh-CN"/>
      </w:rPr>
      <w:t>贵黄</w:t>
    </w:r>
    <w:r>
      <w:rPr>
        <w:rFonts w:hint="eastAsia"/>
        <w:u w:val="single"/>
        <w:lang w:val="en-US" w:eastAsia="zh-CN"/>
      </w:rPr>
      <w:t>7</w:t>
    </w:r>
    <w:r>
      <w:rPr>
        <w:rFonts w:hint="eastAsia"/>
        <w:u w:val="single"/>
      </w:rPr>
      <w:t>标）</w:t>
    </w:r>
    <w:r>
      <w:rPr>
        <w:rFonts w:hint="eastAsia"/>
        <w:u w:val="single"/>
        <w:lang w:val="en-US" w:eastAsia="zh-CN"/>
      </w:rPr>
      <w:t>0301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8126B"/>
    <w:rsid w:val="00005895"/>
    <w:rsid w:val="001703D1"/>
    <w:rsid w:val="00200331"/>
    <w:rsid w:val="0028126B"/>
    <w:rsid w:val="002923C7"/>
    <w:rsid w:val="002A1DFB"/>
    <w:rsid w:val="002C339C"/>
    <w:rsid w:val="00365B76"/>
    <w:rsid w:val="003D30D4"/>
    <w:rsid w:val="003D3278"/>
    <w:rsid w:val="003E3C26"/>
    <w:rsid w:val="003F503C"/>
    <w:rsid w:val="00400516"/>
    <w:rsid w:val="00430594"/>
    <w:rsid w:val="004363B8"/>
    <w:rsid w:val="004676AD"/>
    <w:rsid w:val="004C3BA3"/>
    <w:rsid w:val="004E6C86"/>
    <w:rsid w:val="0051240E"/>
    <w:rsid w:val="00561F51"/>
    <w:rsid w:val="005D6C29"/>
    <w:rsid w:val="0060429A"/>
    <w:rsid w:val="0075176C"/>
    <w:rsid w:val="007B0C97"/>
    <w:rsid w:val="008525E8"/>
    <w:rsid w:val="008A38FC"/>
    <w:rsid w:val="008C2D49"/>
    <w:rsid w:val="00B52A95"/>
    <w:rsid w:val="00C10604"/>
    <w:rsid w:val="00C207A7"/>
    <w:rsid w:val="00C94345"/>
    <w:rsid w:val="00D0322C"/>
    <w:rsid w:val="00D85A37"/>
    <w:rsid w:val="00E4132E"/>
    <w:rsid w:val="00E9340F"/>
    <w:rsid w:val="00F4265B"/>
    <w:rsid w:val="00F5029C"/>
    <w:rsid w:val="00F63818"/>
    <w:rsid w:val="00FB256C"/>
    <w:rsid w:val="00FC72A6"/>
    <w:rsid w:val="16997EAA"/>
    <w:rsid w:val="1CED3D0A"/>
    <w:rsid w:val="21A65991"/>
    <w:rsid w:val="5F214A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unhideWhenUsed/>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Body Text 2"/>
    <w:basedOn w:val="1"/>
    <w:semiHidden/>
    <w:unhideWhenUsed/>
    <w:uiPriority w:val="99"/>
    <w:pPr>
      <w:spacing w:after="120" w:line="480" w:lineRule="auto"/>
      <w:ind w:firstLine="200" w:firstLineChars="200"/>
    </w:pPr>
    <w:rPr>
      <w:szCs w:val="20"/>
    </w:rPr>
  </w:style>
  <w:style w:type="paragraph" w:styleId="3">
    <w:name w:val="Body Text Indent"/>
    <w:basedOn w:val="1"/>
    <w:link w:val="18"/>
    <w:qFormat/>
    <w:uiPriority w:val="0"/>
    <w:pPr>
      <w:spacing w:after="120"/>
      <w:ind w:left="420" w:leftChars="200"/>
    </w:pPr>
    <w:rPr>
      <w:rFonts w:ascii="Times New Roman" w:hAnsi="Times New Roman" w:eastAsiaTheme="minorEastAsia" w:cstheme="minorBidi"/>
      <w:szCs w:val="24"/>
    </w:rPr>
  </w:style>
  <w:style w:type="paragraph" w:styleId="4">
    <w:name w:val="Plain Text"/>
    <w:basedOn w:val="1"/>
    <w:link w:val="17"/>
    <w:qFormat/>
    <w:uiPriority w:val="0"/>
    <w:rPr>
      <w:rFonts w:ascii="宋体" w:hAnsi="Courier New" w:eastAsia="仿宋_GB2312" w:cs="Courier New"/>
      <w:sz w:val="32"/>
      <w:szCs w:val="21"/>
    </w:rPr>
  </w:style>
  <w:style w:type="paragraph" w:styleId="5">
    <w:name w:val="Date"/>
    <w:basedOn w:val="1"/>
    <w:next w:val="1"/>
    <w:link w:val="16"/>
    <w:qFormat/>
    <w:uiPriority w:val="0"/>
    <w:pPr>
      <w:ind w:left="100" w:leftChars="2500"/>
    </w:pPr>
    <w:rPr>
      <w:rFonts w:ascii="Times New Roman" w:hAnsi="Times New Roman" w:eastAsiaTheme="minorEastAsia" w:cstheme="minorBidi"/>
      <w:sz w:val="28"/>
      <w:szCs w:val="28"/>
    </w:rPr>
  </w:style>
  <w:style w:type="paragraph" w:styleId="6">
    <w:name w:val="footer"/>
    <w:basedOn w:val="1"/>
    <w:link w:val="12"/>
    <w:unhideWhenUsed/>
    <w:qFormat/>
    <w:uiPriority w:val="99"/>
    <w:pPr>
      <w:tabs>
        <w:tab w:val="center" w:pos="4153"/>
        <w:tab w:val="right" w:pos="8306"/>
      </w:tabs>
      <w:snapToGrid w:val="0"/>
      <w:jc w:val="left"/>
    </w:pPr>
    <w:rPr>
      <w:sz w:val="18"/>
      <w:szCs w:val="18"/>
    </w:rPr>
  </w:style>
  <w:style w:type="paragraph" w:styleId="7">
    <w:name w:val="header"/>
    <w:basedOn w:val="1"/>
    <w:link w:val="11"/>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1">
    <w:name w:val="页眉 Char"/>
    <w:basedOn w:val="9"/>
    <w:link w:val="7"/>
    <w:qFormat/>
    <w:uiPriority w:val="0"/>
    <w:rPr>
      <w:sz w:val="18"/>
      <w:szCs w:val="18"/>
    </w:rPr>
  </w:style>
  <w:style w:type="character" w:customStyle="1" w:styleId="12">
    <w:name w:val="页脚 Char"/>
    <w:basedOn w:val="9"/>
    <w:link w:val="6"/>
    <w:semiHidden/>
    <w:uiPriority w:val="99"/>
    <w:rPr>
      <w:sz w:val="18"/>
      <w:szCs w:val="18"/>
    </w:rPr>
  </w:style>
  <w:style w:type="character" w:customStyle="1" w:styleId="13">
    <w:name w:val="日期 Char"/>
    <w:link w:val="5"/>
    <w:uiPriority w:val="0"/>
    <w:rPr>
      <w:rFonts w:ascii="Times New Roman" w:hAnsi="Times New Roman"/>
      <w:sz w:val="28"/>
      <w:szCs w:val="28"/>
    </w:rPr>
  </w:style>
  <w:style w:type="character" w:customStyle="1" w:styleId="14">
    <w:name w:val="纯文本 Char"/>
    <w:link w:val="4"/>
    <w:uiPriority w:val="0"/>
    <w:rPr>
      <w:rFonts w:ascii="宋体" w:hAnsi="Courier New" w:eastAsia="仿宋_GB2312" w:cs="Courier New"/>
      <w:sz w:val="32"/>
      <w:szCs w:val="21"/>
    </w:rPr>
  </w:style>
  <w:style w:type="character" w:customStyle="1" w:styleId="15">
    <w:name w:val="正文文本缩进 Char"/>
    <w:link w:val="3"/>
    <w:qFormat/>
    <w:uiPriority w:val="0"/>
    <w:rPr>
      <w:rFonts w:ascii="Times New Roman" w:hAnsi="Times New Roman"/>
      <w:szCs w:val="24"/>
    </w:rPr>
  </w:style>
  <w:style w:type="character" w:customStyle="1" w:styleId="16">
    <w:name w:val="日期 Char1"/>
    <w:basedOn w:val="9"/>
    <w:link w:val="5"/>
    <w:semiHidden/>
    <w:qFormat/>
    <w:uiPriority w:val="99"/>
    <w:rPr>
      <w:rFonts w:ascii="Calibri" w:hAnsi="Calibri" w:eastAsia="宋体" w:cs="Times New Roman"/>
    </w:rPr>
  </w:style>
  <w:style w:type="character" w:customStyle="1" w:styleId="17">
    <w:name w:val="纯文本 Char1"/>
    <w:basedOn w:val="9"/>
    <w:link w:val="4"/>
    <w:semiHidden/>
    <w:qFormat/>
    <w:uiPriority w:val="99"/>
    <w:rPr>
      <w:rFonts w:ascii="宋体" w:hAnsi="Courier New" w:eastAsia="宋体" w:cs="Courier New"/>
      <w:szCs w:val="21"/>
    </w:rPr>
  </w:style>
  <w:style w:type="character" w:customStyle="1" w:styleId="18">
    <w:name w:val="正文文本缩进 Char1"/>
    <w:basedOn w:val="9"/>
    <w:link w:val="3"/>
    <w:semiHidden/>
    <w:uiPriority w:val="99"/>
    <w:rPr>
      <w:rFonts w:ascii="Calibri" w:hAnsi="Calibri" w:eastAsia="宋体"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307</Words>
  <Characters>1751</Characters>
  <Lines>14</Lines>
  <Paragraphs>4</Paragraphs>
  <ScaleCrop>false</ScaleCrop>
  <LinksUpToDate>false</LinksUpToDate>
  <CharactersWithSpaces>2054</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ABC安全</dc:creator>
  <dcterms:created xsi:type="dcterms:W3CDTF">2014-04-09T15:05:00Z</dcterms:created>
  <dcterms:modified xsi:type="dcterms:W3CDTF">2018-03-05T01:17:04Z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