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52"/>
          <w:szCs w:val="52"/>
        </w:rPr>
      </w:pPr>
      <w:r>
        <w:rPr>
          <w:rFonts w:hint="eastAsia"/>
          <w:sz w:val="52"/>
          <w:szCs w:val="52"/>
        </w:rPr>
        <w:t xml:space="preserve">                      </w:t>
      </w:r>
    </w:p>
    <w:p>
      <w:pPr>
        <w:rPr>
          <w:sz w:val="52"/>
          <w:szCs w:val="52"/>
        </w:rPr>
      </w:pPr>
      <w:r>
        <w:rPr>
          <w:rFonts w:hint="eastAsia"/>
          <w:sz w:val="52"/>
          <w:szCs w:val="52"/>
        </w:rPr>
        <w:t xml:space="preserve">                       </w:t>
      </w:r>
    </w:p>
    <w:p>
      <w:pPr>
        <w:spacing w:line="960" w:lineRule="exact"/>
        <w:rPr>
          <w:rFonts w:ascii="黑体" w:hAnsi="黑体" w:eastAsia="黑体" w:cs="黑体"/>
          <w:b/>
          <w:bCs/>
          <w:sz w:val="52"/>
          <w:szCs w:val="52"/>
        </w:rPr>
      </w:pPr>
    </w:p>
    <w:p>
      <w:pPr>
        <w:spacing w:line="360" w:lineRule="auto"/>
        <w:jc w:val="center"/>
        <w:rPr>
          <w:rFonts w:ascii="宋体" w:hAnsi="宋体" w:eastAsia="宋体" w:cs="宋体"/>
          <w:b/>
          <w:bCs/>
          <w:w w:val="80"/>
          <w:sz w:val="72"/>
          <w:szCs w:val="72"/>
        </w:rPr>
      </w:pPr>
      <w:r>
        <w:rPr>
          <w:rFonts w:hint="eastAsia" w:ascii="宋体" w:hAnsi="宋体" w:eastAsia="宋体" w:cs="宋体"/>
          <w:b/>
          <w:bCs/>
          <w:w w:val="80"/>
          <w:sz w:val="72"/>
          <w:szCs w:val="72"/>
        </w:rPr>
        <w:t>安全生产双重预防体系材料</w:t>
      </w:r>
    </w:p>
    <w:p>
      <w:pPr>
        <w:spacing w:line="360" w:lineRule="auto"/>
        <w:jc w:val="center"/>
        <w:rPr>
          <w:rFonts w:ascii="宋体" w:hAnsi="宋体" w:eastAsia="宋体" w:cs="宋体"/>
          <w:b/>
          <w:bCs/>
          <w:w w:val="80"/>
          <w:sz w:val="72"/>
          <w:szCs w:val="72"/>
        </w:rPr>
      </w:pPr>
    </w:p>
    <w:p>
      <w:pPr>
        <w:jc w:val="center"/>
        <w:rPr>
          <w:rFonts w:ascii="黑体" w:hAnsi="黑体" w:eastAsia="黑体" w:cs="黑体"/>
          <w:sz w:val="52"/>
          <w:szCs w:val="52"/>
        </w:rPr>
      </w:pPr>
    </w:p>
    <w:p>
      <w:pP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rPr>
          <w:rFonts w:ascii="黑体" w:hAnsi="黑体" w:eastAsia="黑体" w:cs="黑体"/>
          <w:sz w:val="52"/>
          <w:szCs w:val="52"/>
        </w:rPr>
      </w:pPr>
    </w:p>
    <w:p>
      <w:pPr>
        <w:jc w:val="center"/>
        <w:rPr>
          <w:rFonts w:ascii="黑体" w:hAnsi="黑体" w:eastAsia="黑体" w:cs="黑体"/>
          <w:b/>
          <w:bCs/>
          <w:sz w:val="52"/>
          <w:szCs w:val="52"/>
        </w:rPr>
      </w:pPr>
    </w:p>
    <w:p>
      <w:pPr>
        <w:jc w:val="center"/>
        <w:rPr>
          <w:rFonts w:ascii="黑体" w:hAnsi="黑体" w:eastAsia="黑体" w:cs="黑体"/>
          <w:b/>
          <w:bCs/>
          <w:sz w:val="40"/>
          <w:szCs w:val="40"/>
        </w:rPr>
      </w:pPr>
      <w:r>
        <w:rPr>
          <w:sz w:val="40"/>
        </w:rPr>
        <w:pict>
          <v:line id="_x0000_s1026" o:spid="_x0000_s1026" o:spt="20" style="position:absolute;left:0pt;margin-left:32.25pt;margin-top:28.35pt;height:0pt;width:405.25pt;z-index:251666432;mso-width-relative:page;mso-height-relative:page;" stroked="t" coordsize="21600,21600" o:gfxdata="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n4YfjX&#10;AAAACAEAAA8AAAAAAAAAAQAgAAAAIgAAAGRycy9kb3ducmV2LnhtbFBLAQIUABQAAAAIAIdO4kCQ&#10;Htfn6AEAAJEDAAAOAAAAAAAAAAEAIAAAACYBAABkcnMvZTJvRG9jLnhtbFBLBQYAAAAABgAGAFkB&#10;AACABQAAAAA=&#10;">
            <v:path arrowok="t"/>
            <v:fill focussize="0,0"/>
            <v:stroke color="#4A7EBB"/>
            <v:imagedata o:title=""/>
            <o:lock v:ext="edit"/>
          </v:line>
        </w:pict>
      </w:r>
      <w:r>
        <w:rPr>
          <w:rFonts w:hint="eastAsia" w:ascii="黑体" w:hAnsi="黑体" w:eastAsia="黑体" w:cs="黑体"/>
          <w:b/>
          <w:bCs/>
          <w:sz w:val="40"/>
          <w:szCs w:val="40"/>
        </w:rPr>
        <w:t>XX有限公司</w:t>
      </w:r>
    </w:p>
    <w:p>
      <w:pPr>
        <w:jc w:val="center"/>
        <w:rPr>
          <w:rFonts w:ascii="宋体" w:hAnsi="宋体" w:eastAsia="宋体"/>
          <w:b/>
          <w:bCs/>
          <w:sz w:val="36"/>
          <w:szCs w:val="40"/>
        </w:rPr>
        <w:sectPr>
          <w:headerReference r:id="rId5" w:type="first"/>
          <w:footerReference r:id="rId8" w:type="first"/>
          <w:headerReference r:id="rId3" w:type="default"/>
          <w:footerReference r:id="rId6" w:type="default"/>
          <w:headerReference r:id="rId4" w:type="even"/>
          <w:footerReference r:id="rId7" w:type="even"/>
          <w:pgSz w:w="11906" w:h="16838"/>
          <w:pgMar w:top="1440" w:right="1133" w:bottom="1440" w:left="1560" w:header="851" w:footer="992" w:gutter="0"/>
          <w:cols w:space="720" w:num="1"/>
          <w:docGrid w:type="lines" w:linePitch="312" w:charSpace="0"/>
        </w:sectPr>
      </w:pPr>
      <w:r>
        <w:rPr>
          <w:rFonts w:hint="eastAsia" w:ascii="黑体" w:hAnsi="黑体" w:eastAsia="黑体" w:cs="黑体"/>
          <w:b/>
          <w:bCs/>
          <w:sz w:val="40"/>
          <w:szCs w:val="40"/>
          <w:lang w:eastAsia="zh-CN"/>
        </w:rPr>
        <w:t>202X</w:t>
      </w:r>
      <w:r>
        <w:rPr>
          <w:rFonts w:hint="eastAsia" w:ascii="黑体" w:hAnsi="黑体" w:eastAsia="黑体" w:cs="黑体"/>
          <w:b/>
          <w:bCs/>
          <w:sz w:val="40"/>
          <w:szCs w:val="40"/>
        </w:rPr>
        <w:t>年11月</w:t>
      </w:r>
    </w:p>
    <w:p>
      <w:pPr>
        <w:jc w:val="center"/>
        <w:rPr>
          <w:w w:val="66"/>
        </w:rPr>
      </w:pPr>
      <w:r>
        <w:rPr>
          <w:rFonts w:hint="eastAsia"/>
          <w:b/>
          <w:bCs/>
          <w:color w:val="FF0000"/>
          <w:w w:val="66"/>
          <w:sz w:val="72"/>
          <w:szCs w:val="72"/>
        </w:rPr>
        <w:t>XX有限公司文件</w:t>
      </w:r>
    </w:p>
    <w:p/>
    <w:p>
      <w:pPr>
        <w:jc w:val="center"/>
        <w:rPr>
          <w:sz w:val="28"/>
          <w:szCs w:val="28"/>
        </w:rPr>
      </w:pPr>
      <w:r>
        <w:rPr>
          <w:sz w:val="28"/>
        </w:rPr>
        <w:pict>
          <v:line id="_x0000_s3111" o:spid="_x0000_s3111" o:spt="20" style="position:absolute;left:0pt;margin-left:7.65pt;margin-top:26.8pt;height:0pt;width:441.4pt;z-index:251680768;mso-width-relative:page;mso-height-relative:page;" stroked="t" coordsize="21600,21600" o:gfxdata="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eJhBvWAAAACAEAAA8AAAAAAAAAAQAgAAAAIgAA&#10;AGRycy9kb3ducmV2LnhtbFBLAQIUABQAAAAIAIdO4kAFcPs70QEAAFoDAAAOAAAAAAAAAAEAIAAA&#10;ACUBAABkcnMvZTJvRG9jLnhtbFBLBQYAAAAABgAGAFkBAABoBQAAAAA=&#10;">
            <v:path arrowok="t"/>
            <v:fill focussize="0,0"/>
            <v:stroke weight="2.25pt" color="#FF0000"/>
            <v:imagedata o:title=""/>
            <o:lock v:ext="edit"/>
          </v:line>
        </w:pict>
      </w:r>
      <w:r>
        <w:rPr>
          <w:rFonts w:hint="eastAsia"/>
          <w:sz w:val="28"/>
        </w:rPr>
        <w:t>XX</w:t>
      </w:r>
      <w:r>
        <w:rPr>
          <w:rFonts w:hint="eastAsia"/>
          <w:sz w:val="28"/>
          <w:szCs w:val="28"/>
        </w:rPr>
        <w:t>字【</w:t>
      </w:r>
      <w:r>
        <w:rPr>
          <w:rFonts w:hint="eastAsia"/>
          <w:sz w:val="28"/>
          <w:szCs w:val="28"/>
          <w:lang w:eastAsia="zh-CN"/>
        </w:rPr>
        <w:t>202X</w:t>
      </w:r>
      <w:r>
        <w:rPr>
          <w:rFonts w:hint="eastAsia"/>
          <w:sz w:val="28"/>
          <w:szCs w:val="28"/>
        </w:rPr>
        <w:t>】第21号</w:t>
      </w:r>
    </w:p>
    <w:p>
      <w:pPr>
        <w:pStyle w:val="2"/>
      </w:pPr>
    </w:p>
    <w:p>
      <w:pPr>
        <w:pStyle w:val="2"/>
      </w:pPr>
      <w:r>
        <w:rPr>
          <w:rFonts w:hint="eastAsia"/>
        </w:rPr>
        <w:t>关于发布安全生产双重预防体系材料的通知</w:t>
      </w:r>
    </w:p>
    <w:p/>
    <w:p>
      <w:pPr>
        <w:spacing w:line="480" w:lineRule="exact"/>
        <w:rPr>
          <w:b/>
          <w:bCs/>
          <w:sz w:val="28"/>
          <w:szCs w:val="28"/>
        </w:rPr>
      </w:pPr>
      <w:r>
        <w:rPr>
          <w:rFonts w:hint="eastAsia"/>
          <w:b/>
          <w:bCs/>
          <w:sz w:val="28"/>
          <w:szCs w:val="28"/>
        </w:rPr>
        <w:t>各岗位职工：</w:t>
      </w:r>
    </w:p>
    <w:p>
      <w:pPr>
        <w:spacing w:line="440" w:lineRule="exact"/>
        <w:ind w:firstLine="560" w:firstLineChars="200"/>
        <w:rPr>
          <w:sz w:val="28"/>
          <w:szCs w:val="28"/>
        </w:rPr>
      </w:pPr>
      <w:r>
        <w:rPr>
          <w:rFonts w:hint="eastAsia"/>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w:t>
      </w:r>
      <w:r>
        <w:rPr>
          <w:rFonts w:hint="eastAsia"/>
          <w:sz w:val="28"/>
          <w:szCs w:val="28"/>
          <w:lang w:eastAsia="zh-CN"/>
        </w:rPr>
        <w:t>202X</w:t>
      </w:r>
      <w:r>
        <w:rPr>
          <w:rFonts w:hint="eastAsia"/>
          <w:sz w:val="28"/>
          <w:szCs w:val="28"/>
        </w:rPr>
        <w:t>年全省安全生产风险分级管控和隐患排查治理双重预防体系建设推进工作方案》的通知（鲁安办发﹝</w:t>
      </w:r>
      <w:r>
        <w:rPr>
          <w:rFonts w:hint="eastAsia"/>
          <w:sz w:val="28"/>
          <w:szCs w:val="28"/>
          <w:lang w:eastAsia="zh-CN"/>
        </w:rPr>
        <w:t>202X</w:t>
      </w:r>
      <w:r>
        <w:rPr>
          <w:rFonts w:hint="eastAsia"/>
          <w:sz w:val="28"/>
          <w:szCs w:val="28"/>
        </w:rPr>
        <w:t>﹞29号）、《关于深化企业安全生产标准化工作促进风险分级管控与隐患排查治理双重预防体系建设的通知》鲁安办发﹝</w:t>
      </w:r>
      <w:r>
        <w:rPr>
          <w:rFonts w:hint="eastAsia"/>
          <w:sz w:val="28"/>
          <w:szCs w:val="28"/>
          <w:lang w:eastAsia="zh-CN"/>
        </w:rPr>
        <w:t>202X</w:t>
      </w:r>
      <w:r>
        <w:rPr>
          <w:rFonts w:hint="eastAsia"/>
          <w:sz w:val="28"/>
          <w:szCs w:val="28"/>
        </w:rPr>
        <w:t>﹞33号等相关文件要求，切实提高公司安全管理水平，加强风险分级管控，确保生产安全，我公司安全生产风险分级管控与隐患排查治理双重预防体系建设工作领导小组组织全体职工开展了安全生产双重预防体系建设工作，现将安全生产双重预防体系材料印发成册，各部门负责人及各岗位职工应贯彻学习本部门、本岗位风险点与危险源，按照要求开展隐患排查与治理，切实消除事故隐患，避免事故发生。</w:t>
      </w:r>
    </w:p>
    <w:p>
      <w:pPr>
        <w:spacing w:line="440" w:lineRule="exact"/>
        <w:ind w:left="1120" w:hanging="1120" w:hangingChars="400"/>
        <w:rPr>
          <w:sz w:val="28"/>
          <w:szCs w:val="28"/>
        </w:rPr>
      </w:pPr>
    </w:p>
    <w:p>
      <w:pPr>
        <w:spacing w:line="440" w:lineRule="exact"/>
        <w:rPr>
          <w:sz w:val="28"/>
          <w:szCs w:val="28"/>
        </w:rPr>
      </w:pPr>
    </w:p>
    <w:p>
      <w:pPr>
        <w:spacing w:line="360" w:lineRule="auto"/>
        <w:rPr>
          <w:b/>
          <w:bCs/>
          <w:sz w:val="24"/>
          <w:szCs w:val="24"/>
        </w:rPr>
      </w:pPr>
      <w:r>
        <w:rPr>
          <w:rFonts w:hint="eastAsia"/>
          <w:sz w:val="24"/>
          <w:szCs w:val="24"/>
        </w:rPr>
        <w:t xml:space="preserve">                                                       </w:t>
      </w:r>
      <w:r>
        <w:rPr>
          <w:rFonts w:hint="eastAsia"/>
          <w:b/>
          <w:bCs/>
          <w:sz w:val="24"/>
          <w:szCs w:val="24"/>
        </w:rPr>
        <w:t xml:space="preserve"> 发布人：</w:t>
      </w:r>
    </w:p>
    <w:p>
      <w:pPr>
        <w:spacing w:line="360" w:lineRule="auto"/>
        <w:rPr>
          <w:sz w:val="24"/>
          <w:szCs w:val="24"/>
        </w:rPr>
      </w:pPr>
    </w:p>
    <w:p>
      <w:pPr>
        <w:spacing w:line="360" w:lineRule="auto"/>
        <w:rPr>
          <w:sz w:val="24"/>
          <w:szCs w:val="24"/>
        </w:rPr>
      </w:pPr>
    </w:p>
    <w:p>
      <w:pPr>
        <w:spacing w:line="360" w:lineRule="auto"/>
        <w:rPr>
          <w:sz w:val="28"/>
          <w:szCs w:val="28"/>
        </w:rPr>
      </w:pPr>
      <w:r>
        <w:rPr>
          <w:sz w:val="28"/>
        </w:rPr>
        <w:pict>
          <v:line id="_x0000_s3110" o:spid="_x0000_s3110" o:spt="20" style="position:absolute;left:0pt;flip:y;margin-left:-6.1pt;margin-top:26.45pt;height:0.05pt;width:470.15pt;z-index:251681792;mso-width-relative:page;mso-height-relative:page;" stroked="t" coordsize="21600,21600" o:gfxdata="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InoH&#10;gNcAAAAJAQAADwAAAAAAAAABACAAAAAiAAAAZHJzL2Rvd25yZXYueG1sUEsBAhQAFAAAAAgAh07i&#10;QItApc3qAQAAnwMAAA4AAAAAAAAAAQAgAAAAJgEAAGRycy9lMm9Eb2MueG1sUEsFBgAAAAAGAAYA&#10;WQEAAIIFAAAAAA==&#10;">
            <v:path arrowok="t"/>
            <v:fill focussize="0,0"/>
            <v:stroke color="#000000"/>
            <v:imagedata o:title=""/>
            <o:lock v:ext="edit"/>
          </v:line>
        </w:pict>
      </w:r>
      <w:r>
        <w:rPr>
          <w:sz w:val="28"/>
        </w:rPr>
        <w:pict>
          <v:line id="_x0000_s3109" o:spid="_x0000_s3109" o:spt="20" style="position:absolute;left:0pt;flip:y;margin-left:-4.55pt;margin-top:1.1pt;height:0.35pt;width:467.6pt;z-index:251682816;mso-width-relative:page;mso-height-relative:page;" stroked="t" coordsize="21600,21600" o:gfxdata="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YuMcbSAAAABgEAAA8AAAAA&#10;AAAAAQAgAAAAIgAAAGRycy9kb3ducmV2LnhtbFBLAQIUABQAAAAIAIdO4kBs/MIY4QEAAJQDAAAO&#10;AAAAAAAAAAEAIAAAACEBAABkcnMvZTJvRG9jLnhtbFBLBQYAAAAABgAGAFkBAAB0BQAAAAA=&#10;">
            <v:path arrowok="t"/>
            <v:fill focussize="0,0"/>
            <v:stroke color="#000000"/>
            <v:imagedata o:title=""/>
            <o:lock v:ext="edit"/>
          </v:line>
        </w:pict>
      </w:r>
      <w:r>
        <w:rPr>
          <w:rFonts w:hint="eastAsia"/>
          <w:sz w:val="28"/>
        </w:rPr>
        <w:t>XX有限公司</w:t>
      </w:r>
      <w:r>
        <w:rPr>
          <w:rFonts w:hint="eastAsia"/>
          <w:sz w:val="28"/>
          <w:szCs w:val="28"/>
        </w:rPr>
        <w:t xml:space="preserve">                      </w:t>
      </w:r>
      <w:r>
        <w:rPr>
          <w:rFonts w:hint="eastAsia"/>
          <w:sz w:val="28"/>
          <w:szCs w:val="28"/>
          <w:lang w:eastAsia="zh-CN"/>
        </w:rPr>
        <w:t>202X</w:t>
      </w:r>
      <w:r>
        <w:rPr>
          <w:rFonts w:hint="eastAsia"/>
          <w:sz w:val="28"/>
          <w:szCs w:val="28"/>
        </w:rPr>
        <w:t>年11月20日印</w:t>
      </w:r>
    </w:p>
    <w:p>
      <w:pPr>
        <w:rPr>
          <w:rFonts w:ascii="宋体" w:hAnsi="宋体" w:eastAsia="宋体" w:cs="宋体"/>
          <w:b/>
          <w:bCs/>
          <w:sz w:val="30"/>
          <w:szCs w:val="30"/>
        </w:rPr>
      </w:pPr>
    </w:p>
    <w:p>
      <w:pPr>
        <w:rPr>
          <w:rFonts w:ascii="宋体" w:hAnsi="宋体" w:eastAsia="宋体" w:cs="宋体"/>
          <w:b/>
          <w:bCs/>
          <w:sz w:val="30"/>
          <w:szCs w:val="30"/>
        </w:rPr>
      </w:pPr>
    </w:p>
    <w:p>
      <w:pPr>
        <w:jc w:val="center"/>
        <w:rPr>
          <w:rFonts w:ascii="宋体" w:hAnsi="宋体" w:eastAsia="宋体"/>
        </w:rPr>
        <w:sectPr>
          <w:headerReference r:id="rId11" w:type="first"/>
          <w:headerReference r:id="rId9" w:type="default"/>
          <w:footerReference r:id="rId12" w:type="default"/>
          <w:headerReference r:id="rId10" w:type="even"/>
          <w:pgSz w:w="11906" w:h="16838"/>
          <w:pgMar w:top="1440" w:right="1133" w:bottom="1440" w:left="1560" w:header="851" w:footer="992" w:gutter="0"/>
          <w:pgNumType w:start="1"/>
          <w:cols w:space="720" w:num="1"/>
          <w:docGrid w:type="lines" w:linePitch="312" w:charSpace="0"/>
        </w:sectPr>
      </w:pPr>
    </w:p>
    <w:sdt>
      <w:sdtPr>
        <w:rPr>
          <w:rFonts w:ascii="宋体" w:hAnsi="宋体" w:eastAsia="宋体" w:cs="Times New Roman"/>
          <w:b/>
          <w:bCs/>
          <w:kern w:val="0"/>
          <w:sz w:val="24"/>
          <w:szCs w:val="28"/>
        </w:rPr>
        <w:id w:val="147453778"/>
        <w:docPartObj>
          <w:docPartGallery w:val="Table of Contents"/>
          <w:docPartUnique/>
        </w:docPartObj>
      </w:sdtPr>
      <w:sdtEndPr>
        <w:rPr>
          <w:rFonts w:ascii="Times New Roman" w:hAnsi="Times New Roman" w:eastAsia="宋体" w:cs="Times New Roman"/>
          <w:b/>
          <w:bCs/>
          <w:kern w:val="0"/>
          <w:sz w:val="20"/>
          <w:szCs w:val="20"/>
        </w:rPr>
      </w:sdtEndPr>
      <w:sdtContent>
        <w:p>
          <w:pPr>
            <w:jc w:val="center"/>
            <w:rPr>
              <w:rFonts w:asciiTheme="minorEastAsia" w:hAnsiTheme="minorEastAsia" w:cstheme="minorEastAsia"/>
              <w:b/>
              <w:bCs/>
              <w:sz w:val="36"/>
              <w:szCs w:val="36"/>
            </w:rPr>
          </w:pPr>
          <w:bookmarkStart w:id="0" w:name="_Toc31189_WPSOffice_Type2"/>
          <w:r>
            <w:rPr>
              <w:rFonts w:hint="eastAsia" w:asciiTheme="minorEastAsia" w:hAnsiTheme="minorEastAsia" w:cstheme="minorEastAsia"/>
              <w:b/>
              <w:bCs/>
              <w:sz w:val="36"/>
              <w:szCs w:val="36"/>
            </w:rPr>
            <w:t>目    录</w:t>
          </w:r>
        </w:p>
        <w:p>
          <w:pPr>
            <w:jc w:val="center"/>
            <w:rPr>
              <w:rFonts w:asciiTheme="minorEastAsia" w:hAnsiTheme="minorEastAsia" w:cstheme="minorEastAsia"/>
              <w:b/>
              <w:bCs/>
              <w:sz w:val="36"/>
              <w:szCs w:val="36"/>
            </w:rPr>
          </w:pP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"_Toc31189_WPSOffice_Level2" </w:instrText>
          </w:r>
          <w:r>
            <w:fldChar w:fldCharType="separate"/>
          </w:r>
          <w:r>
            <w:rPr>
              <w:rFonts w:hint="eastAsia" w:asciiTheme="minorEastAsia" w:hAnsiTheme="minorEastAsia" w:eastAsiaTheme="minorEastAsia" w:cstheme="minorEastAsia"/>
              <w:sz w:val="28"/>
              <w:szCs w:val="28"/>
            </w:rPr>
            <w:t>关于成立安全生产双重预防体系建设领导小组的通知</w:t>
          </w:r>
          <w:r>
            <w:rPr>
              <w:rFonts w:hint="eastAsia" w:asciiTheme="minorEastAsia" w:hAnsiTheme="minorEastAsia" w:eastAsiaTheme="minorEastAsia" w:cstheme="minorEastAsia"/>
              <w:sz w:val="28"/>
              <w:szCs w:val="28"/>
            </w:rPr>
            <w:tab/>
          </w:r>
          <w:bookmarkStart w:id="1" w:name="_Toc31189_WPSOffice_Level2Page"/>
          <w:r>
            <w:rPr>
              <w:rFonts w:hint="eastAsia" w:asciiTheme="minorEastAsia" w:hAnsiTheme="minorEastAsia" w:eastAsiaTheme="minorEastAsia" w:cstheme="minorEastAsia"/>
              <w:sz w:val="28"/>
              <w:szCs w:val="28"/>
            </w:rPr>
            <w:t>1</w:t>
          </w:r>
          <w:bookmarkEnd w:id="1"/>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"_Toc21268_WPSOffice_Level2" </w:instrText>
          </w:r>
          <w:r>
            <w:fldChar w:fldCharType="separate"/>
          </w:r>
          <w:r>
            <w:rPr>
              <w:rFonts w:hint="eastAsia" w:asciiTheme="minorEastAsia" w:hAnsiTheme="minorEastAsia" w:eastAsiaTheme="minorEastAsia" w:cstheme="minorEastAsia"/>
              <w:sz w:val="28"/>
              <w:szCs w:val="28"/>
            </w:rPr>
            <w:t>关于下发安全生产双重预防体系建设实施方案的通知</w:t>
          </w:r>
          <w:r>
            <w:rPr>
              <w:rFonts w:hint="eastAsia" w:asciiTheme="minorEastAsia" w:hAnsiTheme="minorEastAsia" w:eastAsiaTheme="minorEastAsia" w:cstheme="minorEastAsia"/>
              <w:sz w:val="28"/>
              <w:szCs w:val="28"/>
            </w:rPr>
            <w:tab/>
          </w:r>
          <w:bookmarkStart w:id="2" w:name="_Toc21268_WPSOffice_Level2Page"/>
          <w:r>
            <w:rPr>
              <w:rFonts w:hint="eastAsia" w:asciiTheme="minorEastAsia" w:hAnsiTheme="minorEastAsia" w:eastAsiaTheme="minorEastAsia" w:cstheme="minorEastAsia"/>
              <w:sz w:val="28"/>
              <w:szCs w:val="28"/>
            </w:rPr>
            <w:t>3</w:t>
          </w:r>
          <w:bookmarkEnd w:id="2"/>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"_Toc21221_WPSOffice_Level2" </w:instrText>
          </w:r>
          <w:r>
            <w:fldChar w:fldCharType="separate"/>
          </w:r>
          <w:r>
            <w:rPr>
              <w:rFonts w:hint="eastAsia" w:asciiTheme="minorEastAsia" w:hAnsiTheme="minorEastAsia" w:eastAsiaTheme="minorEastAsia" w:cstheme="minorEastAsia"/>
              <w:sz w:val="28"/>
              <w:szCs w:val="28"/>
            </w:rPr>
            <w:t>安全生产双重预防体系建设实施方案</w:t>
          </w:r>
          <w:r>
            <w:rPr>
              <w:rFonts w:hint="eastAsia" w:asciiTheme="minorEastAsia" w:hAnsiTheme="minorEastAsia" w:eastAsiaTheme="minorEastAsia" w:cstheme="minorEastAsia"/>
              <w:sz w:val="28"/>
              <w:szCs w:val="28"/>
            </w:rPr>
            <w:tab/>
          </w:r>
          <w:bookmarkStart w:id="3" w:name="_Toc21221_WPSOffice_Level2Page"/>
          <w:r>
            <w:rPr>
              <w:rFonts w:hint="eastAsia" w:asciiTheme="minorEastAsia" w:hAnsiTheme="minorEastAsia" w:eastAsiaTheme="minorEastAsia" w:cstheme="minorEastAsia"/>
              <w:sz w:val="28"/>
              <w:szCs w:val="28"/>
            </w:rPr>
            <w:t>4</w:t>
          </w:r>
          <w:bookmarkEnd w:id="3"/>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"_Toc7178_WPSOffice_Level2" </w:instrText>
          </w:r>
          <w:r>
            <w:fldChar w:fldCharType="separate"/>
          </w:r>
          <w:r>
            <w:rPr>
              <w:rFonts w:hint="eastAsia" w:asciiTheme="minorEastAsia" w:hAnsiTheme="minorEastAsia" w:eastAsiaTheme="minorEastAsia" w:cstheme="minorEastAsia"/>
              <w:sz w:val="28"/>
              <w:szCs w:val="28"/>
            </w:rPr>
            <w:t>双重预防体系建设工作时间节点表</w:t>
          </w:r>
          <w:r>
            <w:rPr>
              <w:rFonts w:hint="eastAsia" w:asciiTheme="minorEastAsia" w:hAnsiTheme="minorEastAsia" w:eastAsiaTheme="minorEastAsia" w:cstheme="minorEastAsia"/>
              <w:sz w:val="28"/>
              <w:szCs w:val="28"/>
            </w:rPr>
            <w:tab/>
          </w:r>
          <w:bookmarkStart w:id="4" w:name="_Toc7178_WPSOffice_Level2Page"/>
          <w:r>
            <w:rPr>
              <w:rFonts w:hint="eastAsia" w:asciiTheme="minorEastAsia" w:hAnsiTheme="minorEastAsia" w:eastAsiaTheme="minorEastAsia" w:cstheme="minorEastAsia"/>
              <w:sz w:val="28"/>
              <w:szCs w:val="28"/>
            </w:rPr>
            <w:t>9</w:t>
          </w:r>
          <w:bookmarkEnd w:id="4"/>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"_Toc18348_WPSOffice_Level2" </w:instrText>
          </w:r>
          <w:r>
            <w:fldChar w:fldCharType="separate"/>
          </w:r>
          <w:r>
            <w:rPr>
              <w:rFonts w:hint="eastAsia" w:asciiTheme="minorEastAsia" w:hAnsiTheme="minorEastAsia" w:eastAsiaTheme="minorEastAsia" w:cstheme="minorEastAsia"/>
              <w:sz w:val="28"/>
              <w:szCs w:val="28"/>
            </w:rPr>
            <w:t>安全生产双重预防体系建设培训计划</w:t>
          </w:r>
          <w:r>
            <w:rPr>
              <w:rFonts w:hint="eastAsia" w:asciiTheme="minorEastAsia" w:hAnsiTheme="minorEastAsia" w:eastAsiaTheme="minorEastAsia" w:cstheme="minorEastAsia"/>
              <w:sz w:val="28"/>
              <w:szCs w:val="28"/>
            </w:rPr>
            <w:tab/>
          </w:r>
          <w:bookmarkStart w:id="5" w:name="_Toc18348_WPSOffice_Level2Page"/>
          <w:r>
            <w:rPr>
              <w:rFonts w:hint="eastAsia" w:asciiTheme="minorEastAsia" w:hAnsiTheme="minorEastAsia" w:eastAsiaTheme="minorEastAsia" w:cstheme="minorEastAsia"/>
              <w:sz w:val="28"/>
              <w:szCs w:val="28"/>
            </w:rPr>
            <w:t>11</w:t>
          </w:r>
          <w:bookmarkEnd w:id="5"/>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"_Toc10705_WPSOffice_Level2" </w:instrText>
          </w:r>
          <w:r>
            <w:fldChar w:fldCharType="separate"/>
          </w:r>
          <w:r>
            <w:rPr>
              <w:rFonts w:hint="eastAsia" w:asciiTheme="minorEastAsia" w:hAnsiTheme="minorEastAsia" w:eastAsiaTheme="minorEastAsia" w:cstheme="minorEastAsia"/>
              <w:sz w:val="28"/>
              <w:szCs w:val="28"/>
            </w:rPr>
            <w:t>安全生产双重预防体系建设培训记录</w:t>
          </w:r>
          <w:r>
            <w:rPr>
              <w:rFonts w:hint="eastAsia" w:asciiTheme="minorEastAsia" w:hAnsiTheme="minorEastAsia" w:eastAsiaTheme="minorEastAsia" w:cstheme="minorEastAsia"/>
              <w:sz w:val="28"/>
              <w:szCs w:val="28"/>
            </w:rPr>
            <w:tab/>
          </w:r>
          <w:bookmarkStart w:id="6" w:name="_Toc10705_WPSOffice_Level2Page"/>
          <w:r>
            <w:rPr>
              <w:rFonts w:hint="eastAsia" w:asciiTheme="minorEastAsia" w:hAnsiTheme="minorEastAsia" w:eastAsiaTheme="minorEastAsia" w:cstheme="minorEastAsia"/>
              <w:sz w:val="28"/>
              <w:szCs w:val="28"/>
            </w:rPr>
            <w:t>12</w:t>
          </w:r>
          <w:bookmarkEnd w:id="6"/>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"_Toc23657_WPSOffice_Level2" </w:instrText>
          </w:r>
          <w:r>
            <w:fldChar w:fldCharType="separate"/>
          </w:r>
          <w:r>
            <w:rPr>
              <w:rFonts w:hint="eastAsia" w:asciiTheme="minorEastAsia" w:hAnsiTheme="minorEastAsia" w:eastAsiaTheme="minorEastAsia" w:cstheme="minorEastAsia"/>
              <w:sz w:val="28"/>
              <w:szCs w:val="28"/>
            </w:rPr>
            <w:t>安全生产双重预防体系建设培训评估报告</w:t>
          </w:r>
          <w:r>
            <w:rPr>
              <w:rFonts w:hint="eastAsia" w:asciiTheme="minorEastAsia" w:hAnsiTheme="minorEastAsia" w:eastAsiaTheme="minorEastAsia" w:cstheme="minorEastAsia"/>
              <w:sz w:val="28"/>
              <w:szCs w:val="28"/>
            </w:rPr>
            <w:tab/>
          </w:r>
          <w:bookmarkStart w:id="7" w:name="_Toc23657_WPSOffice_Level2Page"/>
          <w:r>
            <w:rPr>
              <w:rFonts w:hint="eastAsia" w:asciiTheme="minorEastAsia" w:hAnsiTheme="minorEastAsia" w:eastAsiaTheme="minorEastAsia" w:cstheme="minorEastAsia"/>
              <w:sz w:val="28"/>
              <w:szCs w:val="28"/>
            </w:rPr>
            <w:t>13</w:t>
          </w:r>
          <w:bookmarkEnd w:id="7"/>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"_Toc21408_WPSOffice_Level2" </w:instrText>
          </w:r>
          <w:r>
            <w:fldChar w:fldCharType="separate"/>
          </w:r>
          <w:r>
            <w:rPr>
              <w:rFonts w:hint="eastAsia" w:asciiTheme="minorEastAsia" w:hAnsiTheme="minorEastAsia" w:eastAsiaTheme="minorEastAsia" w:cstheme="minorEastAsia"/>
              <w:sz w:val="28"/>
              <w:szCs w:val="28"/>
            </w:rPr>
            <w:t>风险分级管控制度</w:t>
          </w:r>
          <w:r>
            <w:rPr>
              <w:rFonts w:hint="eastAsia" w:asciiTheme="minorEastAsia" w:hAnsiTheme="minorEastAsia" w:eastAsiaTheme="minorEastAsia" w:cstheme="minorEastAsia"/>
              <w:sz w:val="28"/>
              <w:szCs w:val="28"/>
            </w:rPr>
            <w:tab/>
          </w:r>
          <w:bookmarkStart w:id="8" w:name="_Toc21408_WPSOffice_Level2Page"/>
          <w:r>
            <w:rPr>
              <w:rFonts w:hint="eastAsia" w:asciiTheme="minorEastAsia" w:hAnsiTheme="minorEastAsia" w:eastAsiaTheme="minorEastAsia" w:cstheme="minorEastAsia"/>
              <w:sz w:val="28"/>
              <w:szCs w:val="28"/>
            </w:rPr>
            <w:t>22</w:t>
          </w:r>
          <w:bookmarkEnd w:id="8"/>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"_Toc14132_WPSOffice_Level2" </w:instrText>
          </w:r>
          <w:r>
            <w:fldChar w:fldCharType="separate"/>
          </w:r>
          <w:r>
            <w:rPr>
              <w:rFonts w:hint="eastAsia" w:asciiTheme="minorEastAsia" w:hAnsiTheme="minorEastAsia" w:eastAsiaTheme="minorEastAsia" w:cstheme="minorEastAsia"/>
              <w:sz w:val="28"/>
              <w:szCs w:val="28"/>
            </w:rPr>
            <w:t>关于发布安全风险公告制度的通知</w:t>
          </w:r>
          <w:r>
            <w:rPr>
              <w:rFonts w:hint="eastAsia" w:asciiTheme="minorEastAsia" w:hAnsiTheme="minorEastAsia" w:eastAsiaTheme="minorEastAsia" w:cstheme="minorEastAsia"/>
              <w:sz w:val="28"/>
              <w:szCs w:val="28"/>
            </w:rPr>
            <w:tab/>
          </w:r>
          <w:bookmarkStart w:id="9" w:name="_Toc14132_WPSOffice_Level2Page"/>
          <w:r>
            <w:rPr>
              <w:rFonts w:hint="eastAsia" w:asciiTheme="minorEastAsia" w:hAnsiTheme="minorEastAsia" w:eastAsiaTheme="minorEastAsia" w:cstheme="minorEastAsia"/>
              <w:sz w:val="28"/>
              <w:szCs w:val="28"/>
            </w:rPr>
            <w:t>28</w:t>
          </w:r>
          <w:bookmarkEnd w:id="9"/>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"_Toc21603_WPSOffice_Level2" </w:instrText>
          </w:r>
          <w:r>
            <w:fldChar w:fldCharType="separate"/>
          </w:r>
          <w:r>
            <w:rPr>
              <w:rFonts w:hint="eastAsia" w:asciiTheme="minorEastAsia" w:hAnsiTheme="minorEastAsia" w:eastAsiaTheme="minorEastAsia" w:cstheme="minorEastAsia"/>
              <w:sz w:val="28"/>
              <w:szCs w:val="28"/>
            </w:rPr>
            <w:t>事故隐患分析会制度</w:t>
          </w:r>
          <w:r>
            <w:rPr>
              <w:rFonts w:hint="eastAsia" w:asciiTheme="minorEastAsia" w:hAnsiTheme="minorEastAsia" w:eastAsiaTheme="minorEastAsia" w:cstheme="minorEastAsia"/>
              <w:sz w:val="28"/>
              <w:szCs w:val="28"/>
            </w:rPr>
            <w:tab/>
          </w:r>
          <w:bookmarkStart w:id="10" w:name="_Toc21603_WPSOffice_Level2Page"/>
          <w:r>
            <w:rPr>
              <w:rFonts w:hint="eastAsia" w:asciiTheme="minorEastAsia" w:hAnsiTheme="minorEastAsia" w:eastAsiaTheme="minorEastAsia" w:cstheme="minorEastAsia"/>
              <w:sz w:val="28"/>
              <w:szCs w:val="28"/>
            </w:rPr>
            <w:t>31</w:t>
          </w:r>
          <w:bookmarkEnd w:id="10"/>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"_Toc24832_WPSOffice_Level2" </w:instrText>
          </w:r>
          <w:r>
            <w:fldChar w:fldCharType="separate"/>
          </w:r>
          <w:r>
            <w:rPr>
              <w:rFonts w:hint="eastAsia" w:asciiTheme="minorEastAsia" w:hAnsiTheme="minorEastAsia" w:eastAsiaTheme="minorEastAsia" w:cstheme="minorEastAsia"/>
              <w:sz w:val="28"/>
              <w:szCs w:val="28"/>
            </w:rPr>
            <w:t>事故隐患分析会议记录</w:t>
          </w:r>
          <w:r>
            <w:rPr>
              <w:rFonts w:hint="eastAsia" w:asciiTheme="minorEastAsia" w:hAnsiTheme="minorEastAsia" w:eastAsiaTheme="minorEastAsia" w:cstheme="minorEastAsia"/>
              <w:sz w:val="28"/>
              <w:szCs w:val="28"/>
            </w:rPr>
            <w:tab/>
          </w:r>
          <w:bookmarkStart w:id="11" w:name="_Toc24832_WPSOffice_Level2Page"/>
          <w:r>
            <w:rPr>
              <w:rFonts w:hint="eastAsia" w:asciiTheme="minorEastAsia" w:hAnsiTheme="minorEastAsia" w:eastAsiaTheme="minorEastAsia" w:cstheme="minorEastAsia"/>
              <w:sz w:val="28"/>
              <w:szCs w:val="28"/>
            </w:rPr>
            <w:t>32</w:t>
          </w:r>
          <w:bookmarkEnd w:id="11"/>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"_Toc28140_WPSOffice_Level2" </w:instrText>
          </w:r>
          <w:r>
            <w:fldChar w:fldCharType="separate"/>
          </w:r>
          <w:r>
            <w:rPr>
              <w:rFonts w:hint="eastAsia" w:asciiTheme="minorEastAsia" w:hAnsiTheme="minorEastAsia" w:eastAsiaTheme="minorEastAsia" w:cstheme="minorEastAsia"/>
              <w:sz w:val="28"/>
              <w:szCs w:val="28"/>
            </w:rPr>
            <w:t>隐患排查治理制度</w:t>
          </w:r>
          <w:r>
            <w:rPr>
              <w:rFonts w:hint="eastAsia" w:asciiTheme="minorEastAsia" w:hAnsiTheme="minorEastAsia" w:eastAsiaTheme="minorEastAsia" w:cstheme="minorEastAsia"/>
              <w:sz w:val="28"/>
              <w:szCs w:val="28"/>
            </w:rPr>
            <w:tab/>
          </w:r>
          <w:bookmarkStart w:id="12" w:name="_Toc28140_WPSOffice_Level2Page"/>
          <w:r>
            <w:rPr>
              <w:rFonts w:hint="eastAsia" w:asciiTheme="minorEastAsia" w:hAnsiTheme="minorEastAsia" w:eastAsiaTheme="minorEastAsia" w:cstheme="minorEastAsia"/>
              <w:sz w:val="28"/>
              <w:szCs w:val="28"/>
            </w:rPr>
            <w:t>37</w:t>
          </w:r>
          <w:bookmarkEnd w:id="12"/>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"_Toc16787_WPSOffice_Level2" </w:instrText>
          </w:r>
          <w:r>
            <w:fldChar w:fldCharType="separate"/>
          </w:r>
          <w:r>
            <w:rPr>
              <w:rFonts w:hint="eastAsia" w:asciiTheme="minorEastAsia" w:hAnsiTheme="minorEastAsia" w:eastAsiaTheme="minorEastAsia" w:cstheme="minorEastAsia"/>
              <w:sz w:val="28"/>
              <w:szCs w:val="28"/>
            </w:rPr>
            <w:t>“双重预防体系”考核奖惩制度</w:t>
          </w:r>
          <w:r>
            <w:rPr>
              <w:rFonts w:hint="eastAsia" w:asciiTheme="minorEastAsia" w:hAnsiTheme="minorEastAsia" w:eastAsiaTheme="minorEastAsia" w:cstheme="minorEastAsia"/>
              <w:sz w:val="28"/>
              <w:szCs w:val="28"/>
            </w:rPr>
            <w:tab/>
          </w:r>
          <w:bookmarkStart w:id="13" w:name="_Toc16787_WPSOffice_Level2Page"/>
          <w:r>
            <w:rPr>
              <w:rFonts w:hint="eastAsia" w:asciiTheme="minorEastAsia" w:hAnsiTheme="minorEastAsia" w:eastAsiaTheme="minorEastAsia" w:cstheme="minorEastAsia"/>
              <w:sz w:val="28"/>
              <w:szCs w:val="28"/>
            </w:rPr>
            <w:t>44</w:t>
          </w:r>
          <w:bookmarkEnd w:id="13"/>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"_Toc13195_WPSOffice_Level2" </w:instrText>
          </w:r>
          <w:r>
            <w:fldChar w:fldCharType="separate"/>
          </w:r>
          <w:r>
            <w:rPr>
              <w:rFonts w:hint="eastAsia" w:asciiTheme="minorEastAsia" w:hAnsiTheme="minorEastAsia" w:eastAsiaTheme="minorEastAsia" w:cstheme="minorEastAsia"/>
              <w:sz w:val="28"/>
              <w:szCs w:val="28"/>
            </w:rPr>
            <w:t>双重预防体系建设考核与奖惩记录</w:t>
          </w:r>
          <w:r>
            <w:rPr>
              <w:rFonts w:hint="eastAsia" w:asciiTheme="minorEastAsia" w:hAnsiTheme="minorEastAsia" w:eastAsiaTheme="minorEastAsia" w:cstheme="minorEastAsia"/>
              <w:sz w:val="28"/>
              <w:szCs w:val="28"/>
            </w:rPr>
            <w:tab/>
          </w:r>
          <w:bookmarkStart w:id="14" w:name="_Toc13195_WPSOffice_Level2Page"/>
          <w:r>
            <w:rPr>
              <w:rFonts w:hint="eastAsia" w:asciiTheme="minorEastAsia" w:hAnsiTheme="minorEastAsia" w:eastAsiaTheme="minorEastAsia" w:cstheme="minorEastAsia"/>
              <w:sz w:val="28"/>
              <w:szCs w:val="28"/>
            </w:rPr>
            <w:t>46</w:t>
          </w:r>
          <w:bookmarkEnd w:id="14"/>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"_Toc2976_WPSOffice_Level2" </w:instrText>
          </w:r>
          <w:r>
            <w:fldChar w:fldCharType="separate"/>
          </w:r>
          <w:r>
            <w:rPr>
              <w:rFonts w:hint="eastAsia" w:asciiTheme="minorEastAsia" w:hAnsiTheme="minorEastAsia" w:eastAsiaTheme="minorEastAsia" w:cstheme="minorEastAsia"/>
              <w:sz w:val="28"/>
              <w:szCs w:val="28"/>
            </w:rPr>
            <w:t>安全风险分级管控作业指导书</w:t>
          </w:r>
          <w:r>
            <w:rPr>
              <w:rFonts w:hint="eastAsia" w:asciiTheme="minorEastAsia" w:hAnsiTheme="minorEastAsia" w:eastAsiaTheme="minorEastAsia" w:cstheme="minorEastAsia"/>
              <w:sz w:val="28"/>
              <w:szCs w:val="28"/>
            </w:rPr>
            <w:tab/>
          </w:r>
          <w:bookmarkStart w:id="15" w:name="_Toc2976_WPSOffice_Level2Page"/>
          <w:r>
            <w:rPr>
              <w:rFonts w:hint="eastAsia" w:asciiTheme="minorEastAsia" w:hAnsiTheme="minorEastAsia" w:eastAsiaTheme="minorEastAsia" w:cstheme="minorEastAsia"/>
              <w:sz w:val="28"/>
              <w:szCs w:val="28"/>
            </w:rPr>
            <w:t>49</w:t>
          </w:r>
          <w:bookmarkEnd w:id="15"/>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"_Toc12927_WPSOffice_Level2" </w:instrText>
          </w:r>
          <w:r>
            <w:fldChar w:fldCharType="separate"/>
          </w:r>
          <w:r>
            <w:rPr>
              <w:rFonts w:hint="eastAsia" w:asciiTheme="minorEastAsia" w:hAnsiTheme="minorEastAsia" w:eastAsiaTheme="minorEastAsia" w:cstheme="minorEastAsia"/>
              <w:sz w:val="28"/>
              <w:szCs w:val="28"/>
            </w:rPr>
            <w:t>隐患排查治理体系作业指导书</w:t>
          </w:r>
          <w:r>
            <w:rPr>
              <w:rFonts w:hint="eastAsia" w:asciiTheme="minorEastAsia" w:hAnsiTheme="minorEastAsia" w:eastAsiaTheme="minorEastAsia" w:cstheme="minorEastAsia"/>
              <w:sz w:val="28"/>
              <w:szCs w:val="28"/>
            </w:rPr>
            <w:tab/>
          </w:r>
          <w:bookmarkStart w:id="16" w:name="_Toc12927_WPSOffice_Level2Page"/>
          <w:r>
            <w:rPr>
              <w:rFonts w:hint="eastAsia" w:asciiTheme="minorEastAsia" w:hAnsiTheme="minorEastAsia" w:eastAsiaTheme="minorEastAsia" w:cstheme="minorEastAsia"/>
              <w:sz w:val="28"/>
              <w:szCs w:val="28"/>
            </w:rPr>
            <w:t>75</w:t>
          </w:r>
          <w:bookmarkEnd w:id="16"/>
          <w:r>
            <w:rPr>
              <w:rFonts w:hint="eastAsia" w:asciiTheme="minorEastAsia" w:hAnsiTheme="minorEastAsia" w:eastAsiaTheme="minorEastAsia" w:cstheme="minorEastAsia"/>
              <w:sz w:val="28"/>
              <w:szCs w:val="28"/>
            </w:rPr>
            <w:fldChar w:fldCharType="end"/>
          </w:r>
        </w:p>
        <w:p>
          <w:pPr>
            <w:pStyle w:val="29"/>
            <w:tabs>
              <w:tab w:val="right" w:leader="dot" w:pos="9213"/>
            </w:tabs>
            <w:ind w:left="420"/>
          </w:pPr>
          <w:r>
            <w:fldChar w:fldCharType="begin"/>
          </w:r>
          <w:r>
            <w:instrText xml:space="preserve"> HYPERLINK \l "_Toc28513_WPSOffice_Level2" </w:instrText>
          </w:r>
          <w:r>
            <w:fldChar w:fldCharType="separate"/>
          </w:r>
          <w:r>
            <w:rPr>
              <w:rFonts w:hint="eastAsia" w:asciiTheme="minorEastAsia" w:hAnsiTheme="minorEastAsia" w:eastAsiaTheme="minorEastAsia" w:cstheme="minorEastAsia"/>
              <w:sz w:val="28"/>
              <w:szCs w:val="28"/>
            </w:rPr>
            <w:t>双重预防体系建设相关文件发放记录</w:t>
          </w:r>
          <w:r>
            <w:rPr>
              <w:rFonts w:hint="eastAsia" w:asciiTheme="minorEastAsia" w:hAnsiTheme="minorEastAsia" w:eastAsiaTheme="minorEastAsia" w:cstheme="minorEastAsia"/>
              <w:sz w:val="28"/>
              <w:szCs w:val="28"/>
            </w:rPr>
            <w:tab/>
          </w:r>
          <w:bookmarkStart w:id="17" w:name="_Toc28513_WPSOffice_Level2Page"/>
          <w:r>
            <w:rPr>
              <w:rFonts w:hint="eastAsia" w:asciiTheme="minorEastAsia" w:hAnsiTheme="minorEastAsia" w:eastAsiaTheme="minorEastAsia" w:cstheme="minorEastAsia"/>
              <w:sz w:val="28"/>
              <w:szCs w:val="28"/>
            </w:rPr>
            <w:t>94</w:t>
          </w:r>
          <w:bookmarkEnd w:id="17"/>
          <w:r>
            <w:rPr>
              <w:rFonts w:hint="eastAsia" w:asciiTheme="minorEastAsia" w:hAnsiTheme="minorEastAsia" w:eastAsiaTheme="minorEastAsia" w:cstheme="minorEastAsia"/>
              <w:sz w:val="28"/>
              <w:szCs w:val="28"/>
            </w:rPr>
            <w:fldChar w:fldCharType="end"/>
          </w:r>
        </w:p>
      </w:sdtContent>
    </w:sdt>
    <w:bookmarkEnd w:id="0"/>
    <w:p>
      <w:pPr>
        <w:jc w:val="center"/>
        <w:rPr>
          <w:b/>
          <w:bCs/>
          <w:color w:val="FF0000"/>
          <w:w w:val="66"/>
          <w:sz w:val="72"/>
          <w:szCs w:val="72"/>
        </w:rPr>
        <w:sectPr>
          <w:headerReference r:id="rId15" w:type="first"/>
          <w:headerReference r:id="rId13" w:type="default"/>
          <w:footerReference r:id="rId16" w:type="default"/>
          <w:headerReference r:id="rId14" w:type="even"/>
          <w:pgSz w:w="11906" w:h="16838"/>
          <w:pgMar w:top="1440" w:right="1133" w:bottom="1440" w:left="1560" w:header="851" w:footer="992" w:gutter="0"/>
          <w:pgNumType w:start="1"/>
          <w:cols w:space="720" w:num="1"/>
          <w:docGrid w:type="lines" w:linePitch="312" w:charSpace="0"/>
        </w:sectPr>
      </w:pPr>
      <w:bookmarkStart w:id="18" w:name="_Toc30487_WPSOffice_Level1"/>
      <w:bookmarkStart w:id="19" w:name="_Toc22519_WPSOffice_Level1"/>
      <w:bookmarkStart w:id="20" w:name="_Toc20021_WPSOffice_Level1"/>
      <w:bookmarkStart w:id="21" w:name="_Toc5728_WPSOffice_Level1"/>
      <w:bookmarkStart w:id="22" w:name="_Toc27538_WPSOffice_Level1"/>
      <w:bookmarkStart w:id="23" w:name="_Toc5597_WPSOffice_Level1"/>
      <w:bookmarkStart w:id="24" w:name="_Toc5535_WPSOffice_Level1"/>
    </w:p>
    <w:p>
      <w:pPr>
        <w:jc w:val="center"/>
        <w:rPr>
          <w:w w:val="66"/>
        </w:rPr>
      </w:pPr>
      <w:bookmarkStart w:id="25" w:name="_Toc32247_WPSOffice_Level1"/>
      <w:bookmarkStart w:id="26" w:name="_Toc8117_WPSOffice_Level1"/>
      <w:r>
        <w:rPr>
          <w:rFonts w:hint="eastAsia"/>
          <w:b/>
          <w:bCs/>
          <w:color w:val="FF0000"/>
          <w:w w:val="66"/>
          <w:sz w:val="72"/>
          <w:szCs w:val="72"/>
        </w:rPr>
        <w:t>XX有限公司文件</w:t>
      </w:r>
      <w:bookmarkEnd w:id="18"/>
      <w:bookmarkEnd w:id="19"/>
      <w:bookmarkEnd w:id="20"/>
      <w:bookmarkEnd w:id="21"/>
      <w:bookmarkEnd w:id="22"/>
      <w:bookmarkEnd w:id="23"/>
      <w:bookmarkEnd w:id="24"/>
      <w:bookmarkEnd w:id="25"/>
      <w:bookmarkEnd w:id="26"/>
    </w:p>
    <w:p/>
    <w:p>
      <w:pPr>
        <w:jc w:val="center"/>
        <w:rPr>
          <w:sz w:val="28"/>
          <w:szCs w:val="28"/>
        </w:rPr>
      </w:pPr>
      <w:r>
        <w:rPr>
          <w:sz w:val="28"/>
        </w:rPr>
        <w:pict>
          <v:line id="_x0000_s3108" o:spid="_x0000_s3108" o:spt="20" style="position:absolute;left:0pt;margin-left:3.3pt;margin-top:27.7pt;height:0pt;width:441.4pt;z-index:251659264;mso-width-relative:page;mso-height-relative:page;" stroked="t" coordsize="21600,21600" o:gfxdata="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&#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Hlv6HVAAAABwEAAA8AAAAAAAAAAQAgAAAAIgAAAGRy&#10;cy9kb3ducmV2LnhtbFBLAQIUABQAAAAIAIdO4kAI62jJzwEAAFgDAAAOAAAAAAAAAAEAIAAAACQB&#10;AABkcnMvZTJvRG9jLnhtbFBLBQYAAAAABgAGAFkBAABlBQAAAAA=&#10;">
            <v:path arrowok="t"/>
            <v:fill focussize="0,0"/>
            <v:stroke weight="2.25pt" color="#FF0000"/>
            <v:imagedata o:title=""/>
            <o:lock v:ext="edit"/>
          </v:line>
        </w:pict>
      </w:r>
      <w:r>
        <w:rPr>
          <w:rFonts w:hint="eastAsia"/>
          <w:sz w:val="28"/>
        </w:rPr>
        <w:t>XX</w:t>
      </w:r>
      <w:r>
        <w:rPr>
          <w:rFonts w:hint="eastAsia"/>
          <w:sz w:val="28"/>
          <w:szCs w:val="28"/>
        </w:rPr>
        <w:t>字【</w:t>
      </w:r>
      <w:r>
        <w:rPr>
          <w:rFonts w:hint="eastAsia"/>
          <w:sz w:val="28"/>
          <w:szCs w:val="28"/>
          <w:lang w:eastAsia="zh-CN"/>
        </w:rPr>
        <w:t>202X</w:t>
      </w:r>
      <w:r>
        <w:rPr>
          <w:rFonts w:hint="eastAsia"/>
          <w:sz w:val="28"/>
          <w:szCs w:val="28"/>
        </w:rPr>
        <w:t>】第13号</w:t>
      </w:r>
    </w:p>
    <w:p>
      <w:pPr>
        <w:pStyle w:val="2"/>
      </w:pPr>
    </w:p>
    <w:p>
      <w:pPr>
        <w:pStyle w:val="2"/>
      </w:pPr>
      <w:bookmarkStart w:id="27" w:name="_Toc6484"/>
      <w:bookmarkStart w:id="28" w:name="_Toc31189_WPSOffice_Level2"/>
      <w:r>
        <w:rPr>
          <w:rFonts w:hint="eastAsia"/>
        </w:rPr>
        <w:t>关于成立安全生产双重预防体系建设领导小组的通知</w:t>
      </w:r>
      <w:bookmarkEnd w:id="27"/>
      <w:bookmarkEnd w:id="28"/>
    </w:p>
    <w:p/>
    <w:p>
      <w:pPr>
        <w:spacing w:line="480" w:lineRule="exact"/>
        <w:rPr>
          <w:sz w:val="28"/>
          <w:szCs w:val="28"/>
        </w:rPr>
      </w:pPr>
      <w:r>
        <w:rPr>
          <w:rFonts w:hint="eastAsia"/>
          <w:sz w:val="28"/>
          <w:szCs w:val="28"/>
        </w:rPr>
        <w:t>各岗位职工：</w:t>
      </w:r>
    </w:p>
    <w:p>
      <w:pPr>
        <w:spacing w:line="440" w:lineRule="exact"/>
        <w:ind w:firstLine="560" w:firstLineChars="200"/>
        <w:rPr>
          <w:sz w:val="28"/>
          <w:szCs w:val="28"/>
        </w:rPr>
      </w:pPr>
      <w:r>
        <w:rPr>
          <w:rFonts w:hint="eastAsia"/>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w:t>
      </w:r>
      <w:r>
        <w:rPr>
          <w:rFonts w:hint="eastAsia"/>
          <w:sz w:val="28"/>
          <w:szCs w:val="28"/>
          <w:lang w:eastAsia="zh-CN"/>
        </w:rPr>
        <w:t>202X</w:t>
      </w:r>
      <w:r>
        <w:rPr>
          <w:rFonts w:hint="eastAsia"/>
          <w:sz w:val="28"/>
          <w:szCs w:val="28"/>
        </w:rPr>
        <w:t>年全省安全生产风险分级管控和隐患排查治理双重预防体系建设推进工作方案》的通知（鲁安办发﹝</w:t>
      </w:r>
      <w:r>
        <w:rPr>
          <w:rFonts w:hint="eastAsia"/>
          <w:sz w:val="28"/>
          <w:szCs w:val="28"/>
          <w:lang w:eastAsia="zh-CN"/>
        </w:rPr>
        <w:t>202X</w:t>
      </w:r>
      <w:r>
        <w:rPr>
          <w:rFonts w:hint="eastAsia"/>
          <w:sz w:val="28"/>
          <w:szCs w:val="28"/>
        </w:rPr>
        <w:t>﹞29号）、《关于深化企业安全生产标准化工作促进风险分级管控与隐患排查治理双重预防体系建设的通知》鲁安办发﹝</w:t>
      </w:r>
      <w:r>
        <w:rPr>
          <w:rFonts w:hint="eastAsia"/>
          <w:sz w:val="28"/>
          <w:szCs w:val="28"/>
          <w:lang w:eastAsia="zh-CN"/>
        </w:rPr>
        <w:t>202X</w:t>
      </w:r>
      <w:r>
        <w:rPr>
          <w:rFonts w:hint="eastAsia"/>
          <w:sz w:val="28"/>
          <w:szCs w:val="28"/>
        </w:rPr>
        <w:t>﹞33号等相关文件要求，切实提高公司安全管理水平，加强风险分级管控，确保生产安全，本公司决定成立安全生产风险分级管控与隐患排查治理双重预防体系建设工作领导小组，负责本公司安全生产风险分级管控体系与隐患排查治理体系建设工作。双重预防体系建设领导小组由公司主要负责人、分管负责人及其他各岗位负责人组成。具体任命如下：</w:t>
      </w:r>
    </w:p>
    <w:p>
      <w:pPr>
        <w:spacing w:line="440" w:lineRule="exact"/>
        <w:ind w:firstLine="562" w:firstLineChars="200"/>
        <w:rPr>
          <w:b/>
          <w:bCs/>
          <w:sz w:val="28"/>
          <w:szCs w:val="28"/>
        </w:rPr>
      </w:pPr>
      <w:r>
        <w:rPr>
          <w:rFonts w:hint="eastAsia"/>
          <w:b/>
          <w:bCs/>
          <w:sz w:val="28"/>
          <w:szCs w:val="28"/>
        </w:rPr>
        <w:t>组  长：XX</w:t>
      </w:r>
    </w:p>
    <w:p>
      <w:pPr>
        <w:spacing w:line="440" w:lineRule="exact"/>
        <w:ind w:firstLine="562" w:firstLineChars="200"/>
        <w:rPr>
          <w:b/>
          <w:bCs/>
          <w:sz w:val="28"/>
          <w:szCs w:val="28"/>
        </w:rPr>
      </w:pPr>
      <w:r>
        <w:rPr>
          <w:rFonts w:hint="eastAsia"/>
          <w:b/>
          <w:bCs/>
          <w:sz w:val="28"/>
          <w:szCs w:val="28"/>
        </w:rPr>
        <w:t>副组长：XX</w:t>
      </w:r>
    </w:p>
    <w:p>
      <w:pPr>
        <w:spacing w:line="440" w:lineRule="exact"/>
        <w:ind w:left="1683" w:leftChars="266" w:hanging="1124" w:hangingChars="400"/>
        <w:rPr>
          <w:b/>
          <w:bCs/>
          <w:sz w:val="28"/>
          <w:szCs w:val="28"/>
        </w:rPr>
      </w:pPr>
      <w:r>
        <w:rPr>
          <w:rFonts w:hint="eastAsia"/>
          <w:b/>
          <w:bCs/>
          <w:sz w:val="28"/>
          <w:szCs w:val="28"/>
        </w:rPr>
        <w:t>成  员：XX、XX、XX</w:t>
      </w:r>
    </w:p>
    <w:p>
      <w:pPr>
        <w:spacing w:before="156" w:beforeLines="50" w:after="156" w:afterLines="50" w:line="440" w:lineRule="exact"/>
        <w:rPr>
          <w:sz w:val="28"/>
          <w:szCs w:val="28"/>
        </w:rPr>
      </w:pPr>
      <w:r>
        <w:rPr>
          <w:rFonts w:hint="eastAsia"/>
          <w:sz w:val="28"/>
          <w:szCs w:val="28"/>
        </w:rPr>
        <w:t>安全生产双重预防体系建设领导小组职责如下：</w:t>
      </w:r>
    </w:p>
    <w:p>
      <w:pPr>
        <w:spacing w:line="440" w:lineRule="exact"/>
        <w:ind w:left="1124" w:hanging="1124" w:hangingChars="400"/>
        <w:rPr>
          <w:sz w:val="28"/>
          <w:szCs w:val="28"/>
        </w:rPr>
      </w:pPr>
      <w:r>
        <w:rPr>
          <w:rFonts w:hint="eastAsia"/>
          <w:b/>
          <w:bCs/>
          <w:sz w:val="28"/>
          <w:szCs w:val="28"/>
        </w:rPr>
        <w:t>组长职责：</w:t>
      </w:r>
      <w:r>
        <w:rPr>
          <w:rFonts w:hint="eastAsia"/>
          <w:sz w:val="28"/>
          <w:szCs w:val="28"/>
        </w:rPr>
        <w:t>全面负责组织风险分级管控工作，为该项工作的开展提供必要的人力、物力、财力支持，统一思想，提高全员意识，提供组织保障，督促各岗位人员做好分管范围内的风险分级管控工作。负责隐患排查治理体系工作部署；负责隐患治理监督。</w:t>
      </w:r>
    </w:p>
    <w:p>
      <w:pPr>
        <w:spacing w:line="440" w:lineRule="exact"/>
        <w:ind w:left="1124" w:hanging="1124" w:hangingChars="400"/>
        <w:rPr>
          <w:sz w:val="28"/>
          <w:szCs w:val="28"/>
        </w:rPr>
      </w:pPr>
      <w:r>
        <w:rPr>
          <w:rFonts w:hint="eastAsia"/>
          <w:b/>
          <w:bCs/>
          <w:sz w:val="28"/>
          <w:szCs w:val="28"/>
        </w:rPr>
        <w:t>副组长职责：</w:t>
      </w:r>
      <w:r>
        <w:rPr>
          <w:rFonts w:hint="eastAsia"/>
          <w:sz w:val="28"/>
          <w:szCs w:val="28"/>
        </w:rPr>
        <w:t>负责危险源辨识、风险评估及管控工作统一部署协调；方案的编制与制度建设的审核，并组织实施，并监督职责履行情况。负责隐患排查治理工作具体调度；负责隐患治理监督管理。</w:t>
      </w:r>
    </w:p>
    <w:p>
      <w:pPr>
        <w:spacing w:line="440" w:lineRule="exact"/>
        <w:ind w:left="1124" w:hanging="1124" w:hangingChars="400"/>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负责本部门风险点识别、风险分级及风险评价；负责风险管控措施的制定与实施。负责各车间隐患排查的组织实施；负责隐患治理。</w:t>
      </w:r>
    </w:p>
    <w:p>
      <w:pPr>
        <w:spacing w:line="440" w:lineRule="exact"/>
        <w:ind w:left="1124" w:hanging="1124" w:hangingChars="400"/>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pPr>
        <w:spacing w:line="440" w:lineRule="exact"/>
        <w:ind w:left="1124" w:hanging="1124" w:hangingChars="400"/>
        <w:rPr>
          <w:sz w:val="28"/>
          <w:szCs w:val="28"/>
        </w:rPr>
      </w:pPr>
      <w:r>
        <w:rPr>
          <w:rFonts w:hint="eastAsia"/>
          <w:b/>
          <w:bCs/>
          <w:sz w:val="28"/>
          <w:szCs w:val="28"/>
        </w:rPr>
        <w:t>供销部职责：</w:t>
      </w:r>
      <w:r>
        <w:rPr>
          <w:rFonts w:hint="eastAsia"/>
          <w:sz w:val="28"/>
          <w:szCs w:val="28"/>
        </w:rPr>
        <w:t>负责双重预防体系建设物资供应；负责隐患治理物资保障。</w:t>
      </w:r>
    </w:p>
    <w:p>
      <w:pPr>
        <w:spacing w:line="440" w:lineRule="exact"/>
        <w:ind w:left="1124" w:hanging="1124" w:hangingChars="400"/>
        <w:rPr>
          <w:sz w:val="28"/>
          <w:szCs w:val="28"/>
        </w:rPr>
      </w:pPr>
      <w:r>
        <w:rPr>
          <w:rFonts w:hint="eastAsia"/>
          <w:b/>
          <w:bCs/>
          <w:sz w:val="28"/>
          <w:szCs w:val="28"/>
        </w:rPr>
        <w:t>办公室职责：</w:t>
      </w:r>
      <w:r>
        <w:rPr>
          <w:rFonts w:hint="eastAsia"/>
          <w:sz w:val="28"/>
          <w:szCs w:val="28"/>
        </w:rPr>
        <w:t>负责危险源辨识、风险评估及管控工作进行中的服务工作及各部门部署工作协调。</w:t>
      </w:r>
    </w:p>
    <w:p>
      <w:pPr>
        <w:spacing w:line="440" w:lineRule="exact"/>
        <w:ind w:left="1124" w:hanging="1124" w:hangingChars="400"/>
        <w:rPr>
          <w:sz w:val="28"/>
          <w:szCs w:val="28"/>
        </w:rPr>
      </w:pPr>
      <w:r>
        <w:rPr>
          <w:rFonts w:hint="eastAsia"/>
          <w:b/>
          <w:bCs/>
          <w:sz w:val="28"/>
          <w:szCs w:val="28"/>
        </w:rPr>
        <w:t>车间主任职责：</w:t>
      </w:r>
      <w:r>
        <w:rPr>
          <w:rFonts w:hint="eastAsia"/>
          <w:sz w:val="28"/>
          <w:szCs w:val="28"/>
        </w:rPr>
        <w:t>负责本车间风险点识别、风险分级及风险评价；负责风险管控措施的制定与实施。负责本车间车间级隐患排查；负责本车间隐患整改。</w:t>
      </w:r>
    </w:p>
    <w:p>
      <w:pPr>
        <w:spacing w:line="440" w:lineRule="exact"/>
        <w:ind w:left="1124" w:hanging="1124" w:hangingChars="400"/>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pPr>
        <w:spacing w:line="440" w:lineRule="exact"/>
        <w:ind w:left="1124" w:hanging="1124" w:hangingChars="400"/>
        <w:rPr>
          <w:sz w:val="28"/>
          <w:szCs w:val="28"/>
        </w:rPr>
      </w:pPr>
      <w:r>
        <w:rPr>
          <w:rFonts w:hint="eastAsia"/>
          <w:b/>
          <w:bCs/>
          <w:sz w:val="28"/>
          <w:szCs w:val="28"/>
        </w:rPr>
        <w:t>电工职责：</w:t>
      </w:r>
      <w:r>
        <w:rPr>
          <w:rFonts w:hint="eastAsia"/>
          <w:sz w:val="28"/>
          <w:szCs w:val="28"/>
        </w:rPr>
        <w:t>负责配电室风险点识别、风险分级及风险评价；负责配电室管控措施的制定与实施；负责配电室、电气设备、电气线路的隐患排查与隐患整改。</w:t>
      </w:r>
    </w:p>
    <w:p>
      <w:pPr>
        <w:spacing w:line="440" w:lineRule="exact"/>
        <w:ind w:left="1124" w:hanging="1124" w:hangingChars="400"/>
        <w:rPr>
          <w:sz w:val="28"/>
          <w:szCs w:val="28"/>
        </w:rPr>
      </w:pPr>
      <w:r>
        <w:rPr>
          <w:rFonts w:hint="eastAsia"/>
          <w:b/>
          <w:bCs/>
          <w:sz w:val="28"/>
          <w:szCs w:val="28"/>
        </w:rPr>
        <w:t>机修工职责：</w:t>
      </w:r>
      <w:r>
        <w:rPr>
          <w:rFonts w:hint="eastAsia"/>
          <w:sz w:val="28"/>
          <w:szCs w:val="28"/>
        </w:rPr>
        <w:t>负责检维修作业的风险点识别、风险分级及风险评价；负责检维修作业风险管控措施的制定；负责检维修作业隐患排查与治理。</w:t>
      </w:r>
    </w:p>
    <w:p>
      <w:pPr>
        <w:spacing w:line="440" w:lineRule="exact"/>
        <w:ind w:left="1124" w:hanging="1124" w:hangingChars="400"/>
        <w:rPr>
          <w:sz w:val="28"/>
          <w:szCs w:val="28"/>
        </w:rPr>
      </w:pPr>
      <w:r>
        <w:rPr>
          <w:rFonts w:hint="eastAsia"/>
          <w:b/>
          <w:bCs/>
          <w:sz w:val="28"/>
          <w:szCs w:val="28"/>
        </w:rPr>
        <w:t>锅炉房人员职责：</w:t>
      </w:r>
      <w:r>
        <w:rPr>
          <w:rFonts w:hint="eastAsia"/>
          <w:sz w:val="28"/>
          <w:szCs w:val="28"/>
        </w:rPr>
        <w:t>负责锅炉房的风险点识别、风险分级及风险评价；负责锅炉房风险管控措施的制定；负责锅炉房隐患排查与治理。</w:t>
      </w:r>
    </w:p>
    <w:p>
      <w:pPr>
        <w:spacing w:line="440" w:lineRule="exact"/>
        <w:ind w:left="1124" w:hanging="1124" w:hangingChars="400"/>
        <w:rPr>
          <w:sz w:val="28"/>
          <w:szCs w:val="28"/>
        </w:rPr>
      </w:pPr>
      <w:r>
        <w:rPr>
          <w:rFonts w:hint="eastAsia"/>
          <w:b/>
          <w:bCs/>
          <w:sz w:val="28"/>
          <w:szCs w:val="28"/>
        </w:rPr>
        <w:t>一般职工职责：</w:t>
      </w:r>
      <w:r>
        <w:rPr>
          <w:rFonts w:hint="eastAsia"/>
          <w:sz w:val="28"/>
          <w:szCs w:val="28"/>
        </w:rPr>
        <w:t>参加双重预防体系建设培训；对本岗位进行风险辨识与评价；参与管控措施的制定；参与本岗位安全检查及治理。</w:t>
      </w:r>
    </w:p>
    <w:p>
      <w:pPr>
        <w:spacing w:line="440" w:lineRule="exact"/>
        <w:ind w:left="1120" w:hanging="1120" w:hangingChars="400"/>
        <w:rPr>
          <w:sz w:val="28"/>
          <w:szCs w:val="28"/>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8"/>
          <w:szCs w:val="28"/>
        </w:rPr>
      </w:pPr>
      <w:r>
        <w:rPr>
          <w:sz w:val="28"/>
        </w:rPr>
        <w:pict>
          <v:line id="_x0000_s3107" o:spid="_x0000_s3107" o:spt="20" style="position:absolute;left:0pt;flip:y;margin-left:-6.1pt;margin-top:26.45pt;height:0.05pt;width:470.15pt;z-index:251660288;mso-width-relative:page;mso-height-relative:page;" stroked="t" coordsize="21600,21600" o:gfxdata="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egeA&#10;1wAAAAkBAAAPAAAAAAAAAAEAIAAAACIAAABkcnMvZG93bnJldi54bWxQSwECFAAUAAAACACHTuJA&#10;gZbBwOkBAACdAwAADgAAAAAAAAABACAAAAAmAQAAZHJzL2Uyb0RvYy54bWxQSwUGAAAAAAYABgBZ&#10;AQAAgQUAAAAA&#10;">
            <v:path arrowok="t"/>
            <v:fill focussize="0,0"/>
            <v:stroke color="#000000"/>
            <v:imagedata o:title=""/>
            <o:lock v:ext="edit"/>
          </v:line>
        </w:pict>
      </w:r>
      <w:r>
        <w:rPr>
          <w:sz w:val="28"/>
        </w:rPr>
        <w:pict>
          <v:line id="_x0000_s3106" o:spid="_x0000_s3106" o:spt="20" style="position:absolute;left:0pt;flip:y;margin-left:-4.55pt;margin-top:1.1pt;height:0.35pt;width:467.6pt;z-index:251661312;mso-width-relative:page;mso-height-relative:page;" stroked="t" coordsize="21600,21600" o:gfxdata="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2LjHG0gAAAAYBAAAPAAAAAAAA&#10;AAEAIAAAACIAAABkcnMvZG93bnJldi54bWxQSwECFAAUAAAACACHTuJAe1yAd98BAACSAwAADgAA&#10;AAAAAAABACAAAAAhAQAAZHJzL2Uyb0RvYy54bWxQSwUGAAAAAAYABgBZAQAAcgUAAAAA&#10;">
            <v:path arrowok="t"/>
            <v:fill focussize="0,0"/>
            <v:stroke color="#000000"/>
            <v:imagedata o:title=""/>
            <o:lock v:ext="edit"/>
          </v:line>
        </w:pict>
      </w:r>
      <w:r>
        <w:rPr>
          <w:rFonts w:hint="eastAsia"/>
          <w:sz w:val="28"/>
        </w:rPr>
        <w:t>XX有限公司</w:t>
      </w:r>
      <w:r>
        <w:rPr>
          <w:rFonts w:hint="eastAsia"/>
          <w:sz w:val="28"/>
          <w:szCs w:val="28"/>
        </w:rPr>
        <w:t xml:space="preserve">                                </w:t>
      </w:r>
      <w:r>
        <w:rPr>
          <w:rFonts w:hint="eastAsia"/>
          <w:sz w:val="28"/>
          <w:szCs w:val="28"/>
          <w:lang w:eastAsia="zh-CN"/>
        </w:rPr>
        <w:t>202X</w:t>
      </w:r>
      <w:r>
        <w:rPr>
          <w:rFonts w:hint="eastAsia"/>
          <w:sz w:val="28"/>
          <w:szCs w:val="28"/>
        </w:rPr>
        <w:t>年10月01日印</w:t>
      </w:r>
    </w:p>
    <w:p>
      <w:pPr>
        <w:jc w:val="center"/>
        <w:rPr>
          <w:rFonts w:ascii="黑体" w:hAnsi="黑体" w:eastAsia="黑体" w:cs="黑体"/>
          <w:b/>
          <w:bCs/>
          <w:sz w:val="44"/>
          <w:szCs w:val="44"/>
        </w:rPr>
      </w:pPr>
      <w:r>
        <w:rPr>
          <w:rFonts w:hint="eastAsia" w:ascii="黑体" w:hAnsi="黑体" w:eastAsia="黑体" w:cs="黑体"/>
          <w:b/>
          <w:bCs/>
          <w:sz w:val="44"/>
          <w:szCs w:val="44"/>
        </w:rPr>
        <w:br w:type="page"/>
      </w:r>
    </w:p>
    <w:p>
      <w:pPr>
        <w:jc w:val="center"/>
        <w:rPr>
          <w:b/>
          <w:bCs/>
          <w:color w:val="FF0000"/>
          <w:w w:val="66"/>
          <w:sz w:val="72"/>
          <w:szCs w:val="72"/>
        </w:rPr>
      </w:pPr>
    </w:p>
    <w:p>
      <w:pPr>
        <w:jc w:val="center"/>
        <w:rPr>
          <w:w w:val="66"/>
        </w:rPr>
      </w:pPr>
      <w:bookmarkStart w:id="29" w:name="_Toc8017_WPSOffice_Level1"/>
      <w:bookmarkStart w:id="30" w:name="_Toc7484_WPSOffice_Level1"/>
      <w:bookmarkStart w:id="31" w:name="_Toc23234_WPSOffice_Level1"/>
      <w:bookmarkStart w:id="32" w:name="_Toc31189_WPSOffice_Level1"/>
      <w:bookmarkStart w:id="33" w:name="_Toc2915_WPSOffice_Level1"/>
      <w:bookmarkStart w:id="34" w:name="_Toc24920_WPSOffice_Level1"/>
      <w:bookmarkStart w:id="35" w:name="_Toc13300_WPSOffice_Level1"/>
      <w:bookmarkStart w:id="36" w:name="_Toc30696_WPSOffice_Level1"/>
      <w:bookmarkStart w:id="37" w:name="_Toc26136_WPSOffice_Level1"/>
      <w:r>
        <w:rPr>
          <w:rFonts w:hint="eastAsia"/>
          <w:b/>
          <w:bCs/>
          <w:color w:val="FF0000"/>
          <w:w w:val="66"/>
          <w:sz w:val="72"/>
          <w:szCs w:val="72"/>
        </w:rPr>
        <w:t>XX有限公司文件</w:t>
      </w:r>
      <w:bookmarkEnd w:id="29"/>
      <w:bookmarkEnd w:id="30"/>
      <w:bookmarkEnd w:id="31"/>
      <w:bookmarkEnd w:id="32"/>
      <w:bookmarkEnd w:id="33"/>
      <w:bookmarkEnd w:id="34"/>
      <w:bookmarkEnd w:id="35"/>
      <w:bookmarkEnd w:id="36"/>
      <w:bookmarkEnd w:id="37"/>
    </w:p>
    <w:p/>
    <w:p>
      <w:pPr>
        <w:jc w:val="center"/>
        <w:rPr>
          <w:sz w:val="28"/>
          <w:szCs w:val="28"/>
        </w:rPr>
      </w:pPr>
      <w:r>
        <w:rPr>
          <w:sz w:val="28"/>
        </w:rPr>
        <w:pict>
          <v:line id="_x0000_s3105" o:spid="_x0000_s3105" o:spt="20" style="position:absolute;left:0pt;margin-left:8.5pt;margin-top:28.55pt;height:0pt;width:441.4pt;z-index:251662336;mso-width-relative:page;mso-height-relative:page;" stroked="t" coordsize="21600,21600" o:gfxdata="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qsipi1gAAAAgBAAAPAAAAAAAAAAEAIAAAACIAAABk&#10;cnMvZG93bnJldi54bWxQSwECFAAUAAAACACHTuJA+AMxAs8BAABYAwAADgAAAAAAAAABACAAAAAl&#10;AQAAZHJzL2Uyb0RvYy54bWxQSwUGAAAAAAYABgBZAQAAZgUAAAAA&#10;">
            <v:path arrowok="t"/>
            <v:fill focussize="0,0"/>
            <v:stroke weight="2.25pt" color="#FF0000"/>
            <v:imagedata o:title=""/>
            <o:lock v:ext="edit"/>
          </v:line>
        </w:pict>
      </w:r>
      <w:r>
        <w:rPr>
          <w:rFonts w:hint="eastAsia"/>
          <w:sz w:val="28"/>
        </w:rPr>
        <w:t>XX</w:t>
      </w:r>
      <w:r>
        <w:rPr>
          <w:rFonts w:hint="eastAsia"/>
          <w:sz w:val="28"/>
          <w:szCs w:val="28"/>
        </w:rPr>
        <w:t>字【</w:t>
      </w:r>
      <w:r>
        <w:rPr>
          <w:rFonts w:hint="eastAsia"/>
          <w:sz w:val="28"/>
          <w:szCs w:val="28"/>
          <w:lang w:eastAsia="zh-CN"/>
        </w:rPr>
        <w:t>202X</w:t>
      </w:r>
      <w:r>
        <w:rPr>
          <w:rFonts w:hint="eastAsia"/>
          <w:sz w:val="28"/>
          <w:szCs w:val="28"/>
        </w:rPr>
        <w:t>】第14号</w:t>
      </w:r>
    </w:p>
    <w:p/>
    <w:p>
      <w:pPr>
        <w:spacing w:line="360" w:lineRule="auto"/>
        <w:ind w:firstLine="560" w:firstLineChars="200"/>
        <w:rPr>
          <w:sz w:val="28"/>
          <w:szCs w:val="28"/>
        </w:rPr>
      </w:pPr>
    </w:p>
    <w:p>
      <w:pPr>
        <w:pStyle w:val="2"/>
      </w:pPr>
      <w:bookmarkStart w:id="38" w:name="_Toc9389"/>
      <w:bookmarkStart w:id="39" w:name="_Toc21268_WPSOffice_Level2"/>
      <w:r>
        <w:rPr>
          <w:rFonts w:hint="eastAsia"/>
        </w:rPr>
        <w:t>关于下发安全生产双重预防体系建设实施方案的通知</w:t>
      </w:r>
      <w:bookmarkEnd w:id="38"/>
      <w:bookmarkEnd w:id="39"/>
    </w:p>
    <w:p>
      <w:pPr>
        <w:spacing w:line="480" w:lineRule="exact"/>
        <w:ind w:firstLine="560" w:firstLineChars="200"/>
        <w:rPr>
          <w:sz w:val="28"/>
          <w:szCs w:val="28"/>
        </w:rPr>
      </w:pPr>
    </w:p>
    <w:p>
      <w:pPr>
        <w:spacing w:line="360" w:lineRule="auto"/>
        <w:rPr>
          <w:sz w:val="28"/>
          <w:szCs w:val="28"/>
        </w:rPr>
      </w:pPr>
      <w:r>
        <w:rPr>
          <w:rFonts w:hint="eastAsia"/>
          <w:sz w:val="28"/>
          <w:szCs w:val="28"/>
        </w:rPr>
        <w:t>各岗位职工：</w:t>
      </w:r>
    </w:p>
    <w:p>
      <w:pPr>
        <w:spacing w:line="360" w:lineRule="auto"/>
        <w:ind w:firstLine="560" w:firstLineChars="200"/>
        <w:rPr>
          <w:sz w:val="28"/>
          <w:szCs w:val="28"/>
        </w:rPr>
      </w:pPr>
      <w:r>
        <w:rPr>
          <w:rFonts w:hint="eastAsia"/>
          <w:sz w:val="28"/>
          <w:szCs w:val="28"/>
        </w:rPr>
        <w:t>为贯彻落实山东省人民政府安全生产委员会《关于进一步加强风险分级管控与隐患排查治理“双重预防体系”建设工作的通知》鲁安发〔2017〕12号、省安委会办公室关于印发《</w:t>
      </w:r>
      <w:r>
        <w:rPr>
          <w:rFonts w:hint="eastAsia"/>
          <w:sz w:val="28"/>
          <w:szCs w:val="28"/>
          <w:lang w:eastAsia="zh-CN"/>
        </w:rPr>
        <w:t>202X</w:t>
      </w:r>
      <w:r>
        <w:rPr>
          <w:rFonts w:hint="eastAsia"/>
          <w:sz w:val="28"/>
          <w:szCs w:val="28"/>
        </w:rPr>
        <w:t>年全省安全生产风险分级管控和隐患排查治理双重预防体系建设推进工作方案》的通知（鲁安办发﹝</w:t>
      </w:r>
      <w:r>
        <w:rPr>
          <w:rFonts w:hint="eastAsia"/>
          <w:sz w:val="28"/>
          <w:szCs w:val="28"/>
          <w:lang w:eastAsia="zh-CN"/>
        </w:rPr>
        <w:t>202X</w:t>
      </w:r>
      <w:r>
        <w:rPr>
          <w:rFonts w:hint="eastAsia"/>
          <w:sz w:val="28"/>
          <w:szCs w:val="28"/>
        </w:rPr>
        <w:t>﹞29号）等相关文件要求，切实提高本公司安全管理水平，加强风险分级管控，尽快完成安全风险分级管控体系建设工作，本公司安全生产双重预防体系建设领导小组编制了《安全生产双重预防体系建设实施方案》，各岗位职工应认真学习方案内容，按照时间要求完成本公司安全生产双重预防体系建设工作。</w:t>
      </w:r>
    </w:p>
    <w:p>
      <w:pPr>
        <w:spacing w:line="360" w:lineRule="auto"/>
        <w:rPr>
          <w:sz w:val="28"/>
          <w:szCs w:val="28"/>
        </w:rPr>
      </w:pPr>
    </w:p>
    <w:p>
      <w:pPr>
        <w:spacing w:line="360" w:lineRule="auto"/>
        <w:ind w:firstLine="6465" w:firstLineChars="2300"/>
        <w:rPr>
          <w:b/>
          <w:bCs/>
          <w:sz w:val="28"/>
          <w:szCs w:val="28"/>
        </w:rPr>
      </w:pPr>
      <w:r>
        <w:rPr>
          <w:rFonts w:hint="eastAsia"/>
          <w:b/>
          <w:bCs/>
          <w:sz w:val="28"/>
          <w:szCs w:val="28"/>
        </w:rPr>
        <w:t>总经理：</w:t>
      </w:r>
    </w:p>
    <w:p>
      <w:pPr>
        <w:spacing w:line="360" w:lineRule="auto"/>
        <w:ind w:firstLine="560" w:firstLineChars="200"/>
        <w:jc w:val="right"/>
        <w:rPr>
          <w:sz w:val="28"/>
          <w:szCs w:val="28"/>
        </w:rPr>
      </w:pPr>
    </w:p>
    <w:p>
      <w:pPr>
        <w:spacing w:line="360" w:lineRule="auto"/>
        <w:rPr>
          <w:sz w:val="28"/>
          <w:szCs w:val="28"/>
        </w:rPr>
      </w:pPr>
      <w:r>
        <w:rPr>
          <w:sz w:val="28"/>
        </w:rPr>
        <w:pict>
          <v:line id="_x0000_s3104" o:spid="_x0000_s3104" o:spt="20" style="position:absolute;left:0pt;flip:y;margin-left:-6.1pt;margin-top:26.35pt;height:0.15pt;width:472.5pt;z-index:251663360;mso-width-relative:page;mso-height-relative:page;" stroked="t" coordsize="21600,21600" o:gfxdata="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zTqq&#10;+NcAAAAJAQAADwAAAAAAAAABACAAAAAiAAAAZHJzL2Rvd25yZXYueG1sUEsBAhQAFAAAAAgAh07i&#10;QLSumbrqAQAAngMAAA4AAAAAAAAAAQAgAAAAJgEAAGRycy9lMm9Eb2MueG1sUEsFBgAAAAAGAAYA&#10;WQEAAIIFAAAAAA==&#10;">
            <v:path arrowok="t"/>
            <v:fill focussize="0,0"/>
            <v:stroke color="#000000"/>
            <v:imagedata o:title=""/>
            <o:lock v:ext="edit"/>
          </v:line>
        </w:pict>
      </w:r>
      <w:r>
        <w:rPr>
          <w:sz w:val="28"/>
        </w:rPr>
        <w:pict>
          <v:line id="_x0000_s3103" o:spid="_x0000_s3103" o:spt="20" style="position:absolute;left:0pt;flip:y;margin-left:-4.55pt;margin-top:1pt;height:0.45pt;width:469.8pt;z-index:251664384;mso-width-relative:page;mso-height-relative:page;" stroked="t" coordsize="21600,21600" o:gfxdata="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MxBBXUAAAABgEAAA8AAAAA&#10;AAAAAQAgAAAAIgAAAGRycy9kb3ducmV2LnhtbFBLAQIUABQAAAAIAIdO4kDA9EPy3wEAAJIDAAAO&#10;AAAAAAAAAAEAIAAAACMBAABkcnMvZTJvRG9jLnhtbFBLBQYAAAAABgAGAFkBAAB0BQAAAAA=&#10;">
            <v:path arrowok="t"/>
            <v:fill focussize="0,0"/>
            <v:stroke color="#000000"/>
            <v:imagedata o:title=""/>
            <o:lock v:ext="edit"/>
          </v:line>
        </w:pict>
      </w:r>
      <w:r>
        <w:rPr>
          <w:rFonts w:hint="eastAsia"/>
          <w:sz w:val="28"/>
        </w:rPr>
        <w:t xml:space="preserve">XX有限公司   </w:t>
      </w:r>
      <w:r>
        <w:rPr>
          <w:rFonts w:hint="eastAsia"/>
          <w:sz w:val="28"/>
          <w:szCs w:val="28"/>
        </w:rPr>
        <w:t xml:space="preserve">                              </w:t>
      </w:r>
      <w:r>
        <w:rPr>
          <w:rFonts w:hint="eastAsia"/>
          <w:sz w:val="28"/>
          <w:szCs w:val="28"/>
          <w:lang w:eastAsia="zh-CN"/>
        </w:rPr>
        <w:t>202X</w:t>
      </w:r>
      <w:r>
        <w:rPr>
          <w:rFonts w:hint="eastAsia"/>
          <w:sz w:val="28"/>
          <w:szCs w:val="28"/>
        </w:rPr>
        <w:t>年10月03日印</w:t>
      </w:r>
    </w:p>
    <w:p>
      <w:pPr>
        <w:spacing w:line="360" w:lineRule="auto"/>
        <w:rPr>
          <w:sz w:val="28"/>
          <w:szCs w:val="28"/>
        </w:rPr>
      </w:pPr>
      <w:r>
        <w:rPr>
          <w:rFonts w:hint="eastAsia"/>
          <w:sz w:val="28"/>
          <w:szCs w:val="28"/>
        </w:rPr>
        <w:br w:type="page"/>
      </w:r>
    </w:p>
    <w:p>
      <w:pPr>
        <w:spacing w:line="360" w:lineRule="auto"/>
        <w:rPr>
          <w:sz w:val="28"/>
          <w:szCs w:val="28"/>
        </w:rPr>
      </w:pPr>
    </w:p>
    <w:p>
      <w:pPr>
        <w:pStyle w:val="2"/>
      </w:pPr>
      <w:bookmarkStart w:id="40" w:name="_Toc21221_WPSOffice_Level2"/>
      <w:bookmarkStart w:id="41" w:name="_Toc30438"/>
      <w:r>
        <w:rPr>
          <w:rFonts w:hint="eastAsia"/>
        </w:rPr>
        <w:t>安全生产双重预防体系建设实施方案</w:t>
      </w:r>
      <w:bookmarkEnd w:id="40"/>
      <w:bookmarkEnd w:id="41"/>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w:t>
      </w:r>
      <w:r>
        <w:rPr>
          <w:rFonts w:hint="eastAsia" w:ascii="Times New Roman" w:hAnsi="Times New Roman" w:eastAsia="宋体" w:cs="Times New Roman"/>
          <w:sz w:val="28"/>
          <w:szCs w:val="28"/>
          <w:lang w:eastAsia="zh-CN"/>
        </w:rPr>
        <w:t>202X</w:t>
      </w:r>
      <w:r>
        <w:rPr>
          <w:rFonts w:hint="eastAsia" w:ascii="Times New Roman" w:hAnsi="Times New Roman" w:eastAsia="宋体" w:cs="Times New Roman"/>
          <w:sz w:val="28"/>
          <w:szCs w:val="28"/>
        </w:rPr>
        <w:t>年全省安全生产风险分级管控和隐患排查治理双重预防体系建设推进工作方案》的通知（鲁安办发﹝</w:t>
      </w:r>
      <w:r>
        <w:rPr>
          <w:rFonts w:hint="eastAsia" w:ascii="Times New Roman" w:hAnsi="Times New Roman" w:eastAsia="宋体" w:cs="Times New Roman"/>
          <w:sz w:val="28"/>
          <w:szCs w:val="28"/>
          <w:lang w:eastAsia="zh-CN"/>
        </w:rPr>
        <w:t>202X</w:t>
      </w:r>
      <w:r>
        <w:rPr>
          <w:rFonts w:hint="eastAsia" w:ascii="Times New Roman" w:hAnsi="Times New Roman" w:eastAsia="宋体" w:cs="Times New Roman"/>
          <w:sz w:val="28"/>
          <w:szCs w:val="28"/>
        </w:rPr>
        <w:t>﹞29号）、《关于深化企业安全生产标准化工作促进风险分级管控与隐患排查治理双重预防体系建设的通知》鲁安办发﹝</w:t>
      </w:r>
      <w:r>
        <w:rPr>
          <w:rFonts w:hint="eastAsia" w:ascii="Times New Roman" w:hAnsi="Times New Roman" w:eastAsia="宋体" w:cs="Times New Roman"/>
          <w:sz w:val="28"/>
          <w:szCs w:val="28"/>
          <w:lang w:eastAsia="zh-CN"/>
        </w:rPr>
        <w:t>202X</w:t>
      </w:r>
      <w:r>
        <w:rPr>
          <w:rFonts w:hint="eastAsia" w:ascii="Times New Roman" w:hAnsi="Times New Roman" w:eastAsia="宋体" w:cs="Times New Roman"/>
          <w:sz w:val="28"/>
          <w:szCs w:val="28"/>
        </w:rPr>
        <w:t>﹞33号等相关文件要求，切实提高本公司安全管理水平，加强风险分级管控，确保生产安全</w:t>
      </w:r>
      <w:r>
        <w:rPr>
          <w:rFonts w:ascii="Times New Roman" w:hAnsi="Times New Roman" w:eastAsia="宋体" w:cs="Times New Roman"/>
          <w:sz w:val="28"/>
          <w:szCs w:val="28"/>
        </w:rPr>
        <w:t>，</w:t>
      </w:r>
      <w:r>
        <w:rPr>
          <w:rFonts w:hint="eastAsia" w:ascii="Times New Roman" w:hAnsi="Times New Roman" w:eastAsia="宋体" w:cs="Times New Roman"/>
          <w:sz w:val="28"/>
          <w:szCs w:val="28"/>
        </w:rPr>
        <w:t>制定本方案。</w:t>
      </w:r>
      <w:r>
        <w:rPr>
          <w:rFonts w:ascii="Times New Roman" w:hAnsi="Times New Roman" w:eastAsia="宋体" w:cs="Times New Roman"/>
          <w:sz w:val="28"/>
          <w:szCs w:val="28"/>
        </w:rPr>
        <w:t> </w:t>
      </w:r>
    </w:p>
    <w:p>
      <w:pPr>
        <w:ind w:firstLine="562" w:firstLineChars="200"/>
        <w:rPr>
          <w:rFonts w:ascii="Times New Roman" w:hAnsi="Times New Roman" w:eastAsia="宋体" w:cs="Times New Roman"/>
          <w:b/>
          <w:bCs/>
          <w:sz w:val="28"/>
          <w:szCs w:val="28"/>
        </w:rPr>
      </w:pPr>
      <w:bookmarkStart w:id="42" w:name="_Toc9918_WPSOffice_Level2"/>
      <w:bookmarkStart w:id="43" w:name="_Toc14232_WPSOffice_Level2"/>
      <w:bookmarkStart w:id="44" w:name="_Toc24341_WPSOffice_Level2"/>
      <w:bookmarkStart w:id="45" w:name="_Toc5535_WPSOffice_Level2"/>
      <w:bookmarkStart w:id="46" w:name="_Toc8117_WPSOffice_Level2"/>
      <w:bookmarkStart w:id="47" w:name="_Toc23234_WPSOffice_Level2"/>
      <w:bookmarkStart w:id="48" w:name="_Toc27042_WPSOffice_Level2"/>
      <w:bookmarkStart w:id="49" w:name="_Toc7484_WPSOffice_Level2"/>
      <w:bookmarkStart w:id="50" w:name="_Toc18729_WPSOffice_Level2"/>
      <w:r>
        <w:rPr>
          <w:rFonts w:hint="eastAsia" w:ascii="Times New Roman" w:hAnsi="Times New Roman" w:eastAsia="宋体" w:cs="Times New Roman"/>
          <w:b/>
          <w:bCs/>
          <w:sz w:val="28"/>
          <w:szCs w:val="28"/>
        </w:rPr>
        <w:t>一、工作分工</w:t>
      </w:r>
      <w:bookmarkEnd w:id="42"/>
      <w:bookmarkEnd w:id="43"/>
      <w:bookmarkEnd w:id="44"/>
      <w:bookmarkEnd w:id="45"/>
      <w:bookmarkEnd w:id="46"/>
      <w:bookmarkEnd w:id="47"/>
      <w:bookmarkEnd w:id="48"/>
      <w:bookmarkEnd w:id="49"/>
      <w:bookmarkEnd w:id="50"/>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为保证该项工作有效开展，并落到实处，本公司成立了“双重预防体系”建设领导小组，其成员任命如下：</w:t>
      </w:r>
    </w:p>
    <w:p>
      <w:pPr>
        <w:ind w:firstLine="562" w:firstLineChars="200"/>
        <w:rPr>
          <w:rFonts w:ascii="Times New Roman" w:hAnsi="Times New Roman" w:eastAsia="宋体" w:cs="Times New Roman"/>
          <w:sz w:val="28"/>
          <w:szCs w:val="28"/>
        </w:rPr>
      </w:pPr>
      <w:r>
        <w:rPr>
          <w:rFonts w:hint="eastAsia" w:ascii="Times New Roman" w:hAnsi="Times New Roman" w:eastAsia="宋体" w:cs="Times New Roman"/>
          <w:b/>
          <w:bCs/>
          <w:sz w:val="28"/>
          <w:szCs w:val="28"/>
        </w:rPr>
        <w:t>组  长：</w:t>
      </w:r>
      <w:r>
        <w:rPr>
          <w:rFonts w:hint="eastAsia" w:ascii="Times New Roman" w:hAnsi="Times New Roman" w:eastAsia="宋体" w:cs="Times New Roman"/>
          <w:sz w:val="28"/>
          <w:szCs w:val="28"/>
        </w:rPr>
        <w:t>XX</w:t>
      </w:r>
    </w:p>
    <w:p>
      <w:pPr>
        <w:ind w:firstLine="562" w:firstLineChars="200"/>
        <w:rPr>
          <w:rFonts w:ascii="Times New Roman" w:hAnsi="Times New Roman" w:eastAsia="宋体" w:cs="Times New Roman"/>
          <w:sz w:val="28"/>
          <w:szCs w:val="28"/>
        </w:rPr>
      </w:pPr>
      <w:r>
        <w:rPr>
          <w:rFonts w:hint="eastAsia" w:ascii="Times New Roman" w:hAnsi="Times New Roman" w:eastAsia="宋体" w:cs="Times New Roman"/>
          <w:b/>
          <w:bCs/>
          <w:sz w:val="28"/>
          <w:szCs w:val="28"/>
        </w:rPr>
        <w:t>副组长：</w:t>
      </w:r>
      <w:r>
        <w:rPr>
          <w:rFonts w:hint="eastAsia" w:ascii="Times New Roman" w:hAnsi="Times New Roman" w:eastAsia="宋体" w:cs="Times New Roman"/>
          <w:sz w:val="28"/>
          <w:szCs w:val="28"/>
        </w:rPr>
        <w:t>XX</w:t>
      </w:r>
    </w:p>
    <w:p>
      <w:pPr>
        <w:ind w:firstLine="562" w:firstLineChars="200"/>
        <w:rPr>
          <w:rFonts w:ascii="Times New Roman" w:hAnsi="Times New Roman" w:eastAsia="宋体" w:cs="Times New Roman"/>
          <w:sz w:val="28"/>
          <w:szCs w:val="28"/>
        </w:rPr>
      </w:pPr>
      <w:r>
        <w:rPr>
          <w:rFonts w:hint="eastAsia" w:ascii="Times New Roman" w:hAnsi="Times New Roman" w:eastAsia="宋体" w:cs="Times New Roman"/>
          <w:b/>
          <w:bCs/>
          <w:sz w:val="28"/>
          <w:szCs w:val="28"/>
        </w:rPr>
        <w:t>成  员：</w:t>
      </w:r>
      <w:r>
        <w:rPr>
          <w:rFonts w:hint="eastAsia" w:ascii="Times New Roman" w:hAnsi="Times New Roman" w:eastAsia="宋体" w:cs="Times New Roman"/>
          <w:sz w:val="28"/>
          <w:szCs w:val="28"/>
        </w:rPr>
        <w:t>XX、XX、XX</w:t>
      </w:r>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安全生产双重预防体系建设分工如下：</w:t>
      </w:r>
    </w:p>
    <w:p>
      <w:pPr>
        <w:spacing w:line="440" w:lineRule="exact"/>
        <w:ind w:left="1124" w:hanging="1124" w:hangingChars="400"/>
        <w:rPr>
          <w:sz w:val="28"/>
          <w:szCs w:val="28"/>
        </w:rPr>
      </w:pPr>
      <w:r>
        <w:rPr>
          <w:rFonts w:hint="eastAsia"/>
          <w:b/>
          <w:bCs/>
          <w:sz w:val="28"/>
          <w:szCs w:val="28"/>
        </w:rPr>
        <w:t>组长职责：</w:t>
      </w:r>
      <w:r>
        <w:rPr>
          <w:rFonts w:hint="eastAsia"/>
          <w:sz w:val="28"/>
          <w:szCs w:val="28"/>
        </w:rPr>
        <w:t>全面负责组织风险分级管控工作，为该项工作的开展提供必要的人力、物力、财力支持，统一思想，提高全员意识，提供组织保障，督促各岗位人员做好分管范围内的风险分级管控工作。负责隐患排查治理体系工作部署；负责隐患治理监督。</w:t>
      </w:r>
    </w:p>
    <w:p>
      <w:pPr>
        <w:spacing w:line="440" w:lineRule="exact"/>
        <w:ind w:left="1124" w:hanging="1124" w:hangingChars="400"/>
        <w:rPr>
          <w:sz w:val="28"/>
          <w:szCs w:val="28"/>
        </w:rPr>
      </w:pPr>
      <w:r>
        <w:rPr>
          <w:rFonts w:hint="eastAsia"/>
          <w:b/>
          <w:bCs/>
          <w:sz w:val="28"/>
          <w:szCs w:val="28"/>
        </w:rPr>
        <w:t>副组长职责：</w:t>
      </w:r>
      <w:r>
        <w:rPr>
          <w:rFonts w:hint="eastAsia"/>
          <w:sz w:val="28"/>
          <w:szCs w:val="28"/>
        </w:rPr>
        <w:t>负责危险源辨识、风险评估及管控工作统一部署协调；方案的编制与制度建设的审核，并组织实施，并监督职责履行情况。负责隐患排查治理工作具体调度；负责隐患治理监督管理。</w:t>
      </w:r>
    </w:p>
    <w:p>
      <w:pPr>
        <w:spacing w:line="440" w:lineRule="exact"/>
        <w:ind w:left="1124" w:hanging="1124" w:hangingChars="400"/>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负责本部门风险点识别、风险分级及风险评价；负责风险管控措施的制定与实施。负责各车间隐患排查的组织实施；负责隐患治理。</w:t>
      </w:r>
    </w:p>
    <w:p>
      <w:pPr>
        <w:spacing w:line="440" w:lineRule="exact"/>
        <w:ind w:left="1124" w:hanging="1124" w:hangingChars="400"/>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pPr>
        <w:spacing w:line="440" w:lineRule="exact"/>
        <w:ind w:left="1124" w:hanging="1124" w:hangingChars="400"/>
        <w:rPr>
          <w:sz w:val="28"/>
          <w:szCs w:val="28"/>
        </w:rPr>
      </w:pPr>
      <w:r>
        <w:rPr>
          <w:rFonts w:hint="eastAsia"/>
          <w:b/>
          <w:bCs/>
          <w:sz w:val="28"/>
          <w:szCs w:val="28"/>
        </w:rPr>
        <w:t>供销部职责：</w:t>
      </w:r>
      <w:r>
        <w:rPr>
          <w:rFonts w:hint="eastAsia"/>
          <w:sz w:val="28"/>
          <w:szCs w:val="28"/>
        </w:rPr>
        <w:t>负责双重预防体系建设物资供应；负责隐患治理物资保障。</w:t>
      </w:r>
    </w:p>
    <w:p>
      <w:pPr>
        <w:spacing w:line="440" w:lineRule="exact"/>
        <w:ind w:left="1124" w:hanging="1124" w:hangingChars="400"/>
        <w:rPr>
          <w:sz w:val="28"/>
          <w:szCs w:val="28"/>
        </w:rPr>
      </w:pPr>
      <w:r>
        <w:rPr>
          <w:rFonts w:hint="eastAsia"/>
          <w:b/>
          <w:bCs/>
          <w:sz w:val="28"/>
          <w:szCs w:val="28"/>
        </w:rPr>
        <w:t>办公室职责：</w:t>
      </w:r>
      <w:r>
        <w:rPr>
          <w:rFonts w:hint="eastAsia"/>
          <w:sz w:val="28"/>
          <w:szCs w:val="28"/>
        </w:rPr>
        <w:t>负责危险源辨识、风险评估及管控工作进行中的服务工作及各部门部署工作协调。</w:t>
      </w:r>
    </w:p>
    <w:p>
      <w:pPr>
        <w:spacing w:line="440" w:lineRule="exact"/>
        <w:ind w:left="1124" w:hanging="1124" w:hangingChars="400"/>
        <w:rPr>
          <w:sz w:val="28"/>
          <w:szCs w:val="28"/>
        </w:rPr>
      </w:pPr>
      <w:r>
        <w:rPr>
          <w:rFonts w:hint="eastAsia"/>
          <w:b/>
          <w:bCs/>
          <w:sz w:val="28"/>
          <w:szCs w:val="28"/>
        </w:rPr>
        <w:t>车间主任职责：</w:t>
      </w:r>
      <w:r>
        <w:rPr>
          <w:rFonts w:hint="eastAsia"/>
          <w:sz w:val="28"/>
          <w:szCs w:val="28"/>
        </w:rPr>
        <w:t>负责本车间风险点识别、风险分级及风险评价；负责风险管控措施的制定与实施。负责本车间车间级隐患排查；负责本车间隐患整改。</w:t>
      </w:r>
    </w:p>
    <w:p>
      <w:pPr>
        <w:spacing w:line="440" w:lineRule="exact"/>
        <w:ind w:left="1124" w:hanging="1124" w:hangingChars="400"/>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pPr>
        <w:spacing w:line="440" w:lineRule="exact"/>
        <w:ind w:left="1124" w:hanging="1124" w:hangingChars="400"/>
        <w:rPr>
          <w:sz w:val="28"/>
          <w:szCs w:val="28"/>
        </w:rPr>
      </w:pPr>
      <w:r>
        <w:rPr>
          <w:rFonts w:hint="eastAsia"/>
          <w:b/>
          <w:bCs/>
          <w:sz w:val="28"/>
          <w:szCs w:val="28"/>
        </w:rPr>
        <w:t>电工职责：</w:t>
      </w:r>
      <w:r>
        <w:rPr>
          <w:rFonts w:hint="eastAsia"/>
          <w:sz w:val="28"/>
          <w:szCs w:val="28"/>
        </w:rPr>
        <w:t>负责配电室风险点识别、风险分级及风险评价；负责配电室管控措施的制定与实施；负责配电室、电气设备、电气线路的隐患排查与隐患整改。</w:t>
      </w:r>
    </w:p>
    <w:p>
      <w:pPr>
        <w:spacing w:line="440" w:lineRule="exact"/>
        <w:ind w:left="1124" w:hanging="1124" w:hangingChars="400"/>
        <w:rPr>
          <w:sz w:val="28"/>
          <w:szCs w:val="28"/>
        </w:rPr>
      </w:pPr>
      <w:r>
        <w:rPr>
          <w:rFonts w:hint="eastAsia"/>
          <w:b/>
          <w:bCs/>
          <w:sz w:val="28"/>
          <w:szCs w:val="28"/>
        </w:rPr>
        <w:t>机修工职责：</w:t>
      </w:r>
      <w:r>
        <w:rPr>
          <w:rFonts w:hint="eastAsia"/>
          <w:sz w:val="28"/>
          <w:szCs w:val="28"/>
        </w:rPr>
        <w:t>负责检维修作业的风险点识别、风险分级及风险评价；负责检维修作业风险管控措施的制定；负责检维修作业隐患排查与治理。</w:t>
      </w:r>
    </w:p>
    <w:p>
      <w:pPr>
        <w:spacing w:line="440" w:lineRule="exact"/>
        <w:ind w:left="1124" w:hanging="1124" w:hangingChars="400"/>
        <w:rPr>
          <w:sz w:val="28"/>
          <w:szCs w:val="28"/>
        </w:rPr>
      </w:pPr>
      <w:r>
        <w:rPr>
          <w:rFonts w:hint="eastAsia"/>
          <w:b/>
          <w:bCs/>
          <w:sz w:val="28"/>
          <w:szCs w:val="28"/>
        </w:rPr>
        <w:t>锅炉房人员职责：</w:t>
      </w:r>
      <w:r>
        <w:rPr>
          <w:rFonts w:hint="eastAsia"/>
          <w:sz w:val="28"/>
          <w:szCs w:val="28"/>
        </w:rPr>
        <w:t>负责锅炉房的风险点识别、风险分级及风险评价；负责锅炉房风险管控措施的制定；负责锅炉房隐患排查与治理。</w:t>
      </w:r>
    </w:p>
    <w:p>
      <w:pPr>
        <w:spacing w:line="360" w:lineRule="auto"/>
        <w:ind w:left="1124" w:hanging="1124" w:hangingChars="400"/>
        <w:rPr>
          <w:sz w:val="28"/>
          <w:szCs w:val="28"/>
        </w:rPr>
      </w:pPr>
      <w:r>
        <w:rPr>
          <w:rFonts w:hint="eastAsia"/>
          <w:b/>
          <w:bCs/>
          <w:sz w:val="28"/>
          <w:szCs w:val="28"/>
        </w:rPr>
        <w:t>一般职工职责：</w:t>
      </w:r>
      <w:r>
        <w:rPr>
          <w:rFonts w:hint="eastAsia"/>
          <w:sz w:val="28"/>
          <w:szCs w:val="28"/>
        </w:rPr>
        <w:t>参加双重预防体系建设培训；对本岗位进行风险辨识与评价；参与管控措施的制定；参与本岗位安全检查及治理。</w:t>
      </w:r>
    </w:p>
    <w:p>
      <w:pPr>
        <w:ind w:firstLine="562" w:firstLineChars="200"/>
        <w:rPr>
          <w:rFonts w:ascii="Times New Roman" w:hAnsi="Times New Roman" w:eastAsia="宋体" w:cs="Times New Roman"/>
          <w:b/>
          <w:bCs/>
          <w:sz w:val="28"/>
          <w:szCs w:val="28"/>
        </w:rPr>
      </w:pPr>
      <w:bookmarkStart w:id="51" w:name="_Toc11200_WPSOffice_Level2"/>
      <w:bookmarkStart w:id="52" w:name="_Toc18349_WPSOffice_Level2"/>
      <w:bookmarkStart w:id="53" w:name="_Toc7928_WPSOffice_Level2"/>
      <w:bookmarkStart w:id="54" w:name="_Toc11011_WPSOffice_Level2"/>
      <w:bookmarkStart w:id="55" w:name="_Toc31265_WPSOffice_Level2"/>
      <w:bookmarkStart w:id="56" w:name="_Toc5258_WPSOffice_Level2"/>
      <w:bookmarkStart w:id="57" w:name="_Toc14242_WPSOffice_Level2"/>
      <w:bookmarkStart w:id="58" w:name="_Toc16637_WPSOffice_Level2"/>
      <w:bookmarkStart w:id="59" w:name="_Toc22329_WPSOffice_Level2"/>
      <w:r>
        <w:rPr>
          <w:rFonts w:hint="eastAsia" w:ascii="Times New Roman" w:hAnsi="Times New Roman" w:eastAsia="宋体" w:cs="Times New Roman"/>
          <w:b/>
          <w:bCs/>
          <w:sz w:val="28"/>
          <w:szCs w:val="28"/>
        </w:rPr>
        <w:t>二</w:t>
      </w:r>
      <w:r>
        <w:rPr>
          <w:rFonts w:ascii="Times New Roman" w:hAnsi="Times New Roman" w:eastAsia="宋体" w:cs="Times New Roman"/>
          <w:b/>
          <w:bCs/>
          <w:sz w:val="28"/>
          <w:szCs w:val="28"/>
        </w:rPr>
        <w:t>、</w:t>
      </w:r>
      <w:r>
        <w:rPr>
          <w:rFonts w:hint="eastAsia" w:ascii="Times New Roman" w:hAnsi="Times New Roman" w:eastAsia="宋体" w:cs="Times New Roman"/>
          <w:b/>
          <w:bCs/>
          <w:sz w:val="28"/>
          <w:szCs w:val="28"/>
        </w:rPr>
        <w:t>工作</w:t>
      </w:r>
      <w:r>
        <w:rPr>
          <w:rFonts w:ascii="Times New Roman" w:hAnsi="Times New Roman" w:eastAsia="宋体" w:cs="Times New Roman"/>
          <w:b/>
          <w:bCs/>
          <w:sz w:val="28"/>
          <w:szCs w:val="28"/>
        </w:rPr>
        <w:t>目标 </w:t>
      </w:r>
      <w:bookmarkEnd w:id="51"/>
      <w:bookmarkEnd w:id="52"/>
      <w:bookmarkEnd w:id="53"/>
      <w:bookmarkEnd w:id="54"/>
      <w:bookmarkEnd w:id="55"/>
      <w:bookmarkEnd w:id="56"/>
      <w:bookmarkEnd w:id="57"/>
      <w:bookmarkEnd w:id="58"/>
      <w:bookmarkEnd w:id="59"/>
    </w:p>
    <w:p>
      <w:pPr>
        <w:ind w:firstLine="560" w:firstLineChars="200"/>
        <w:rPr>
          <w:rFonts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lang w:eastAsia="zh-CN"/>
        </w:rPr>
        <w:t>202X</w:t>
      </w:r>
      <w:r>
        <w:rPr>
          <w:rFonts w:hint="eastAsia" w:ascii="Times New Roman" w:hAnsi="Times New Roman" w:eastAsia="宋体" w:cs="Times New Roman"/>
          <w:color w:val="000000"/>
          <w:sz w:val="28"/>
          <w:szCs w:val="28"/>
        </w:rPr>
        <w:t>年10月</w:t>
      </w:r>
      <w:r>
        <w:rPr>
          <w:rFonts w:ascii="Times New Roman" w:hAnsi="Times New Roman" w:eastAsia="宋体" w:cs="Times New Roman"/>
          <w:sz w:val="28"/>
          <w:szCs w:val="28"/>
        </w:rPr>
        <w:t>完成</w:t>
      </w:r>
      <w:r>
        <w:rPr>
          <w:rFonts w:hint="eastAsia" w:ascii="Times New Roman" w:hAnsi="Times New Roman" w:eastAsia="宋体" w:cs="Times New Roman"/>
          <w:sz w:val="28"/>
          <w:szCs w:val="28"/>
        </w:rPr>
        <w:t>全公司</w:t>
      </w:r>
      <w:r>
        <w:rPr>
          <w:rFonts w:ascii="Times New Roman" w:hAnsi="Times New Roman" w:eastAsia="宋体" w:cs="Times New Roman"/>
          <w:sz w:val="28"/>
          <w:szCs w:val="28"/>
        </w:rPr>
        <w:t>风险分级管控和隐患排查治理体系建设，</w:t>
      </w:r>
      <w:r>
        <w:rPr>
          <w:rFonts w:hint="eastAsia" w:ascii="Times New Roman" w:hAnsi="Times New Roman" w:eastAsia="宋体" w:cs="Times New Roman"/>
          <w:color w:val="000000"/>
          <w:sz w:val="28"/>
          <w:szCs w:val="28"/>
        </w:rPr>
        <w:t>通过风险点确定和危险源辨识，全面分析本公司设施设备及生产活动存在的风险；通过安全风险评价、分级管控使安全隐患始终处于受控状态，杜绝和减少本公司生产安全事故的发生。</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color w:val="000000"/>
          <w:sz w:val="28"/>
          <w:szCs w:val="28"/>
          <w:lang w:eastAsia="zh-CN"/>
        </w:rPr>
        <w:t>202X</w:t>
      </w:r>
      <w:r>
        <w:rPr>
          <w:rFonts w:hint="eastAsia" w:ascii="Times New Roman" w:hAnsi="Times New Roman" w:eastAsia="宋体" w:cs="Times New Roman"/>
          <w:color w:val="000000"/>
          <w:sz w:val="28"/>
          <w:szCs w:val="28"/>
        </w:rPr>
        <w:t>年10月下旬</w:t>
      </w:r>
      <w:r>
        <w:rPr>
          <w:rFonts w:hint="eastAsia" w:ascii="Times New Roman" w:hAnsi="Times New Roman" w:eastAsia="宋体" w:cs="Times New Roman"/>
          <w:sz w:val="28"/>
          <w:szCs w:val="28"/>
        </w:rPr>
        <w:t>开始初步</w:t>
      </w:r>
      <w:r>
        <w:rPr>
          <w:rFonts w:ascii="Times New Roman" w:hAnsi="Times New Roman" w:eastAsia="宋体" w:cs="Times New Roman"/>
          <w:sz w:val="28"/>
          <w:szCs w:val="28"/>
        </w:rPr>
        <w:t>建立</w:t>
      </w:r>
      <w:r>
        <w:rPr>
          <w:rFonts w:hint="eastAsia" w:ascii="Times New Roman" w:hAnsi="Times New Roman" w:eastAsia="宋体" w:cs="Times New Roman"/>
          <w:sz w:val="28"/>
          <w:szCs w:val="28"/>
        </w:rPr>
        <w:t>起</w:t>
      </w:r>
      <w:r>
        <w:rPr>
          <w:rFonts w:ascii="Times New Roman" w:hAnsi="Times New Roman" w:eastAsia="宋体" w:cs="Times New Roman"/>
          <w:sz w:val="28"/>
          <w:szCs w:val="28"/>
        </w:rPr>
        <w:t>安全风险分级管控和隐患排查治理体系的运行</w:t>
      </w:r>
      <w:r>
        <w:rPr>
          <w:rFonts w:hint="eastAsia" w:ascii="Times New Roman" w:hAnsi="Times New Roman" w:eastAsia="宋体" w:cs="Times New Roman"/>
          <w:sz w:val="28"/>
          <w:szCs w:val="28"/>
        </w:rPr>
        <w:t>体系</w:t>
      </w:r>
      <w:r>
        <w:rPr>
          <w:rFonts w:ascii="Times New Roman" w:hAnsi="Times New Roman" w:eastAsia="宋体" w:cs="Times New Roman"/>
          <w:sz w:val="28"/>
          <w:szCs w:val="28"/>
        </w:rPr>
        <w:t>，</w:t>
      </w:r>
      <w:r>
        <w:rPr>
          <w:rFonts w:hint="eastAsia" w:ascii="Times New Roman" w:hAnsi="Times New Roman" w:eastAsia="宋体" w:cs="Times New Roman"/>
          <w:sz w:val="28"/>
          <w:szCs w:val="28"/>
        </w:rPr>
        <w:t>并且在运行中不断更新、沟通、提高</w:t>
      </w:r>
      <w:r>
        <w:rPr>
          <w:rFonts w:ascii="Times New Roman" w:hAnsi="Times New Roman" w:eastAsia="宋体" w:cs="Times New Roman"/>
          <w:sz w:val="28"/>
          <w:szCs w:val="28"/>
        </w:rPr>
        <w:t>。 </w:t>
      </w:r>
    </w:p>
    <w:p>
      <w:pPr>
        <w:ind w:firstLine="562" w:firstLineChars="200"/>
        <w:rPr>
          <w:rFonts w:ascii="Times New Roman" w:hAnsi="Times New Roman" w:eastAsia="宋体" w:cs="Times New Roman"/>
          <w:b/>
          <w:bCs/>
          <w:sz w:val="28"/>
          <w:szCs w:val="28"/>
        </w:rPr>
      </w:pPr>
      <w:bookmarkStart w:id="60" w:name="_Toc434_WPSOffice_Level2"/>
      <w:bookmarkStart w:id="61" w:name="_Toc15072_WPSOffice_Level2"/>
      <w:bookmarkStart w:id="62" w:name="_Toc31319_WPSOffice_Level2"/>
      <w:bookmarkStart w:id="63" w:name="_Toc9310_WPSOffice_Level2"/>
      <w:bookmarkStart w:id="64" w:name="_Toc1720_WPSOffice_Level2"/>
      <w:bookmarkStart w:id="65" w:name="_Toc29584_WPSOffice_Level2"/>
      <w:bookmarkStart w:id="66" w:name="_Toc15381_WPSOffice_Level2"/>
      <w:bookmarkStart w:id="67" w:name="_Toc2814_WPSOffice_Level2"/>
      <w:bookmarkStart w:id="68" w:name="_Toc2132_WPSOffice_Level2"/>
      <w:r>
        <w:rPr>
          <w:rFonts w:hint="eastAsia" w:ascii="Times New Roman" w:hAnsi="Times New Roman" w:eastAsia="宋体" w:cs="Times New Roman"/>
          <w:b/>
          <w:bCs/>
          <w:sz w:val="28"/>
          <w:szCs w:val="28"/>
        </w:rPr>
        <w:t>三、实施步骤和工作任务 </w:t>
      </w:r>
      <w:bookmarkEnd w:id="60"/>
      <w:bookmarkEnd w:id="61"/>
      <w:bookmarkEnd w:id="62"/>
      <w:bookmarkEnd w:id="63"/>
      <w:bookmarkEnd w:id="64"/>
      <w:bookmarkEnd w:id="65"/>
      <w:bookmarkEnd w:id="66"/>
      <w:bookmarkEnd w:id="67"/>
      <w:bookmarkEnd w:id="68"/>
    </w:p>
    <w:p>
      <w:pPr>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（一）动员部署与培训学习阶段 （10月1日至10月5日）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1、成立“双重预防体系”建设领导小组，布置任务与分工。同时利用各种形式进行深入的宣传发动，使全公司职工知道“双重预防体系”建设的有关内容。（10月1日）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2、编制双体系建设实施方案（10月3日）。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3、教育培训（10月5日）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10月5日上午对管理人员进行全面系统培训，培训内容为相关法律法规；体系建设的通则、细则和指南；省标杆企业体系建设的成果。培训学时为4学时。通过培训使中层以上知道“双重预防体系”建设的目的和意义、体系建设的方法和要求、最终要达到的目标和收获。</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10月5日下午进行一般职工进行培训，培训学时为4学时。采用集中上课的形式，对全体员工讲解“双重预防体系”建设的重要性，系统学习双重预防体系建设的内容，通过学习使全体员工熟悉什么是风险点，什么是危险源以及风险点危险源辨识的方法；怎么进行风险管控及隐患排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 xml:space="preserve">10.25日进行风险点清单培训。 </w:t>
      </w:r>
    </w:p>
    <w:p>
      <w:pPr>
        <w:ind w:firstLine="562" w:firstLineChars="200"/>
        <w:rPr>
          <w:rFonts w:ascii="Times New Roman" w:hAnsi="Times New Roman" w:eastAsia="宋体" w:cs="Times New Roman"/>
          <w:sz w:val="28"/>
          <w:szCs w:val="28"/>
        </w:rPr>
      </w:pPr>
      <w:r>
        <w:rPr>
          <w:rFonts w:hint="eastAsia" w:ascii="Times New Roman" w:hAnsi="Times New Roman" w:eastAsia="宋体" w:cs="Times New Roman"/>
          <w:b/>
          <w:sz w:val="28"/>
          <w:szCs w:val="28"/>
        </w:rPr>
        <w:t>（二）风险分级管控实施阶段（10月6日至10月16日）</w:t>
      </w:r>
      <w:r>
        <w:rPr>
          <w:rFonts w:hint="eastAsia" w:ascii="Times New Roman" w:hAnsi="Times New Roman" w:eastAsia="宋体" w:cs="Times New Roman"/>
          <w:sz w:val="28"/>
          <w:szCs w:val="28"/>
        </w:rPr>
        <w:t> </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1、编制体系作业指导书（10月6-8日）。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依据通则和细则要求，编制符合企业自身特点的风险分级管控与隐患排查治理作业指导书，建立开展双体系工作的指导性文件。</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2、完成作业活动及设施、设备的辨识统计（10月9-12日）。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具体任务：由岗位职工完成设备设施的统计工作及作业活动的识别与统计工作。</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2、确定风险点、辨别危险源（10月13-15日）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根据统计和识别的作业活动对风险点进行确定，然后辨识危险源。</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具体任务：全员参与，自下而上，由各岗位、班组、部门逐级识别确定本岗位、班组、部门的风险点。</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3、形成风险点、危险源清单（10月16-18日）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岗位、班组、部门辨识形成风险点危险源清单后，逐级上报至本公司双重预防体系建设领导小组，由领导小组指定专门人员进行整理，形成风险点、危险源清单。</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4、开展风险评价（10月19-20日）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岗位员工运用</w:t>
      </w:r>
      <w:r>
        <w:rPr>
          <w:rFonts w:ascii="Times New Roman" w:hAnsi="Times New Roman" w:eastAsia="宋体" w:cs="Times New Roman"/>
          <w:sz w:val="28"/>
          <w:szCs w:val="28"/>
        </w:rPr>
        <w:t>风险矩阵</w:t>
      </w:r>
      <w:r>
        <w:rPr>
          <w:rFonts w:hint="eastAsia" w:ascii="Times New Roman" w:hAnsi="Times New Roman" w:eastAsia="宋体" w:cs="Times New Roman"/>
          <w:sz w:val="28"/>
          <w:szCs w:val="28"/>
        </w:rPr>
        <w:t>法</w:t>
      </w:r>
      <w:r>
        <w:rPr>
          <w:rFonts w:ascii="Times New Roman" w:hAnsi="Times New Roman" w:eastAsia="宋体" w:cs="Times New Roman"/>
          <w:sz w:val="28"/>
          <w:szCs w:val="28"/>
        </w:rPr>
        <w:t>对辨识出的危险源进行风险评价</w:t>
      </w:r>
      <w:r>
        <w:rPr>
          <w:rFonts w:hint="eastAsia" w:ascii="Times New Roman" w:hAnsi="Times New Roman" w:eastAsia="宋体" w:cs="Times New Roman"/>
          <w:sz w:val="28"/>
          <w:szCs w:val="28"/>
        </w:rPr>
        <w:t>，建立危险源辨识、风险评价信息表，并上报至双重预防体系建设领导小组；领导小组对危险源辨识、风险评价信息表进行审核。审核后，领导小组会同岗位职工对危险源辨识、风险评价信息表进行修订。</w:t>
      </w:r>
    </w:p>
    <w:p>
      <w:pPr>
        <w:numPr>
          <w:ilvl w:val="0"/>
          <w:numId w:val="11"/>
        </w:num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调查现有管控措施（10月21日）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从工程技术措施、管理措施、培训教育措施、个体防护措施、应急处置措施五个方面调查现有的管控措施。</w:t>
      </w:r>
    </w:p>
    <w:p>
      <w:pPr>
        <w:numPr>
          <w:ilvl w:val="0"/>
          <w:numId w:val="11"/>
        </w:num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制定管控措施（10月22-23日）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从工程技术措施、管理措施、培训教育措施、个体防护措施、应急处置措施五个方面分析现有管控措施的不足，制定新的管控措施。</w:t>
      </w:r>
    </w:p>
    <w:p>
      <w:pPr>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（三）隐患排查治理实施阶段（10月24日起）</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1、确定风险分级控制层级（10月24日）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本公司四级风险点管控层级为班组级；三级风险点管控层级为车间级；一级、二级风险点管控层级为公司级</w:t>
      </w:r>
      <w:r>
        <w:rPr>
          <w:rFonts w:ascii="Times New Roman" w:hAnsi="Times New Roman" w:eastAsia="宋体" w:cs="Times New Roman"/>
          <w:sz w:val="28"/>
          <w:szCs w:val="28"/>
        </w:rPr>
        <w:t>。</w:t>
      </w:r>
    </w:p>
    <w:p>
      <w:pPr>
        <w:numPr>
          <w:ilvl w:val="0"/>
          <w:numId w:val="12"/>
        </w:num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编制隐患排查清单（10月25日）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根据风险控制措施，编制隐患排查清单。形成隐患排查各种表格，实现隐患排查标准明确，解决以往隐患排查标准不明确的缺陷。</w:t>
      </w:r>
    </w:p>
    <w:p>
      <w:pPr>
        <w:numPr>
          <w:ilvl w:val="0"/>
          <w:numId w:val="12"/>
        </w:num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实施隐患排查（10月26日起）</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各岗位员工按照指隐患排查治理实施方案和标准检查表开展隐患排查，按照风险控制措施进行一次系统的隐患排查，建立起隐患排查记录信息表。</w:t>
      </w:r>
    </w:p>
    <w:p>
      <w:pPr>
        <w:numPr>
          <w:ilvl w:val="0"/>
          <w:numId w:val="12"/>
        </w:num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按照隐患治理流程实施隐患治理（10月26日起）</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按照实施方案确定的整改通知、整改反馈、整改验收等程序对隐患进行治理，填写各种表格，建立台账。</w:t>
      </w:r>
    </w:p>
    <w:p>
      <w:pPr>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（四）整理巩固体系成果（11月份）</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完善建设方案、修订两个指南、规范危险源辨识、风险评价及风险分级管控记录、隐患排查治理过程档案，对</w:t>
      </w:r>
      <w:r>
        <w:rPr>
          <w:rFonts w:ascii="Times New Roman" w:hAnsi="Times New Roman" w:eastAsia="宋体" w:cs="Times New Roman"/>
          <w:sz w:val="28"/>
          <w:szCs w:val="28"/>
        </w:rPr>
        <w:t>成果进行阶段性整理、归档、上报。完成</w:t>
      </w:r>
      <w:r>
        <w:rPr>
          <w:rFonts w:hint="eastAsia" w:ascii="Times New Roman" w:hAnsi="Times New Roman" w:eastAsia="宋体" w:cs="Times New Roman"/>
          <w:sz w:val="28"/>
          <w:szCs w:val="28"/>
        </w:rPr>
        <w:t>双重预防体系建设工作报告及“</w:t>
      </w:r>
      <w:r>
        <w:rPr>
          <w:rFonts w:ascii="Times New Roman" w:hAnsi="Times New Roman" w:eastAsia="宋体" w:cs="Times New Roman"/>
          <w:sz w:val="28"/>
          <w:szCs w:val="28"/>
        </w:rPr>
        <w:t>一企一册</w:t>
      </w:r>
      <w:r>
        <w:rPr>
          <w:rFonts w:hint="eastAsia" w:ascii="Times New Roman" w:hAnsi="Times New Roman" w:eastAsia="宋体" w:cs="Times New Roman"/>
          <w:sz w:val="28"/>
          <w:szCs w:val="28"/>
        </w:rPr>
        <w:t>”</w:t>
      </w:r>
      <w:r>
        <w:rPr>
          <w:rFonts w:ascii="Times New Roman" w:hAnsi="Times New Roman" w:eastAsia="宋体" w:cs="Times New Roman"/>
          <w:sz w:val="28"/>
          <w:szCs w:val="28"/>
        </w:rPr>
        <w:t>阶段性成果。</w:t>
      </w:r>
    </w:p>
    <w:p>
      <w:pPr>
        <w:ind w:firstLine="562" w:firstLineChars="200"/>
        <w:rPr>
          <w:rFonts w:ascii="Times New Roman" w:hAnsi="Times New Roman" w:eastAsia="宋体" w:cs="Times New Roman"/>
          <w:b/>
          <w:sz w:val="28"/>
          <w:szCs w:val="28"/>
        </w:rPr>
      </w:pPr>
      <w:bookmarkStart w:id="69" w:name="_Toc31122_WPSOffice_Level2"/>
      <w:bookmarkStart w:id="70" w:name="_Toc11151_WPSOffice_Level2"/>
      <w:bookmarkStart w:id="71" w:name="_Toc9342_WPSOffice_Level2"/>
      <w:r>
        <w:rPr>
          <w:rFonts w:hint="eastAsia" w:ascii="Times New Roman" w:hAnsi="Times New Roman" w:eastAsia="宋体" w:cs="Times New Roman"/>
          <w:b/>
          <w:sz w:val="28"/>
          <w:szCs w:val="28"/>
        </w:rPr>
        <w:t>（五）保障措施和相关要求 </w:t>
      </w:r>
      <w:bookmarkEnd w:id="69"/>
      <w:bookmarkEnd w:id="70"/>
      <w:bookmarkEnd w:id="71"/>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1、提高认识，加强领导。建立完善风险分级管控和隐患排查治理双重预防体系，要提高到全公司的高度上来，各岗位务必高度重视，以更大的决心和力度抓好落实。</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配合联动、积极推进。各岗位要按照“谁负责谁监管，一岗双责”的原则，抓好本岗位双重预防体系建设工作，要密切配合，形成合力，共同推进。各岗位要全面动员职工参与风险分级管控和隐患排查治理工作，落实职工岗位安全责任，推进群防群治。 </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3、细化标准，建立考核体系。双重预防体系建设是一项创新性强、技术复杂的系统工程，各岗位要组织工艺、安全、设备等相关专业的职工全面参与，双重预防体系建设，确保相关工作的科学性、实效性。同时要建立责任考核体系，发现在双重预防体系建设中执行不力的单位和个人要进行责任追究。</w:t>
      </w:r>
    </w:p>
    <w:p>
      <w:pPr>
        <w:jc w:val="center"/>
        <w:rPr>
          <w:rFonts w:ascii="Times New Roman" w:hAnsi="Times New Roman" w:eastAsia="宋体" w:cs="Times New Roman"/>
          <w:b/>
          <w:bCs/>
          <w:sz w:val="28"/>
          <w:szCs w:val="28"/>
        </w:rPr>
      </w:pPr>
      <w:bookmarkStart w:id="72" w:name="_Toc7178_WPSOffice_Level2"/>
      <w:r>
        <w:rPr>
          <w:rFonts w:hint="eastAsia" w:ascii="Times New Roman" w:hAnsi="Times New Roman" w:eastAsia="宋体" w:cs="Times New Roman"/>
          <w:b/>
          <w:bCs/>
          <w:sz w:val="28"/>
          <w:szCs w:val="28"/>
        </w:rPr>
        <w:t>双重预防体系建设工作时间节点表</w:t>
      </w:r>
      <w:bookmarkEnd w:id="72"/>
    </w:p>
    <w:tbl>
      <w:tblPr>
        <w:tblStyle w:val="14"/>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0"/>
        <w:gridCol w:w="3918"/>
        <w:gridCol w:w="1672"/>
        <w:gridCol w:w="2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实施阶段</w:t>
            </w:r>
          </w:p>
        </w:tc>
        <w:tc>
          <w:tcPr>
            <w:tcW w:w="3918" w:type="dxa"/>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工作内容</w:t>
            </w:r>
          </w:p>
        </w:tc>
        <w:tc>
          <w:tcPr>
            <w:tcW w:w="1672" w:type="dxa"/>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时间</w:t>
            </w:r>
          </w:p>
        </w:tc>
        <w:tc>
          <w:tcPr>
            <w:tcW w:w="2418" w:type="dxa"/>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restart"/>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动员部署</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与培训学</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习阶段</w:t>
            </w: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成立“双重预防体系”建设领导小组</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10月1日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编制双体系建设实施方案</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10月3日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全员培训</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10月5日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restart"/>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风险分级</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管控实施</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阶段</w:t>
            </w: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编制体系作业指导书</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10月6-8日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完成作业活动及设施、设备的辨识统计</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10月9-12日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确定风险点、辨别危险源</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10月13-15日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形成风险点、危险源清单</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10月16-18日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开展风险评价</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10月19-20日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调查现有管控措施</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10月21日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制定管控措施</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10月22-23日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restart"/>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隐患排查</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治理实施</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阶段</w:t>
            </w: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确定风险分级控制层级</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10月24日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rPr>
                <w:rFonts w:asciiTheme="minorEastAsia" w:hAnsiTheme="minorEastAsia" w:cstheme="minorEastAsia"/>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编制隐患排查清单</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10月25日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rPr>
                <w:rFonts w:asciiTheme="minorEastAsia" w:hAnsiTheme="minorEastAsia" w:cstheme="minorEastAsia"/>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实施隐患排查</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10月26日起</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领导小组所有成员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rPr>
                <w:rFonts w:asciiTheme="minorEastAsia" w:hAnsiTheme="minorEastAsia" w:cstheme="minorEastAsia"/>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按照隐患治理流程实施隐患治理</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10月26日起</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相关负责人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b/>
                <w:bCs/>
                <w:sz w:val="24"/>
                <w:szCs w:val="24"/>
              </w:rPr>
              <w:t>培训</w:t>
            </w: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风险点与检查表应用培训</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10月25日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bl>
    <w:p>
      <w:pPr>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br w:type="page"/>
      </w:r>
    </w:p>
    <w:p>
      <w:pPr>
        <w:ind w:firstLine="560" w:firstLineChars="200"/>
        <w:rPr>
          <w:rFonts w:ascii="Times New Roman" w:hAnsi="Times New Roman" w:eastAsia="宋体" w:cs="Times New Roman"/>
          <w:sz w:val="28"/>
          <w:szCs w:val="28"/>
        </w:rPr>
      </w:pPr>
    </w:p>
    <w:p>
      <w:pPr>
        <w:jc w:val="center"/>
        <w:rPr>
          <w:w w:val="66"/>
        </w:rPr>
      </w:pPr>
      <w:bookmarkStart w:id="73" w:name="_Toc12033_WPSOffice_Level1"/>
      <w:bookmarkStart w:id="74" w:name="_Toc23569_WPSOffice_Level1"/>
      <w:bookmarkStart w:id="75" w:name="_Toc21268_WPSOffice_Level1"/>
      <w:bookmarkStart w:id="76" w:name="_Toc11809"/>
      <w:r>
        <w:rPr>
          <w:rFonts w:hint="eastAsia"/>
          <w:b/>
          <w:bCs/>
          <w:color w:val="FF0000"/>
          <w:w w:val="66"/>
          <w:sz w:val="72"/>
          <w:szCs w:val="72"/>
        </w:rPr>
        <w:t>XX有限公司文件</w:t>
      </w:r>
      <w:bookmarkEnd w:id="73"/>
      <w:bookmarkEnd w:id="74"/>
      <w:bookmarkEnd w:id="75"/>
    </w:p>
    <w:p/>
    <w:p>
      <w:pPr>
        <w:jc w:val="center"/>
        <w:rPr>
          <w:sz w:val="28"/>
          <w:szCs w:val="28"/>
        </w:rPr>
      </w:pPr>
      <w:r>
        <w:rPr>
          <w:sz w:val="28"/>
        </w:rPr>
        <w:pict>
          <v:line id="_x0000_s3102" o:spid="_x0000_s3102" o:spt="20" style="position:absolute;left:0pt;margin-left:8.5pt;margin-top:29.35pt;height:0pt;width:441.4pt;z-index:251689984;mso-width-relative:page;mso-height-relative:page;" stroked="t" coordsize="21600,21600" o:gfxdata="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X6PaLWAAAACAEAAA8AAAAAAAAAAQAgAAAAIgAA&#10;AGRycy9kb3ducmV2LnhtbFBLAQIUABQAAAAIAIdO4kB4gcRc0QEAAFoDAAAOAAAAAAAAAAEAIAAA&#10;ACUBAABkcnMvZTJvRG9jLnhtbFBLBQYAAAAABgAGAFkBAABoBQAAAAA=&#10;">
            <v:path arrowok="t"/>
            <v:fill focussize="0,0"/>
            <v:stroke weight="2.25pt" color="#FF0000"/>
            <v:imagedata o:title=""/>
            <o:lock v:ext="edit"/>
          </v:line>
        </w:pict>
      </w:r>
      <w:r>
        <w:rPr>
          <w:rFonts w:hint="eastAsia"/>
          <w:sz w:val="28"/>
        </w:rPr>
        <w:t>XX</w:t>
      </w:r>
      <w:r>
        <w:rPr>
          <w:rFonts w:hint="eastAsia"/>
          <w:sz w:val="28"/>
          <w:szCs w:val="28"/>
        </w:rPr>
        <w:t>字【</w:t>
      </w:r>
      <w:r>
        <w:rPr>
          <w:rFonts w:hint="eastAsia"/>
          <w:sz w:val="28"/>
          <w:szCs w:val="28"/>
          <w:lang w:eastAsia="zh-CN"/>
        </w:rPr>
        <w:t>202X</w:t>
      </w:r>
      <w:r>
        <w:rPr>
          <w:rFonts w:hint="eastAsia"/>
          <w:sz w:val="28"/>
          <w:szCs w:val="28"/>
        </w:rPr>
        <w:t>】第15号</w:t>
      </w:r>
    </w:p>
    <w:p>
      <w:pPr>
        <w:pStyle w:val="2"/>
      </w:pPr>
    </w:p>
    <w:p>
      <w:pPr>
        <w:pStyle w:val="2"/>
      </w:pPr>
      <w:bookmarkStart w:id="77" w:name="_Toc29150_WPSOffice_Level2"/>
      <w:r>
        <w:rPr>
          <w:rFonts w:hint="eastAsia"/>
        </w:rPr>
        <w:t>关于发布双重预防体系培训计划的通知</w:t>
      </w:r>
      <w:bookmarkEnd w:id="77"/>
    </w:p>
    <w:p/>
    <w:p>
      <w:pPr>
        <w:spacing w:line="480" w:lineRule="exact"/>
        <w:rPr>
          <w:b/>
          <w:bCs/>
          <w:sz w:val="28"/>
          <w:szCs w:val="28"/>
        </w:rPr>
      </w:pPr>
      <w:r>
        <w:rPr>
          <w:rFonts w:hint="eastAsia"/>
          <w:b/>
          <w:bCs/>
          <w:sz w:val="28"/>
          <w:szCs w:val="28"/>
        </w:rPr>
        <w:t>各岗位职工：</w:t>
      </w:r>
    </w:p>
    <w:p>
      <w:pPr>
        <w:spacing w:line="440" w:lineRule="exact"/>
        <w:ind w:firstLine="560" w:firstLineChars="200"/>
        <w:rPr>
          <w:sz w:val="28"/>
          <w:szCs w:val="28"/>
        </w:rPr>
      </w:pPr>
      <w:r>
        <w:rPr>
          <w:rFonts w:hint="eastAsia"/>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w:t>
      </w:r>
      <w:r>
        <w:rPr>
          <w:rFonts w:hint="eastAsia"/>
          <w:sz w:val="28"/>
          <w:szCs w:val="28"/>
          <w:lang w:eastAsia="zh-CN"/>
        </w:rPr>
        <w:t>202X</w:t>
      </w:r>
      <w:r>
        <w:rPr>
          <w:rFonts w:hint="eastAsia"/>
          <w:sz w:val="28"/>
          <w:szCs w:val="28"/>
        </w:rPr>
        <w:t>年全省安全生产风险分级管控和隐患排查治理双重预防体系建设推进工作方案》的通知（鲁安办发﹝</w:t>
      </w:r>
      <w:r>
        <w:rPr>
          <w:rFonts w:hint="eastAsia"/>
          <w:sz w:val="28"/>
          <w:szCs w:val="28"/>
          <w:lang w:eastAsia="zh-CN"/>
        </w:rPr>
        <w:t>202X</w:t>
      </w:r>
      <w:r>
        <w:rPr>
          <w:rFonts w:hint="eastAsia"/>
          <w:sz w:val="28"/>
          <w:szCs w:val="28"/>
        </w:rPr>
        <w:t>﹞29号）、《关于深化企业安全生产标准化工作促进风险分级管控与隐患排查治理双重预防体系建设的通知》鲁安办发﹝</w:t>
      </w:r>
      <w:r>
        <w:rPr>
          <w:rFonts w:hint="eastAsia"/>
          <w:sz w:val="28"/>
          <w:szCs w:val="28"/>
          <w:lang w:eastAsia="zh-CN"/>
        </w:rPr>
        <w:t>202X</w:t>
      </w:r>
      <w:r>
        <w:rPr>
          <w:rFonts w:hint="eastAsia"/>
          <w:sz w:val="28"/>
          <w:szCs w:val="28"/>
        </w:rPr>
        <w:t>﹞33号等相关文件要求，切实提高公司安全管理水平，加强风险分级管控，确保生产安全，我公司制定了《双重预防体系培训计划》，各岗位职工应贯彻落实制度要求，按时参加双重预防体系培训。</w:t>
      </w:r>
    </w:p>
    <w:p>
      <w:pPr>
        <w:spacing w:line="440" w:lineRule="exact"/>
        <w:ind w:left="1120" w:hanging="1120" w:hangingChars="400"/>
        <w:rPr>
          <w:sz w:val="28"/>
          <w:szCs w:val="28"/>
        </w:rPr>
      </w:pPr>
    </w:p>
    <w:p>
      <w:pPr>
        <w:spacing w:line="440" w:lineRule="exact"/>
        <w:rPr>
          <w:sz w:val="28"/>
          <w:szCs w:val="28"/>
        </w:rPr>
      </w:pPr>
    </w:p>
    <w:p>
      <w:pPr>
        <w:spacing w:line="360" w:lineRule="auto"/>
        <w:rPr>
          <w:sz w:val="24"/>
          <w:szCs w:val="24"/>
        </w:rPr>
      </w:pPr>
    </w:p>
    <w:p>
      <w:pPr>
        <w:spacing w:line="360" w:lineRule="auto"/>
        <w:ind w:firstLine="6746" w:firstLineChars="2400"/>
        <w:rPr>
          <w:b/>
          <w:bCs/>
          <w:sz w:val="28"/>
          <w:szCs w:val="28"/>
        </w:rPr>
      </w:pPr>
      <w:r>
        <w:rPr>
          <w:rFonts w:hint="eastAsia"/>
          <w:b/>
          <w:bCs/>
          <w:sz w:val="28"/>
          <w:szCs w:val="28"/>
        </w:rPr>
        <w:t>总经理：</w:t>
      </w: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8"/>
          <w:szCs w:val="28"/>
        </w:rPr>
      </w:pPr>
      <w:r>
        <w:rPr>
          <w:sz w:val="28"/>
        </w:rPr>
        <w:pict>
          <v:line id="_x0000_s3101" o:spid="_x0000_s3101" o:spt="20" style="position:absolute;left:0pt;flip:y;margin-left:-6.1pt;margin-top:26.45pt;height:0.05pt;width:470.15pt;z-index:251691008;mso-width-relative:page;mso-height-relative:page;" stroked="t" coordsize="21600,21600" o:gfxdata="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InoH&#10;gNcAAAAJAQAADwAAAAAAAAABACAAAAAiAAAAZHJzL2Rvd25yZXYueG1sUEsBAhQAFAAAAAgAh07i&#10;QBOCfXbqAQAAnwMAAA4AAAAAAAAAAQAgAAAAJgEAAGRycy9lMm9Eb2MueG1sUEsFBgAAAAAGAAYA&#10;WQEAAIIFAAAAAA==&#10;">
            <v:path arrowok="t"/>
            <v:fill focussize="0,0"/>
            <v:stroke color="#000000"/>
            <v:imagedata o:title=""/>
            <o:lock v:ext="edit"/>
          </v:line>
        </w:pict>
      </w:r>
      <w:r>
        <w:rPr>
          <w:sz w:val="28"/>
        </w:rPr>
        <w:pict>
          <v:line id="_x0000_s3100" o:spid="_x0000_s3100" o:spt="20" style="position:absolute;left:0pt;flip:y;margin-left:-4.55pt;margin-top:1.1pt;height:0.35pt;width:467.6pt;z-index:251692032;mso-width-relative:page;mso-height-relative:page;" stroked="t" coordsize="21600,21600" o:gfxdata="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YuMcbSAAAABgEAAA8AAAAA&#10;AAAAAQAgAAAAIgAAAGRycy9kb3ducmV2LnhtbFBLAQIUABQAAAAIAIdO4kDyFVMH4QEAAJQDAAAO&#10;AAAAAAAAAAEAIAAAACEBAABkcnMvZTJvRG9jLnhtbFBLBQYAAAAABgAGAFkBAAB0BQAAAAA=&#10;">
            <v:path arrowok="t"/>
            <v:fill focussize="0,0"/>
            <v:stroke color="#000000"/>
            <v:imagedata o:title=""/>
            <o:lock v:ext="edit"/>
          </v:line>
        </w:pict>
      </w:r>
      <w:r>
        <w:rPr>
          <w:rFonts w:hint="eastAsia"/>
          <w:sz w:val="28"/>
        </w:rPr>
        <w:t>XX有限公司</w:t>
      </w:r>
      <w:r>
        <w:rPr>
          <w:rFonts w:hint="eastAsia"/>
          <w:sz w:val="28"/>
          <w:szCs w:val="28"/>
        </w:rPr>
        <w:t xml:space="preserve">                       </w:t>
      </w:r>
      <w:r>
        <w:rPr>
          <w:rFonts w:hint="eastAsia"/>
          <w:sz w:val="28"/>
          <w:szCs w:val="28"/>
          <w:lang w:eastAsia="zh-CN"/>
        </w:rPr>
        <w:t>202X</w:t>
      </w:r>
      <w:r>
        <w:rPr>
          <w:rFonts w:hint="eastAsia"/>
          <w:sz w:val="28"/>
          <w:szCs w:val="28"/>
        </w:rPr>
        <w:t>年10月03日印</w:t>
      </w:r>
    </w:p>
    <w:p>
      <w:pPr>
        <w:rPr>
          <w:b/>
          <w:bCs/>
          <w:color w:val="FF0000"/>
          <w:w w:val="66"/>
          <w:sz w:val="72"/>
          <w:szCs w:val="72"/>
        </w:rPr>
      </w:pPr>
    </w:p>
    <w:p>
      <w:pPr>
        <w:pStyle w:val="2"/>
      </w:pPr>
    </w:p>
    <w:p>
      <w:pPr>
        <w:pStyle w:val="2"/>
      </w:pPr>
      <w:bookmarkStart w:id="78" w:name="_Toc18348_WPSOffice_Level2"/>
      <w:r>
        <w:rPr>
          <w:rFonts w:hint="eastAsia"/>
        </w:rPr>
        <w:t>安全生产双重预防体系建设培训计划</w:t>
      </w:r>
      <w:bookmarkEnd w:id="76"/>
      <w:bookmarkEnd w:id="78"/>
    </w:p>
    <w:p/>
    <w:tbl>
      <w:tblPr>
        <w:tblStyle w:val="14"/>
        <w:tblW w:w="10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1206"/>
        <w:gridCol w:w="2342"/>
        <w:gridCol w:w="1516"/>
        <w:gridCol w:w="1063"/>
        <w:gridCol w:w="1063"/>
        <w:gridCol w:w="1063"/>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68" w:type="dxa"/>
            <w:vAlign w:val="center"/>
          </w:tcPr>
          <w:p>
            <w:pPr>
              <w:jc w:val="center"/>
              <w:rPr>
                <w:b/>
                <w:bCs/>
                <w:sz w:val="24"/>
                <w:szCs w:val="24"/>
              </w:rPr>
            </w:pPr>
            <w:bookmarkStart w:id="79" w:name="_Toc9310_WPSOffice_Level1"/>
            <w:r>
              <w:rPr>
                <w:rFonts w:hint="eastAsia"/>
                <w:b/>
                <w:bCs/>
                <w:sz w:val="24"/>
                <w:szCs w:val="24"/>
              </w:rPr>
              <w:t>序号</w:t>
            </w:r>
          </w:p>
        </w:tc>
        <w:tc>
          <w:tcPr>
            <w:tcW w:w="1206" w:type="dxa"/>
            <w:vAlign w:val="center"/>
          </w:tcPr>
          <w:p>
            <w:pPr>
              <w:jc w:val="center"/>
              <w:rPr>
                <w:b/>
                <w:bCs/>
                <w:sz w:val="24"/>
                <w:szCs w:val="24"/>
              </w:rPr>
            </w:pPr>
            <w:r>
              <w:rPr>
                <w:rFonts w:hint="eastAsia"/>
                <w:b/>
                <w:bCs/>
                <w:sz w:val="24"/>
                <w:szCs w:val="24"/>
              </w:rPr>
              <w:t>参加人员</w:t>
            </w:r>
          </w:p>
        </w:tc>
        <w:tc>
          <w:tcPr>
            <w:tcW w:w="2342" w:type="dxa"/>
            <w:vAlign w:val="center"/>
          </w:tcPr>
          <w:p>
            <w:pPr>
              <w:jc w:val="center"/>
              <w:rPr>
                <w:b/>
                <w:bCs/>
                <w:sz w:val="24"/>
                <w:szCs w:val="24"/>
              </w:rPr>
            </w:pPr>
            <w:r>
              <w:rPr>
                <w:rFonts w:hint="eastAsia"/>
                <w:b/>
                <w:bCs/>
                <w:sz w:val="24"/>
                <w:szCs w:val="24"/>
              </w:rPr>
              <w:t>培训内容</w:t>
            </w:r>
          </w:p>
        </w:tc>
        <w:tc>
          <w:tcPr>
            <w:tcW w:w="1516" w:type="dxa"/>
            <w:vAlign w:val="center"/>
          </w:tcPr>
          <w:p>
            <w:pPr>
              <w:jc w:val="center"/>
              <w:rPr>
                <w:b/>
                <w:bCs/>
                <w:sz w:val="24"/>
                <w:szCs w:val="24"/>
              </w:rPr>
            </w:pPr>
            <w:r>
              <w:rPr>
                <w:rFonts w:hint="eastAsia"/>
                <w:b/>
                <w:bCs/>
                <w:sz w:val="24"/>
                <w:szCs w:val="24"/>
              </w:rPr>
              <w:t>地点</w:t>
            </w:r>
          </w:p>
        </w:tc>
        <w:tc>
          <w:tcPr>
            <w:tcW w:w="1063" w:type="dxa"/>
            <w:vAlign w:val="center"/>
          </w:tcPr>
          <w:p>
            <w:pPr>
              <w:jc w:val="center"/>
              <w:rPr>
                <w:b/>
                <w:bCs/>
                <w:sz w:val="24"/>
                <w:szCs w:val="24"/>
              </w:rPr>
            </w:pPr>
            <w:r>
              <w:rPr>
                <w:rFonts w:hint="eastAsia"/>
                <w:b/>
                <w:bCs/>
                <w:sz w:val="24"/>
                <w:szCs w:val="24"/>
              </w:rPr>
              <w:t>日期</w:t>
            </w:r>
          </w:p>
        </w:tc>
        <w:tc>
          <w:tcPr>
            <w:tcW w:w="1063" w:type="dxa"/>
            <w:vAlign w:val="center"/>
          </w:tcPr>
          <w:p>
            <w:pPr>
              <w:jc w:val="center"/>
              <w:rPr>
                <w:b/>
                <w:bCs/>
                <w:sz w:val="24"/>
                <w:szCs w:val="24"/>
              </w:rPr>
            </w:pPr>
            <w:r>
              <w:rPr>
                <w:rFonts w:hint="eastAsia"/>
                <w:b/>
                <w:bCs/>
                <w:sz w:val="24"/>
                <w:szCs w:val="24"/>
              </w:rPr>
              <w:t>学时</w:t>
            </w:r>
          </w:p>
        </w:tc>
        <w:tc>
          <w:tcPr>
            <w:tcW w:w="1063" w:type="dxa"/>
            <w:vAlign w:val="center"/>
          </w:tcPr>
          <w:p>
            <w:pPr>
              <w:jc w:val="center"/>
              <w:rPr>
                <w:b/>
                <w:bCs/>
                <w:sz w:val="24"/>
                <w:szCs w:val="24"/>
              </w:rPr>
            </w:pPr>
            <w:r>
              <w:rPr>
                <w:rFonts w:hint="eastAsia"/>
                <w:b/>
                <w:bCs/>
                <w:sz w:val="24"/>
                <w:szCs w:val="24"/>
              </w:rPr>
              <w:t>讲师</w:t>
            </w:r>
          </w:p>
        </w:tc>
        <w:tc>
          <w:tcPr>
            <w:tcW w:w="1057" w:type="dxa"/>
            <w:vAlign w:val="center"/>
          </w:tcPr>
          <w:p>
            <w:pPr>
              <w:jc w:val="center"/>
              <w:rPr>
                <w:b/>
                <w:bCs/>
                <w:sz w:val="24"/>
                <w:szCs w:val="24"/>
              </w:rPr>
            </w:pPr>
            <w:r>
              <w:rPr>
                <w:rFonts w:hint="eastAsia"/>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968" w:type="dxa"/>
            <w:vAlign w:val="center"/>
          </w:tcPr>
          <w:p>
            <w:pPr>
              <w:jc w:val="center"/>
              <w:rPr>
                <w:sz w:val="24"/>
                <w:szCs w:val="24"/>
              </w:rPr>
            </w:pPr>
            <w:r>
              <w:rPr>
                <w:rFonts w:hint="eastAsia"/>
                <w:sz w:val="24"/>
                <w:szCs w:val="24"/>
              </w:rPr>
              <w:t>1</w:t>
            </w:r>
          </w:p>
        </w:tc>
        <w:tc>
          <w:tcPr>
            <w:tcW w:w="1206" w:type="dxa"/>
            <w:vAlign w:val="center"/>
          </w:tcPr>
          <w:p>
            <w:pPr>
              <w:jc w:val="center"/>
              <w:rPr>
                <w:sz w:val="24"/>
                <w:szCs w:val="24"/>
              </w:rPr>
            </w:pPr>
            <w:r>
              <w:rPr>
                <w:rFonts w:hint="eastAsia"/>
                <w:sz w:val="24"/>
                <w:szCs w:val="24"/>
              </w:rPr>
              <w:t>管理人员</w:t>
            </w:r>
          </w:p>
        </w:tc>
        <w:tc>
          <w:tcPr>
            <w:tcW w:w="2342" w:type="dxa"/>
            <w:vAlign w:val="center"/>
          </w:tcPr>
          <w:p>
            <w:pPr>
              <w:rPr>
                <w:sz w:val="24"/>
                <w:szCs w:val="24"/>
              </w:rPr>
            </w:pPr>
            <w:r>
              <w:rPr>
                <w:rFonts w:hint="eastAsia"/>
                <w:sz w:val="24"/>
                <w:szCs w:val="24"/>
              </w:rPr>
              <w:t>相关法规、本公司方案、技术标准、评价方法</w:t>
            </w:r>
          </w:p>
          <w:p>
            <w:pPr>
              <w:jc w:val="center"/>
              <w:rPr>
                <w:sz w:val="24"/>
                <w:szCs w:val="24"/>
              </w:rPr>
            </w:pPr>
          </w:p>
          <w:p>
            <w:pPr>
              <w:jc w:val="center"/>
              <w:rPr>
                <w:sz w:val="24"/>
                <w:szCs w:val="24"/>
              </w:rPr>
            </w:pPr>
          </w:p>
        </w:tc>
        <w:tc>
          <w:tcPr>
            <w:tcW w:w="1516" w:type="dxa"/>
            <w:vAlign w:val="center"/>
          </w:tcPr>
          <w:p>
            <w:pPr>
              <w:jc w:val="center"/>
              <w:rPr>
                <w:sz w:val="24"/>
                <w:szCs w:val="24"/>
              </w:rPr>
            </w:pPr>
            <w:r>
              <w:rPr>
                <w:rFonts w:hint="eastAsia"/>
                <w:sz w:val="24"/>
                <w:szCs w:val="24"/>
              </w:rPr>
              <w:t>办公室</w:t>
            </w:r>
          </w:p>
        </w:tc>
        <w:tc>
          <w:tcPr>
            <w:tcW w:w="1063" w:type="dxa"/>
            <w:vAlign w:val="center"/>
          </w:tcPr>
          <w:p>
            <w:pPr>
              <w:jc w:val="center"/>
              <w:rPr>
                <w:sz w:val="24"/>
                <w:szCs w:val="24"/>
              </w:rPr>
            </w:pPr>
            <w:r>
              <w:rPr>
                <w:rFonts w:hint="eastAsia"/>
                <w:sz w:val="24"/>
                <w:szCs w:val="24"/>
              </w:rPr>
              <w:t>10.5</w:t>
            </w:r>
          </w:p>
        </w:tc>
        <w:tc>
          <w:tcPr>
            <w:tcW w:w="1063" w:type="dxa"/>
            <w:vAlign w:val="center"/>
          </w:tcPr>
          <w:p>
            <w:pPr>
              <w:jc w:val="center"/>
              <w:rPr>
                <w:sz w:val="24"/>
                <w:szCs w:val="24"/>
              </w:rPr>
            </w:pPr>
            <w:r>
              <w:rPr>
                <w:rFonts w:hint="eastAsia"/>
                <w:sz w:val="24"/>
                <w:szCs w:val="24"/>
              </w:rPr>
              <w:t>4</w:t>
            </w:r>
          </w:p>
        </w:tc>
        <w:tc>
          <w:tcPr>
            <w:tcW w:w="1063" w:type="dxa"/>
            <w:vAlign w:val="center"/>
          </w:tcPr>
          <w:p>
            <w:pPr>
              <w:jc w:val="center"/>
              <w:rPr>
                <w:sz w:val="24"/>
                <w:szCs w:val="24"/>
              </w:rPr>
            </w:pPr>
            <w:r>
              <w:rPr>
                <w:rFonts w:hint="eastAsia"/>
                <w:sz w:val="24"/>
                <w:szCs w:val="24"/>
              </w:rPr>
              <w:t>XX</w:t>
            </w:r>
          </w:p>
        </w:tc>
        <w:tc>
          <w:tcPr>
            <w:tcW w:w="1057"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968" w:type="dxa"/>
            <w:vAlign w:val="center"/>
          </w:tcPr>
          <w:p>
            <w:pPr>
              <w:jc w:val="center"/>
              <w:rPr>
                <w:sz w:val="24"/>
                <w:szCs w:val="24"/>
              </w:rPr>
            </w:pPr>
            <w:r>
              <w:rPr>
                <w:rFonts w:hint="eastAsia"/>
                <w:sz w:val="24"/>
                <w:szCs w:val="24"/>
              </w:rPr>
              <w:t>2</w:t>
            </w:r>
          </w:p>
        </w:tc>
        <w:tc>
          <w:tcPr>
            <w:tcW w:w="1206" w:type="dxa"/>
            <w:vAlign w:val="center"/>
          </w:tcPr>
          <w:p>
            <w:pPr>
              <w:jc w:val="center"/>
              <w:rPr>
                <w:sz w:val="24"/>
                <w:szCs w:val="24"/>
              </w:rPr>
            </w:pPr>
            <w:r>
              <w:rPr>
                <w:rFonts w:hint="eastAsia"/>
                <w:sz w:val="24"/>
                <w:szCs w:val="24"/>
              </w:rPr>
              <w:t>一般职工</w:t>
            </w:r>
          </w:p>
        </w:tc>
        <w:tc>
          <w:tcPr>
            <w:tcW w:w="2342" w:type="dxa"/>
            <w:vAlign w:val="center"/>
          </w:tcPr>
          <w:p>
            <w:pPr>
              <w:jc w:val="left"/>
              <w:rPr>
                <w:sz w:val="24"/>
                <w:szCs w:val="24"/>
              </w:rPr>
            </w:pPr>
            <w:r>
              <w:rPr>
                <w:rFonts w:hint="eastAsia"/>
                <w:sz w:val="24"/>
                <w:szCs w:val="24"/>
              </w:rPr>
              <w:t>双重预防体系建设的重要性、主要内容、安全检查表编制要点及检查方法</w:t>
            </w:r>
          </w:p>
        </w:tc>
        <w:tc>
          <w:tcPr>
            <w:tcW w:w="1516" w:type="dxa"/>
            <w:vAlign w:val="center"/>
          </w:tcPr>
          <w:p>
            <w:pPr>
              <w:jc w:val="center"/>
              <w:rPr>
                <w:sz w:val="24"/>
                <w:szCs w:val="24"/>
              </w:rPr>
            </w:pPr>
            <w:r>
              <w:rPr>
                <w:rFonts w:hint="eastAsia"/>
                <w:sz w:val="24"/>
                <w:szCs w:val="24"/>
              </w:rPr>
              <w:t>厂区</w:t>
            </w:r>
          </w:p>
        </w:tc>
        <w:tc>
          <w:tcPr>
            <w:tcW w:w="1063" w:type="dxa"/>
            <w:vAlign w:val="center"/>
          </w:tcPr>
          <w:p>
            <w:pPr>
              <w:jc w:val="center"/>
              <w:rPr>
                <w:sz w:val="24"/>
                <w:szCs w:val="24"/>
              </w:rPr>
            </w:pPr>
            <w:r>
              <w:rPr>
                <w:rFonts w:hint="eastAsia"/>
                <w:sz w:val="24"/>
                <w:szCs w:val="24"/>
              </w:rPr>
              <w:t>10.5</w:t>
            </w:r>
          </w:p>
        </w:tc>
        <w:tc>
          <w:tcPr>
            <w:tcW w:w="1063" w:type="dxa"/>
            <w:vAlign w:val="center"/>
          </w:tcPr>
          <w:p>
            <w:pPr>
              <w:jc w:val="center"/>
              <w:rPr>
                <w:sz w:val="24"/>
                <w:szCs w:val="24"/>
              </w:rPr>
            </w:pPr>
            <w:r>
              <w:rPr>
                <w:rFonts w:hint="eastAsia"/>
                <w:sz w:val="24"/>
                <w:szCs w:val="24"/>
              </w:rPr>
              <w:t>4</w:t>
            </w:r>
          </w:p>
        </w:tc>
        <w:tc>
          <w:tcPr>
            <w:tcW w:w="1063" w:type="dxa"/>
            <w:vAlign w:val="center"/>
          </w:tcPr>
          <w:p>
            <w:pPr>
              <w:jc w:val="center"/>
              <w:rPr>
                <w:sz w:val="24"/>
                <w:szCs w:val="24"/>
              </w:rPr>
            </w:pPr>
            <w:r>
              <w:rPr>
                <w:rFonts w:hint="eastAsia"/>
                <w:sz w:val="24"/>
                <w:szCs w:val="24"/>
              </w:rPr>
              <w:t>XX</w:t>
            </w:r>
          </w:p>
        </w:tc>
        <w:tc>
          <w:tcPr>
            <w:tcW w:w="1057"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968" w:type="dxa"/>
            <w:vAlign w:val="center"/>
          </w:tcPr>
          <w:p>
            <w:pPr>
              <w:jc w:val="center"/>
              <w:rPr>
                <w:sz w:val="24"/>
                <w:szCs w:val="24"/>
              </w:rPr>
            </w:pPr>
            <w:r>
              <w:rPr>
                <w:rFonts w:hint="eastAsia"/>
                <w:sz w:val="24"/>
                <w:szCs w:val="24"/>
              </w:rPr>
              <w:t>3</w:t>
            </w:r>
          </w:p>
        </w:tc>
        <w:tc>
          <w:tcPr>
            <w:tcW w:w="1206" w:type="dxa"/>
            <w:vAlign w:val="center"/>
          </w:tcPr>
          <w:p>
            <w:pPr>
              <w:jc w:val="center"/>
              <w:rPr>
                <w:sz w:val="24"/>
                <w:szCs w:val="24"/>
              </w:rPr>
            </w:pPr>
            <w:r>
              <w:rPr>
                <w:rFonts w:hint="eastAsia"/>
                <w:sz w:val="24"/>
                <w:szCs w:val="24"/>
              </w:rPr>
              <w:t>全体人员</w:t>
            </w:r>
          </w:p>
        </w:tc>
        <w:tc>
          <w:tcPr>
            <w:tcW w:w="2342" w:type="dxa"/>
            <w:vAlign w:val="center"/>
          </w:tcPr>
          <w:p>
            <w:pPr>
              <w:jc w:val="left"/>
              <w:rPr>
                <w:sz w:val="24"/>
                <w:szCs w:val="24"/>
              </w:rPr>
            </w:pPr>
            <w:r>
              <w:rPr>
                <w:rFonts w:hint="eastAsia"/>
                <w:sz w:val="24"/>
                <w:szCs w:val="24"/>
              </w:rPr>
              <w:t>本公司风险分级管控清单及隐患排查清单</w:t>
            </w:r>
          </w:p>
        </w:tc>
        <w:tc>
          <w:tcPr>
            <w:tcW w:w="1516" w:type="dxa"/>
            <w:vAlign w:val="center"/>
          </w:tcPr>
          <w:p>
            <w:pPr>
              <w:jc w:val="center"/>
              <w:rPr>
                <w:sz w:val="24"/>
                <w:szCs w:val="24"/>
              </w:rPr>
            </w:pPr>
            <w:r>
              <w:rPr>
                <w:rFonts w:hint="eastAsia"/>
                <w:sz w:val="24"/>
                <w:szCs w:val="24"/>
              </w:rPr>
              <w:t>厂区</w:t>
            </w:r>
          </w:p>
        </w:tc>
        <w:tc>
          <w:tcPr>
            <w:tcW w:w="1063" w:type="dxa"/>
            <w:vAlign w:val="center"/>
          </w:tcPr>
          <w:p>
            <w:pPr>
              <w:jc w:val="center"/>
              <w:rPr>
                <w:sz w:val="24"/>
                <w:szCs w:val="24"/>
              </w:rPr>
            </w:pPr>
            <w:r>
              <w:rPr>
                <w:rFonts w:hint="eastAsia"/>
                <w:sz w:val="24"/>
                <w:szCs w:val="24"/>
              </w:rPr>
              <w:t>10.25</w:t>
            </w:r>
          </w:p>
        </w:tc>
        <w:tc>
          <w:tcPr>
            <w:tcW w:w="1063" w:type="dxa"/>
            <w:vAlign w:val="center"/>
          </w:tcPr>
          <w:p>
            <w:pPr>
              <w:jc w:val="center"/>
              <w:rPr>
                <w:sz w:val="24"/>
                <w:szCs w:val="24"/>
              </w:rPr>
            </w:pPr>
            <w:r>
              <w:rPr>
                <w:rFonts w:hint="eastAsia"/>
                <w:sz w:val="24"/>
                <w:szCs w:val="24"/>
              </w:rPr>
              <w:t>4</w:t>
            </w:r>
          </w:p>
        </w:tc>
        <w:tc>
          <w:tcPr>
            <w:tcW w:w="1063" w:type="dxa"/>
            <w:vAlign w:val="center"/>
          </w:tcPr>
          <w:p>
            <w:pPr>
              <w:jc w:val="center"/>
              <w:rPr>
                <w:sz w:val="24"/>
                <w:szCs w:val="24"/>
              </w:rPr>
            </w:pPr>
            <w:r>
              <w:rPr>
                <w:rFonts w:hint="eastAsia"/>
                <w:sz w:val="24"/>
                <w:szCs w:val="24"/>
              </w:rPr>
              <w:t>XX</w:t>
            </w:r>
          </w:p>
        </w:tc>
        <w:tc>
          <w:tcPr>
            <w:tcW w:w="1057" w:type="dxa"/>
            <w:vAlign w:val="center"/>
          </w:tcPr>
          <w:p>
            <w:pPr>
              <w:jc w:val="center"/>
              <w:rPr>
                <w:sz w:val="24"/>
                <w:szCs w:val="24"/>
              </w:rPr>
            </w:pPr>
          </w:p>
        </w:tc>
      </w:tr>
    </w:tbl>
    <w:p>
      <w:pPr>
        <w:jc w:val="center"/>
        <w:rPr>
          <w:b/>
          <w:bCs/>
          <w:sz w:val="32"/>
          <w:szCs w:val="40"/>
        </w:rPr>
      </w:pPr>
    </w:p>
    <w:bookmarkEnd w:id="79"/>
    <w:p>
      <w:pPr>
        <w:rPr>
          <w:rFonts w:ascii="Times New Roman" w:hAnsi="Times New Roman" w:eastAsia="宋体" w:cs="Times New Roman"/>
          <w:sz w:val="28"/>
          <w:szCs w:val="28"/>
        </w:rPr>
      </w:pPr>
    </w:p>
    <w:p>
      <w:pPr>
        <w:rPr>
          <w:rFonts w:ascii="Times New Roman" w:hAnsi="Times New Roman" w:eastAsia="宋体" w:cs="Times New Roman"/>
          <w:sz w:val="28"/>
          <w:szCs w:val="28"/>
        </w:rPr>
      </w:pPr>
      <w:r>
        <w:rPr>
          <w:rFonts w:ascii="Times New Roman" w:hAnsi="Times New Roman" w:eastAsia="宋体" w:cs="Times New Roman"/>
          <w:sz w:val="28"/>
          <w:szCs w:val="28"/>
        </w:rPr>
        <w:br w:type="page"/>
      </w:r>
    </w:p>
    <w:p>
      <w:pPr>
        <w:rPr>
          <w:rFonts w:ascii="Times New Roman" w:hAnsi="Times New Roman" w:eastAsia="宋体" w:cs="Times New Roman"/>
          <w:sz w:val="28"/>
          <w:szCs w:val="28"/>
        </w:rPr>
      </w:pPr>
    </w:p>
    <w:p>
      <w:pPr>
        <w:spacing w:line="360" w:lineRule="auto"/>
        <w:rPr>
          <w:sz w:val="28"/>
          <w:szCs w:val="28"/>
        </w:rPr>
      </w:pPr>
    </w:p>
    <w:p>
      <w:pPr>
        <w:pStyle w:val="2"/>
      </w:pPr>
      <w:bookmarkStart w:id="80" w:name="_Toc10705_WPSOffice_Level2"/>
      <w:bookmarkStart w:id="81" w:name="_Toc7851"/>
      <w:r>
        <w:rPr>
          <w:rFonts w:hint="eastAsia"/>
        </w:rPr>
        <w:t>安全生产双重预防体系建设培训记录</w:t>
      </w:r>
      <w:bookmarkEnd w:id="80"/>
      <w:bookmarkEnd w:id="81"/>
    </w:p>
    <w:tbl>
      <w:tblPr>
        <w:tblStyle w:val="14"/>
        <w:tblW w:w="9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管理人员</w:t>
            </w:r>
          </w:p>
        </w:tc>
        <w:tc>
          <w:tcPr>
            <w:tcW w:w="1432" w:type="dxa"/>
          </w:tcPr>
          <w:p>
            <w:pPr>
              <w:jc w:val="center"/>
              <w:rPr>
                <w:sz w:val="28"/>
                <w:szCs w:val="28"/>
              </w:rPr>
            </w:pPr>
            <w:r>
              <w:rPr>
                <w:rFonts w:hint="eastAsia"/>
                <w:sz w:val="28"/>
                <w:szCs w:val="28"/>
              </w:rPr>
              <w:t>培训时间</w:t>
            </w:r>
          </w:p>
        </w:tc>
        <w:tc>
          <w:tcPr>
            <w:tcW w:w="3541" w:type="dxa"/>
          </w:tcPr>
          <w:p>
            <w:pPr>
              <w:jc w:val="center"/>
              <w:rPr>
                <w:sz w:val="28"/>
                <w:szCs w:val="28"/>
              </w:rPr>
            </w:pPr>
            <w:r>
              <w:rPr>
                <w:rFonts w:hint="eastAsia"/>
                <w:sz w:val="28"/>
                <w:szCs w:val="28"/>
                <w:lang w:eastAsia="zh-CN"/>
              </w:rPr>
              <w:t>202X</w:t>
            </w:r>
            <w:r>
              <w:rPr>
                <w:rFonts w:hint="eastAsia"/>
                <w:sz w:val="28"/>
                <w:szCs w:val="28"/>
              </w:rPr>
              <w:t>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541" w:type="dxa"/>
          </w:tcPr>
          <w:p>
            <w:pPr>
              <w:jc w:val="center"/>
              <w:rPr>
                <w:sz w:val="28"/>
                <w:szCs w:val="28"/>
              </w:rPr>
            </w:pPr>
            <w:r>
              <w:rPr>
                <w:rFonts w:hint="eastAsia"/>
                <w:sz w:val="28"/>
                <w:szCs w:val="2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807"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相关奖惩</w:t>
            </w:r>
          </w:p>
        </w:tc>
        <w:tc>
          <w:tcPr>
            <w:tcW w:w="7807" w:type="dxa"/>
            <w:gridSpan w:val="3"/>
          </w:tcPr>
          <w:p>
            <w:pPr>
              <w:jc w:val="left"/>
              <w:rPr>
                <w:sz w:val="28"/>
                <w:szCs w:val="28"/>
              </w:rPr>
            </w:pPr>
            <w:r>
              <w:rPr>
                <w:rFonts w:hint="eastAsia"/>
                <w:sz w:val="28"/>
                <w:szCs w:val="28"/>
              </w:rPr>
              <w:t>对考试成绩90分及以上的职工通报表扬，对考试成绩60分以下的职工通报批评。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3" w:hRule="atLeast"/>
          <w:jc w:val="center"/>
        </w:trPr>
        <w:tc>
          <w:tcPr>
            <w:tcW w:w="1426" w:type="dxa"/>
          </w:tcPr>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r>
              <w:rPr>
                <w:rFonts w:hint="eastAsia"/>
                <w:sz w:val="28"/>
                <w:szCs w:val="28"/>
              </w:rPr>
              <w:t>培训内容</w:t>
            </w:r>
          </w:p>
        </w:tc>
        <w:tc>
          <w:tcPr>
            <w:tcW w:w="7807" w:type="dxa"/>
            <w:gridSpan w:val="3"/>
          </w:tcPr>
          <w:p>
            <w:pPr>
              <w:spacing w:line="440" w:lineRule="exact"/>
              <w:jc w:val="left"/>
              <w:rPr>
                <w:sz w:val="28"/>
                <w:szCs w:val="28"/>
              </w:rPr>
            </w:pPr>
            <w:r>
              <w:rPr>
                <w:rFonts w:hint="eastAsia"/>
                <w:sz w:val="28"/>
                <w:szCs w:val="28"/>
              </w:rPr>
              <w:t>一、相关法律法规及文件</w:t>
            </w:r>
          </w:p>
          <w:p>
            <w:pPr>
              <w:numPr>
                <w:ilvl w:val="0"/>
                <w:numId w:val="13"/>
              </w:numPr>
              <w:spacing w:line="440" w:lineRule="exact"/>
              <w:jc w:val="left"/>
              <w:rPr>
                <w:sz w:val="28"/>
                <w:szCs w:val="28"/>
              </w:rPr>
            </w:pPr>
            <w:r>
              <w:rPr>
                <w:rFonts w:hint="eastAsia"/>
                <w:sz w:val="28"/>
                <w:szCs w:val="28"/>
              </w:rPr>
              <w:t>《安全生产法》、《山东省安全生产条例》、《山东省落实生产经营单位安全生产主体责任规定》等</w:t>
            </w:r>
          </w:p>
          <w:p>
            <w:pPr>
              <w:adjustRightInd w:val="0"/>
              <w:snapToGrid w:val="0"/>
              <w:spacing w:line="360" w:lineRule="auto"/>
              <w:rPr>
                <w:sz w:val="28"/>
                <w:szCs w:val="28"/>
              </w:rPr>
            </w:pPr>
            <w:r>
              <w:rPr>
                <w:rFonts w:hint="eastAsia"/>
                <w:sz w:val="28"/>
                <w:szCs w:val="28"/>
              </w:rPr>
              <w:t>2、《山东省安全生产风险分级管控体系通则》、《山东省隐患排查治理体系通则》、《</w:t>
            </w:r>
            <w:bookmarkStart w:id="82" w:name="StdName"/>
            <w:r>
              <w:rPr>
                <w:rFonts w:hint="eastAsia"/>
                <w:sz w:val="28"/>
                <w:szCs w:val="28"/>
              </w:rPr>
              <w:t>工贸企业安全生产风险分级管控体系细则》《工贸企业安全生产风险分级管控体系细则</w:t>
            </w:r>
            <w:bookmarkEnd w:id="82"/>
            <w:r>
              <w:rPr>
                <w:rFonts w:hint="eastAsia"/>
                <w:sz w:val="28"/>
                <w:szCs w:val="28"/>
              </w:rPr>
              <w:t>》、</w:t>
            </w:r>
          </w:p>
          <w:p>
            <w:pPr>
              <w:spacing w:line="440" w:lineRule="exact"/>
              <w:jc w:val="left"/>
              <w:rPr>
                <w:sz w:val="28"/>
                <w:szCs w:val="28"/>
              </w:rPr>
            </w:pPr>
            <w:r>
              <w:rPr>
                <w:rFonts w:hint="eastAsia"/>
                <w:sz w:val="28"/>
                <w:szCs w:val="28"/>
              </w:rPr>
              <w:t>二、本公司安全生产双体系建设实施方案</w:t>
            </w:r>
          </w:p>
          <w:p>
            <w:pPr>
              <w:spacing w:line="440" w:lineRule="exact"/>
              <w:jc w:val="left"/>
              <w:rPr>
                <w:sz w:val="28"/>
                <w:szCs w:val="28"/>
              </w:rPr>
            </w:pPr>
            <w:r>
              <w:rPr>
                <w:rFonts w:hint="eastAsia"/>
                <w:sz w:val="28"/>
                <w:szCs w:val="28"/>
              </w:rPr>
              <w:t>三、技术标准</w:t>
            </w:r>
          </w:p>
          <w:p>
            <w:pPr>
              <w:spacing w:line="440" w:lineRule="exact"/>
              <w:jc w:val="left"/>
              <w:rPr>
                <w:sz w:val="28"/>
                <w:szCs w:val="28"/>
              </w:rPr>
            </w:pPr>
            <w:r>
              <w:rPr>
                <w:rFonts w:hint="eastAsia"/>
                <w:sz w:val="28"/>
                <w:szCs w:val="28"/>
              </w:rPr>
              <w:t>1、GB13861-2009</w:t>
            </w:r>
          </w:p>
          <w:p>
            <w:pPr>
              <w:spacing w:line="440" w:lineRule="exact"/>
              <w:jc w:val="left"/>
              <w:rPr>
                <w:sz w:val="28"/>
                <w:szCs w:val="28"/>
              </w:rPr>
            </w:pPr>
            <w:r>
              <w:rPr>
                <w:rFonts w:hint="eastAsia"/>
                <w:sz w:val="28"/>
                <w:szCs w:val="28"/>
              </w:rPr>
              <w:t>2、GB/T6441-86</w:t>
            </w:r>
          </w:p>
          <w:p>
            <w:pPr>
              <w:spacing w:line="440" w:lineRule="exact"/>
              <w:jc w:val="left"/>
              <w:rPr>
                <w:sz w:val="28"/>
                <w:szCs w:val="28"/>
              </w:rPr>
            </w:pPr>
            <w:r>
              <w:rPr>
                <w:rFonts w:hint="eastAsia"/>
                <w:sz w:val="28"/>
                <w:szCs w:val="28"/>
              </w:rPr>
              <w:t>3、GB/T18218-2009</w:t>
            </w:r>
          </w:p>
          <w:p>
            <w:pPr>
              <w:spacing w:line="440" w:lineRule="exact"/>
              <w:jc w:val="left"/>
              <w:rPr>
                <w:sz w:val="28"/>
                <w:szCs w:val="28"/>
              </w:rPr>
            </w:pPr>
            <w:r>
              <w:rPr>
                <w:rFonts w:hint="eastAsia"/>
                <w:sz w:val="28"/>
                <w:szCs w:val="28"/>
              </w:rPr>
              <w:t>4、作业条件危险性分析法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1426" w:type="dxa"/>
          </w:tcPr>
          <w:p>
            <w:pPr>
              <w:jc w:val="center"/>
              <w:rPr>
                <w:sz w:val="28"/>
                <w:szCs w:val="28"/>
              </w:rPr>
            </w:pPr>
            <w:r>
              <w:rPr>
                <w:rFonts w:hint="eastAsia"/>
                <w:sz w:val="28"/>
                <w:szCs w:val="28"/>
              </w:rPr>
              <w:t>培训效果评估</w:t>
            </w:r>
          </w:p>
        </w:tc>
        <w:tc>
          <w:tcPr>
            <w:tcW w:w="7807" w:type="dxa"/>
            <w:gridSpan w:val="3"/>
          </w:tcPr>
          <w:p>
            <w:pPr>
              <w:jc w:val="left"/>
              <w:rPr>
                <w:sz w:val="28"/>
                <w:szCs w:val="28"/>
              </w:rPr>
            </w:pPr>
            <w:r>
              <w:rPr>
                <w:rFonts w:hint="eastAsia"/>
                <w:sz w:val="28"/>
                <w:szCs w:val="28"/>
              </w:rPr>
              <w:t>通过培训，各级管理人员了解了双重预防体系建设相关法律法规与标准规范，学习了双重预防体系建设工作流程，对本公司双重预防体系建设工作有较大促进</w:t>
            </w:r>
          </w:p>
        </w:tc>
      </w:tr>
    </w:tbl>
    <w:p>
      <w:pPr>
        <w:pStyle w:val="2"/>
      </w:pPr>
      <w:bookmarkStart w:id="83" w:name="_Toc32482_WPSOffice_Level2"/>
      <w:r>
        <w:rPr>
          <w:rFonts w:hint="eastAsia"/>
        </w:rPr>
        <w:br w:type="page"/>
      </w:r>
    </w:p>
    <w:p>
      <w:pPr>
        <w:pStyle w:val="2"/>
      </w:pPr>
      <w:bookmarkStart w:id="84" w:name="_Toc23657_WPSOffice_Level2"/>
      <w:r>
        <w:rPr>
          <w:rFonts w:hint="eastAsia"/>
        </w:rPr>
        <w:t>安全生产双重预防体系建设培训评估报告</w:t>
      </w:r>
      <w:bookmarkEnd w:id="84"/>
    </w:p>
    <w:tbl>
      <w:tblPr>
        <w:tblStyle w:val="14"/>
        <w:tblW w:w="9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管理人员</w:t>
            </w:r>
          </w:p>
        </w:tc>
        <w:tc>
          <w:tcPr>
            <w:tcW w:w="1432" w:type="dxa"/>
          </w:tcPr>
          <w:p>
            <w:pPr>
              <w:jc w:val="center"/>
              <w:rPr>
                <w:sz w:val="28"/>
                <w:szCs w:val="28"/>
              </w:rPr>
            </w:pPr>
            <w:r>
              <w:rPr>
                <w:rFonts w:hint="eastAsia"/>
                <w:sz w:val="28"/>
                <w:szCs w:val="28"/>
              </w:rPr>
              <w:t>培训时间</w:t>
            </w:r>
          </w:p>
        </w:tc>
        <w:tc>
          <w:tcPr>
            <w:tcW w:w="3541" w:type="dxa"/>
          </w:tcPr>
          <w:p>
            <w:pPr>
              <w:jc w:val="center"/>
              <w:rPr>
                <w:sz w:val="28"/>
                <w:szCs w:val="28"/>
              </w:rPr>
            </w:pPr>
            <w:r>
              <w:rPr>
                <w:rFonts w:hint="eastAsia"/>
                <w:sz w:val="28"/>
                <w:szCs w:val="28"/>
                <w:lang w:eastAsia="zh-CN"/>
              </w:rPr>
              <w:t>202X</w:t>
            </w:r>
            <w:r>
              <w:rPr>
                <w:rFonts w:hint="eastAsia"/>
                <w:sz w:val="28"/>
                <w:szCs w:val="28"/>
              </w:rPr>
              <w:t>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541" w:type="dxa"/>
          </w:tcPr>
          <w:p>
            <w:pPr>
              <w:jc w:val="center"/>
              <w:rPr>
                <w:sz w:val="28"/>
                <w:szCs w:val="28"/>
              </w:rPr>
            </w:pPr>
            <w:r>
              <w:rPr>
                <w:rFonts w:hint="eastAsia"/>
                <w:sz w:val="28"/>
                <w:szCs w:val="2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807"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评估日期</w:t>
            </w:r>
          </w:p>
        </w:tc>
        <w:tc>
          <w:tcPr>
            <w:tcW w:w="7807" w:type="dxa"/>
            <w:gridSpan w:val="3"/>
          </w:tcPr>
          <w:p>
            <w:pPr>
              <w:jc w:val="center"/>
              <w:rPr>
                <w:sz w:val="28"/>
                <w:szCs w:val="28"/>
              </w:rPr>
            </w:pPr>
            <w:r>
              <w:rPr>
                <w:rFonts w:hint="eastAsia"/>
                <w:sz w:val="28"/>
                <w:szCs w:val="28"/>
                <w:lang w:eastAsia="zh-CN"/>
              </w:rPr>
              <w:t>202X</w:t>
            </w:r>
            <w:r>
              <w:rPr>
                <w:rFonts w:hint="eastAsia"/>
                <w:sz w:val="28"/>
                <w:szCs w:val="28"/>
              </w:rPr>
              <w:t>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3" w:hRule="atLeast"/>
          <w:jc w:val="center"/>
        </w:trPr>
        <w:tc>
          <w:tcPr>
            <w:tcW w:w="1426" w:type="dxa"/>
          </w:tcPr>
          <w:p>
            <w:pPr>
              <w:jc w:val="center"/>
              <w:rPr>
                <w:sz w:val="28"/>
                <w:szCs w:val="28"/>
              </w:rPr>
            </w:pPr>
          </w:p>
          <w:p>
            <w:pPr>
              <w:jc w:val="center"/>
              <w:rPr>
                <w:sz w:val="28"/>
                <w:szCs w:val="28"/>
              </w:rPr>
            </w:pPr>
          </w:p>
          <w:p>
            <w:pPr>
              <w:jc w:val="center"/>
              <w:rPr>
                <w:sz w:val="28"/>
                <w:szCs w:val="28"/>
              </w:rPr>
            </w:pPr>
          </w:p>
          <w:p>
            <w:pPr>
              <w:jc w:val="center"/>
              <w:rPr>
                <w:sz w:val="28"/>
                <w:szCs w:val="28"/>
              </w:rPr>
            </w:pPr>
            <w:r>
              <w:rPr>
                <w:rFonts w:hint="eastAsia"/>
                <w:sz w:val="28"/>
                <w:szCs w:val="28"/>
              </w:rPr>
              <w:t>培训效果评估</w:t>
            </w:r>
          </w:p>
        </w:tc>
        <w:tc>
          <w:tcPr>
            <w:tcW w:w="7807" w:type="dxa"/>
            <w:gridSpan w:val="3"/>
          </w:tcPr>
          <w:p>
            <w:pPr>
              <w:spacing w:line="360" w:lineRule="auto"/>
              <w:ind w:firstLine="560" w:firstLineChars="200"/>
              <w:jc w:val="left"/>
              <w:rPr>
                <w:sz w:val="28"/>
                <w:szCs w:val="28"/>
              </w:rPr>
            </w:pPr>
            <w:r>
              <w:rPr>
                <w:rFonts w:hint="eastAsia"/>
                <w:sz w:val="28"/>
                <w:szCs w:val="28"/>
              </w:rPr>
              <w:t>通过培训，各级管理人员了解了开展双重预防体系建设工作的意义，明确了开展双重预防体系建设工作的目的。并且对相关法律法规与标准规范进行了学习，明确了双重预防体系建设的工作流程，学习了风险评价方法。</w:t>
            </w:r>
          </w:p>
          <w:p>
            <w:pPr>
              <w:spacing w:line="360" w:lineRule="auto"/>
              <w:ind w:firstLine="560" w:firstLineChars="200"/>
              <w:jc w:val="left"/>
              <w:rPr>
                <w:sz w:val="28"/>
                <w:szCs w:val="28"/>
              </w:rPr>
            </w:pPr>
            <w:r>
              <w:rPr>
                <w:rFonts w:hint="eastAsia"/>
                <w:sz w:val="28"/>
                <w:szCs w:val="28"/>
              </w:rPr>
              <w:t>通过本次培训，为我公司各级管理人员开展双重预防体系建设工作提供了技术保障。</w:t>
            </w:r>
          </w:p>
          <w:p>
            <w:pPr>
              <w:spacing w:line="360" w:lineRule="auto"/>
              <w:ind w:firstLine="560" w:firstLineChars="200"/>
              <w:jc w:val="left"/>
              <w:rPr>
                <w:sz w:val="28"/>
                <w:szCs w:val="28"/>
              </w:rPr>
            </w:pPr>
            <w:r>
              <w:rPr>
                <w:rFonts w:hint="eastAsia"/>
                <w:sz w:val="28"/>
                <w:szCs w:val="28"/>
              </w:rPr>
              <w:t>综上，本次培训效果良好。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1426" w:type="dxa"/>
          </w:tcPr>
          <w:p>
            <w:pPr>
              <w:jc w:val="center"/>
              <w:rPr>
                <w:sz w:val="28"/>
                <w:szCs w:val="28"/>
              </w:rPr>
            </w:pPr>
            <w:r>
              <w:rPr>
                <w:rFonts w:hint="eastAsia"/>
                <w:sz w:val="28"/>
                <w:szCs w:val="28"/>
              </w:rPr>
              <w:t>评估人员签字</w:t>
            </w:r>
          </w:p>
        </w:tc>
        <w:tc>
          <w:tcPr>
            <w:tcW w:w="7807" w:type="dxa"/>
            <w:gridSpan w:val="3"/>
          </w:tcPr>
          <w:p>
            <w:pPr>
              <w:jc w:val="left"/>
              <w:rPr>
                <w:sz w:val="28"/>
                <w:szCs w:val="28"/>
              </w:rPr>
            </w:pPr>
          </w:p>
        </w:tc>
      </w:tr>
    </w:tbl>
    <w:p>
      <w:pPr>
        <w:pStyle w:val="2"/>
      </w:pPr>
      <w:r>
        <w:rPr>
          <w:rFonts w:hint="eastAsia"/>
        </w:rPr>
        <w:br w:type="page"/>
      </w:r>
    </w:p>
    <w:p>
      <w:pPr>
        <w:pStyle w:val="2"/>
        <w:rPr>
          <w:szCs w:val="36"/>
        </w:rPr>
      </w:pPr>
      <w:bookmarkStart w:id="85" w:name="_Toc11849_WPSOffice_Level2"/>
      <w:bookmarkStart w:id="86" w:name="_Toc4496_WPSOffice_Level2"/>
      <w:bookmarkStart w:id="87" w:name="_Toc27278"/>
      <w:bookmarkStart w:id="88" w:name="_Toc30121_WPSOffice_Level2"/>
      <w:bookmarkStart w:id="89" w:name="_Toc27107_WPSOffice_Level2"/>
      <w:bookmarkStart w:id="90" w:name="_Toc20495_WPSOffice_Level2"/>
      <w:bookmarkStart w:id="91" w:name="_Toc28278_WPSOffice_Level2"/>
      <w:bookmarkStart w:id="92" w:name="_Toc13065_WPSOffice_Level2"/>
      <w:r>
        <w:rPr>
          <w:rFonts w:hint="eastAsia"/>
        </w:rPr>
        <w:t>安全培训签到及成绩汇总表</w:t>
      </w:r>
      <w:bookmarkEnd w:id="83"/>
      <w:bookmarkEnd w:id="85"/>
      <w:bookmarkEnd w:id="86"/>
      <w:bookmarkEnd w:id="87"/>
      <w:bookmarkEnd w:id="88"/>
      <w:bookmarkEnd w:id="89"/>
      <w:bookmarkEnd w:id="90"/>
      <w:bookmarkEnd w:id="91"/>
      <w:bookmarkEnd w:id="92"/>
    </w:p>
    <w:tbl>
      <w:tblPr>
        <w:tblStyle w:val="13"/>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485"/>
        <w:gridCol w:w="945"/>
        <w:gridCol w:w="1710"/>
        <w:gridCol w:w="885"/>
        <w:gridCol w:w="1485"/>
        <w:gridCol w:w="93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45" w:type="dxa"/>
          </w:tcPr>
          <w:p>
            <w:pPr>
              <w:jc w:val="center"/>
              <w:rPr>
                <w:b/>
                <w:bCs/>
                <w:sz w:val="28"/>
                <w:szCs w:val="28"/>
              </w:rPr>
            </w:pPr>
            <w:r>
              <w:rPr>
                <w:rFonts w:hint="eastAsia"/>
                <w:b/>
                <w:bCs/>
                <w:sz w:val="28"/>
                <w:szCs w:val="28"/>
              </w:rPr>
              <w:t>成绩</w:t>
            </w:r>
          </w:p>
        </w:tc>
        <w:tc>
          <w:tcPr>
            <w:tcW w:w="1710" w:type="dxa"/>
          </w:tcPr>
          <w:p>
            <w:pPr>
              <w:jc w:val="center"/>
              <w:rPr>
                <w:b/>
                <w:bCs/>
                <w:sz w:val="28"/>
                <w:szCs w:val="28"/>
              </w:rPr>
            </w:pPr>
            <w:r>
              <w:rPr>
                <w:rFonts w:hint="eastAsia"/>
                <w:b/>
                <w:bCs/>
                <w:sz w:val="28"/>
                <w:szCs w:val="28"/>
              </w:rPr>
              <w:t>备注</w:t>
            </w:r>
          </w:p>
        </w:tc>
        <w:tc>
          <w:tcPr>
            <w:tcW w:w="885"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30" w:type="dxa"/>
          </w:tcPr>
          <w:p>
            <w:pPr>
              <w:jc w:val="center"/>
              <w:rPr>
                <w:b/>
                <w:bCs/>
                <w:sz w:val="28"/>
                <w:szCs w:val="28"/>
              </w:rPr>
            </w:pPr>
            <w:r>
              <w:rPr>
                <w:rFonts w:hint="eastAsia"/>
                <w:b/>
                <w:bCs/>
                <w:sz w:val="28"/>
                <w:szCs w:val="28"/>
              </w:rPr>
              <w:t>成绩</w:t>
            </w:r>
          </w:p>
        </w:tc>
        <w:tc>
          <w:tcPr>
            <w:tcW w:w="1770" w:type="dxa"/>
          </w:tcPr>
          <w:p>
            <w:pPr>
              <w:jc w:val="center"/>
              <w:rPr>
                <w:b/>
                <w:bCs/>
                <w:sz w:val="28"/>
                <w:szCs w:val="28"/>
              </w:rPr>
            </w:pPr>
            <w:r>
              <w:rPr>
                <w:rFonts w:hint="eastAsia"/>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4"/>
                <w:szCs w:val="28"/>
              </w:rPr>
            </w:pPr>
            <w:r>
              <w:rPr>
                <w:rFonts w:hint="eastAsia"/>
                <w:sz w:val="24"/>
                <w:szCs w:val="28"/>
              </w:rPr>
              <w:t>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rPr>
                <w:sz w:val="24"/>
                <w:szCs w:val="28"/>
              </w:rPr>
            </w:pPr>
          </w:p>
        </w:tc>
        <w:tc>
          <w:tcPr>
            <w:tcW w:w="885" w:type="dxa"/>
            <w:vAlign w:val="center"/>
          </w:tcPr>
          <w:p>
            <w:pPr>
              <w:jc w:val="center"/>
              <w:rPr>
                <w:sz w:val="24"/>
                <w:szCs w:val="28"/>
              </w:rPr>
            </w:pPr>
            <w:r>
              <w:rPr>
                <w:rFonts w:hint="eastAsia"/>
                <w:sz w:val="24"/>
                <w:szCs w:val="28"/>
              </w:rPr>
              <w:t>21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40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bl>
    <w:p/>
    <w:p>
      <w:pPr>
        <w:spacing w:line="360" w:lineRule="auto"/>
        <w:rPr>
          <w:b/>
          <w:bCs/>
          <w:sz w:val="32"/>
          <w:szCs w:val="40"/>
        </w:rPr>
      </w:pPr>
      <w:r>
        <w:rPr>
          <w:rFonts w:hint="eastAsia"/>
          <w:b/>
          <w:bCs/>
          <w:sz w:val="32"/>
          <w:szCs w:val="40"/>
        </w:rPr>
        <w:br w:type="page"/>
      </w:r>
    </w:p>
    <w:p>
      <w:pPr>
        <w:keepNext/>
        <w:keepLines/>
        <w:jc w:val="center"/>
        <w:rPr>
          <w:b/>
          <w:bCs/>
          <w:sz w:val="36"/>
          <w:szCs w:val="40"/>
        </w:rPr>
      </w:pPr>
      <w:bookmarkStart w:id="93" w:name="_Toc23247_WPSOffice_Level2"/>
      <w:bookmarkStart w:id="94" w:name="_Toc15573_WPSOffice_Level2"/>
      <w:bookmarkStart w:id="95" w:name="_Toc30329_WPSOffice_Level2"/>
      <w:bookmarkStart w:id="96" w:name="_Toc16544_WPSOffice_Level2"/>
      <w:bookmarkStart w:id="97" w:name="_Toc10463_WPSOffice_Level2"/>
      <w:bookmarkStart w:id="98" w:name="_Toc28877_WPSOffice_Level2"/>
      <w:bookmarkStart w:id="99" w:name="_Toc23548_WPSOffice_Level2"/>
      <w:bookmarkStart w:id="100" w:name="_Toc32032_WPSOffice_Level2"/>
      <w:bookmarkStart w:id="101" w:name="_Toc8720_WPSOffice_Level2"/>
      <w:r>
        <w:rPr>
          <w:rFonts w:hint="eastAsia"/>
          <w:b/>
          <w:bCs/>
          <w:sz w:val="36"/>
          <w:szCs w:val="40"/>
        </w:rPr>
        <w:t>安全生产双重预防体系建设培训</w:t>
      </w:r>
      <w:bookmarkEnd w:id="93"/>
      <w:r>
        <w:rPr>
          <w:rFonts w:hint="eastAsia"/>
          <w:b/>
          <w:bCs/>
          <w:sz w:val="36"/>
          <w:szCs w:val="40"/>
        </w:rPr>
        <w:t>记录</w:t>
      </w:r>
      <w:bookmarkEnd w:id="94"/>
      <w:bookmarkEnd w:id="95"/>
      <w:bookmarkEnd w:id="96"/>
      <w:bookmarkEnd w:id="97"/>
      <w:bookmarkEnd w:id="98"/>
      <w:bookmarkEnd w:id="99"/>
      <w:bookmarkEnd w:id="100"/>
      <w:bookmarkEnd w:id="101"/>
    </w:p>
    <w:p>
      <w:pPr>
        <w:keepNext/>
        <w:keepLines/>
        <w:jc w:val="center"/>
        <w:rPr>
          <w:b/>
          <w:bCs/>
          <w:sz w:val="36"/>
          <w:szCs w:val="40"/>
        </w:rPr>
      </w:pPr>
    </w:p>
    <w:tbl>
      <w:tblPr>
        <w:tblStyle w:val="14"/>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一般职工</w:t>
            </w:r>
          </w:p>
        </w:tc>
        <w:tc>
          <w:tcPr>
            <w:tcW w:w="1432" w:type="dxa"/>
          </w:tcPr>
          <w:p>
            <w:pPr>
              <w:jc w:val="center"/>
              <w:rPr>
                <w:sz w:val="28"/>
                <w:szCs w:val="28"/>
              </w:rPr>
            </w:pPr>
            <w:r>
              <w:rPr>
                <w:rFonts w:hint="eastAsia"/>
                <w:sz w:val="28"/>
                <w:szCs w:val="28"/>
              </w:rPr>
              <w:t>培训时间</w:t>
            </w:r>
          </w:p>
        </w:tc>
        <w:tc>
          <w:tcPr>
            <w:tcW w:w="3469" w:type="dxa"/>
          </w:tcPr>
          <w:p>
            <w:pPr>
              <w:jc w:val="center"/>
              <w:rPr>
                <w:sz w:val="28"/>
                <w:szCs w:val="28"/>
              </w:rPr>
            </w:pPr>
            <w:r>
              <w:rPr>
                <w:rFonts w:hint="eastAsia"/>
                <w:sz w:val="28"/>
                <w:szCs w:val="28"/>
                <w:lang w:eastAsia="zh-CN"/>
              </w:rPr>
              <w:t>202X</w:t>
            </w:r>
            <w:r>
              <w:rPr>
                <w:rFonts w:hint="eastAsia"/>
                <w:sz w:val="28"/>
                <w:szCs w:val="28"/>
              </w:rPr>
              <w:t>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469" w:type="dxa"/>
          </w:tcPr>
          <w:p>
            <w:pPr>
              <w:jc w:val="center"/>
              <w:rPr>
                <w:sz w:val="28"/>
                <w:szCs w:val="28"/>
              </w:rPr>
            </w:pPr>
            <w:r>
              <w:rPr>
                <w:rFonts w:hint="eastAsia"/>
                <w:sz w:val="28"/>
                <w:szCs w:val="2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735"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相关奖惩</w:t>
            </w:r>
          </w:p>
        </w:tc>
        <w:tc>
          <w:tcPr>
            <w:tcW w:w="7735" w:type="dxa"/>
            <w:gridSpan w:val="3"/>
          </w:tcPr>
          <w:p>
            <w:pPr>
              <w:jc w:val="left"/>
              <w:rPr>
                <w:sz w:val="28"/>
                <w:szCs w:val="28"/>
              </w:rPr>
            </w:pPr>
            <w:r>
              <w:rPr>
                <w:rFonts w:hint="eastAsia"/>
                <w:sz w:val="28"/>
                <w:szCs w:val="28"/>
              </w:rPr>
              <w:t>对考试成绩90分及以上的职工通报表扬，对考试成绩60分以下的职工通报批评。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8" w:hRule="atLeast"/>
          <w:jc w:val="center"/>
        </w:trPr>
        <w:tc>
          <w:tcPr>
            <w:tcW w:w="1426" w:type="dxa"/>
          </w:tcPr>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r>
              <w:rPr>
                <w:rFonts w:hint="eastAsia"/>
                <w:sz w:val="28"/>
                <w:szCs w:val="28"/>
              </w:rPr>
              <w:t>培训内容</w:t>
            </w:r>
          </w:p>
        </w:tc>
        <w:tc>
          <w:tcPr>
            <w:tcW w:w="7735" w:type="dxa"/>
            <w:gridSpan w:val="3"/>
          </w:tcPr>
          <w:p>
            <w:pPr>
              <w:numPr>
                <w:ilvl w:val="0"/>
                <w:numId w:val="14"/>
              </w:numPr>
              <w:jc w:val="left"/>
              <w:rPr>
                <w:sz w:val="28"/>
                <w:szCs w:val="28"/>
              </w:rPr>
            </w:pPr>
            <w:r>
              <w:rPr>
                <w:rFonts w:hint="eastAsia"/>
                <w:sz w:val="28"/>
                <w:szCs w:val="28"/>
              </w:rPr>
              <w:t>“双重预防体系”建设的重要性（通过讲解相关法律法规及事故案例讲述）</w:t>
            </w:r>
          </w:p>
          <w:p>
            <w:pPr>
              <w:numPr>
                <w:ilvl w:val="0"/>
                <w:numId w:val="14"/>
              </w:numPr>
              <w:jc w:val="left"/>
              <w:rPr>
                <w:sz w:val="28"/>
                <w:szCs w:val="28"/>
              </w:rPr>
            </w:pPr>
            <w:r>
              <w:rPr>
                <w:rFonts w:hint="eastAsia"/>
                <w:sz w:val="28"/>
                <w:szCs w:val="28"/>
              </w:rPr>
              <w:t>双重预防体系建设的主要内容</w:t>
            </w:r>
          </w:p>
          <w:p>
            <w:pPr>
              <w:numPr>
                <w:ilvl w:val="0"/>
                <w:numId w:val="15"/>
              </w:numPr>
              <w:jc w:val="left"/>
              <w:rPr>
                <w:sz w:val="28"/>
                <w:szCs w:val="28"/>
              </w:rPr>
            </w:pPr>
            <w:r>
              <w:rPr>
                <w:rFonts w:hint="eastAsia"/>
                <w:sz w:val="28"/>
                <w:szCs w:val="28"/>
              </w:rPr>
              <w:t>术语与定义</w:t>
            </w:r>
          </w:p>
          <w:p>
            <w:pPr>
              <w:numPr>
                <w:ilvl w:val="0"/>
                <w:numId w:val="15"/>
              </w:numPr>
              <w:jc w:val="left"/>
              <w:rPr>
                <w:sz w:val="28"/>
                <w:szCs w:val="28"/>
              </w:rPr>
            </w:pPr>
            <w:r>
              <w:rPr>
                <w:rFonts w:hint="eastAsia"/>
                <w:sz w:val="28"/>
                <w:szCs w:val="28"/>
              </w:rPr>
              <w:t>风险点识别方法</w:t>
            </w:r>
          </w:p>
          <w:p>
            <w:pPr>
              <w:numPr>
                <w:ilvl w:val="0"/>
                <w:numId w:val="15"/>
              </w:numPr>
              <w:jc w:val="left"/>
              <w:rPr>
                <w:sz w:val="28"/>
                <w:szCs w:val="28"/>
              </w:rPr>
            </w:pPr>
            <w:r>
              <w:rPr>
                <w:rFonts w:hint="eastAsia"/>
                <w:sz w:val="28"/>
                <w:szCs w:val="28"/>
              </w:rPr>
              <w:t>作业条件危险性分析法</w:t>
            </w:r>
          </w:p>
          <w:p>
            <w:pPr>
              <w:numPr>
                <w:ilvl w:val="0"/>
                <w:numId w:val="15"/>
              </w:numPr>
              <w:jc w:val="left"/>
              <w:rPr>
                <w:sz w:val="28"/>
                <w:szCs w:val="28"/>
              </w:rPr>
            </w:pPr>
            <w:r>
              <w:rPr>
                <w:rFonts w:hint="eastAsia"/>
                <w:sz w:val="28"/>
                <w:szCs w:val="28"/>
              </w:rPr>
              <w:t>管控措施的制定原则</w:t>
            </w:r>
          </w:p>
          <w:p>
            <w:pPr>
              <w:jc w:val="left"/>
              <w:rPr>
                <w:sz w:val="28"/>
                <w:szCs w:val="28"/>
              </w:rPr>
            </w:pPr>
            <w:r>
              <w:rPr>
                <w:rFonts w:hint="eastAsia"/>
                <w:sz w:val="28"/>
                <w:szCs w:val="28"/>
              </w:rPr>
              <w:t>三、安全检查表的编制要点及检查方法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1426" w:type="dxa"/>
          </w:tcPr>
          <w:p>
            <w:pPr>
              <w:jc w:val="center"/>
              <w:rPr>
                <w:sz w:val="28"/>
                <w:szCs w:val="28"/>
              </w:rPr>
            </w:pPr>
          </w:p>
          <w:p>
            <w:pPr>
              <w:jc w:val="center"/>
              <w:rPr>
                <w:sz w:val="28"/>
                <w:szCs w:val="28"/>
              </w:rPr>
            </w:pPr>
            <w:r>
              <w:rPr>
                <w:rFonts w:hint="eastAsia"/>
                <w:sz w:val="28"/>
                <w:szCs w:val="28"/>
              </w:rPr>
              <w:t>培训</w:t>
            </w:r>
          </w:p>
          <w:p>
            <w:pPr>
              <w:jc w:val="center"/>
              <w:rPr>
                <w:sz w:val="28"/>
                <w:szCs w:val="28"/>
              </w:rPr>
            </w:pPr>
            <w:r>
              <w:rPr>
                <w:rFonts w:hint="eastAsia"/>
                <w:sz w:val="28"/>
                <w:szCs w:val="28"/>
              </w:rPr>
              <w:t>效果</w:t>
            </w:r>
          </w:p>
          <w:p>
            <w:pPr>
              <w:jc w:val="center"/>
              <w:rPr>
                <w:sz w:val="28"/>
                <w:szCs w:val="28"/>
              </w:rPr>
            </w:pPr>
            <w:r>
              <w:rPr>
                <w:rFonts w:hint="eastAsia"/>
                <w:sz w:val="28"/>
                <w:szCs w:val="28"/>
              </w:rPr>
              <w:t>评估</w:t>
            </w:r>
          </w:p>
        </w:tc>
        <w:tc>
          <w:tcPr>
            <w:tcW w:w="7735" w:type="dxa"/>
            <w:gridSpan w:val="3"/>
          </w:tcPr>
          <w:p>
            <w:pPr>
              <w:jc w:val="left"/>
              <w:rPr>
                <w:sz w:val="28"/>
                <w:szCs w:val="28"/>
              </w:rPr>
            </w:pPr>
            <w:r>
              <w:rPr>
                <w:rFonts w:hint="eastAsia"/>
                <w:sz w:val="28"/>
                <w:szCs w:val="28"/>
              </w:rPr>
              <w:t>通过培训，全公司了解了双重预防体系建设相关法律法规与标准规范，学习了双重预防体系建设工作流程，能识别本岗位存在的风险，能对风险进行分级，对本公司双重预防体系建设工作有较大促进</w:t>
            </w:r>
          </w:p>
        </w:tc>
      </w:tr>
    </w:tbl>
    <w:p/>
    <w:p>
      <w:pPr>
        <w:keepNext/>
        <w:keepLines/>
        <w:jc w:val="center"/>
        <w:rPr>
          <w:b/>
          <w:bCs/>
          <w:sz w:val="36"/>
          <w:szCs w:val="40"/>
        </w:rPr>
      </w:pPr>
      <w:r>
        <w:rPr>
          <w:rFonts w:hint="eastAsia"/>
          <w:b/>
          <w:bCs/>
          <w:sz w:val="32"/>
          <w:szCs w:val="40"/>
        </w:rPr>
        <w:br w:type="page"/>
      </w:r>
      <w:bookmarkStart w:id="102" w:name="_Toc1238_WPSOffice_Level2"/>
      <w:r>
        <w:rPr>
          <w:rFonts w:hint="eastAsia"/>
          <w:b/>
          <w:bCs/>
          <w:sz w:val="36"/>
          <w:szCs w:val="40"/>
        </w:rPr>
        <w:t>安全生产双重预防体系建设培训效果评估报告</w:t>
      </w:r>
      <w:bookmarkEnd w:id="102"/>
    </w:p>
    <w:p>
      <w:pPr>
        <w:keepNext/>
        <w:keepLines/>
        <w:jc w:val="center"/>
        <w:rPr>
          <w:b/>
          <w:bCs/>
          <w:sz w:val="36"/>
          <w:szCs w:val="40"/>
        </w:rPr>
      </w:pPr>
    </w:p>
    <w:tbl>
      <w:tblPr>
        <w:tblStyle w:val="14"/>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一般职工</w:t>
            </w:r>
          </w:p>
        </w:tc>
        <w:tc>
          <w:tcPr>
            <w:tcW w:w="1432" w:type="dxa"/>
          </w:tcPr>
          <w:p>
            <w:pPr>
              <w:jc w:val="center"/>
              <w:rPr>
                <w:sz w:val="28"/>
                <w:szCs w:val="28"/>
              </w:rPr>
            </w:pPr>
            <w:r>
              <w:rPr>
                <w:rFonts w:hint="eastAsia"/>
                <w:sz w:val="28"/>
                <w:szCs w:val="28"/>
              </w:rPr>
              <w:t>培训时间</w:t>
            </w:r>
          </w:p>
        </w:tc>
        <w:tc>
          <w:tcPr>
            <w:tcW w:w="3469" w:type="dxa"/>
          </w:tcPr>
          <w:p>
            <w:pPr>
              <w:jc w:val="center"/>
              <w:rPr>
                <w:sz w:val="28"/>
                <w:szCs w:val="28"/>
              </w:rPr>
            </w:pPr>
            <w:r>
              <w:rPr>
                <w:rFonts w:hint="eastAsia"/>
                <w:sz w:val="28"/>
                <w:szCs w:val="28"/>
                <w:lang w:eastAsia="zh-CN"/>
              </w:rPr>
              <w:t>202X</w:t>
            </w:r>
            <w:r>
              <w:rPr>
                <w:rFonts w:hint="eastAsia"/>
                <w:sz w:val="28"/>
                <w:szCs w:val="28"/>
              </w:rPr>
              <w:t>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469" w:type="dxa"/>
          </w:tcPr>
          <w:p>
            <w:pPr>
              <w:jc w:val="center"/>
              <w:rPr>
                <w:sz w:val="28"/>
                <w:szCs w:val="28"/>
              </w:rPr>
            </w:pPr>
            <w:r>
              <w:rPr>
                <w:rFonts w:hint="eastAsia"/>
                <w:sz w:val="28"/>
                <w:szCs w:val="2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735"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评估日期</w:t>
            </w:r>
          </w:p>
        </w:tc>
        <w:tc>
          <w:tcPr>
            <w:tcW w:w="7735" w:type="dxa"/>
            <w:gridSpan w:val="3"/>
          </w:tcPr>
          <w:p>
            <w:pPr>
              <w:jc w:val="center"/>
              <w:rPr>
                <w:sz w:val="28"/>
                <w:szCs w:val="28"/>
              </w:rPr>
            </w:pPr>
            <w:r>
              <w:rPr>
                <w:rFonts w:hint="eastAsia"/>
                <w:sz w:val="28"/>
                <w:szCs w:val="28"/>
                <w:lang w:eastAsia="zh-CN"/>
              </w:rPr>
              <w:t>202X</w:t>
            </w:r>
            <w:r>
              <w:rPr>
                <w:rFonts w:hint="eastAsia"/>
                <w:sz w:val="28"/>
                <w:szCs w:val="28"/>
              </w:rPr>
              <w:t>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8" w:hRule="atLeast"/>
          <w:jc w:val="center"/>
        </w:trPr>
        <w:tc>
          <w:tcPr>
            <w:tcW w:w="1426" w:type="dxa"/>
          </w:tcPr>
          <w:p>
            <w:pPr>
              <w:jc w:val="center"/>
              <w:rPr>
                <w:sz w:val="28"/>
                <w:szCs w:val="28"/>
              </w:rPr>
            </w:pPr>
          </w:p>
          <w:p>
            <w:pPr>
              <w:jc w:val="center"/>
              <w:rPr>
                <w:sz w:val="28"/>
                <w:szCs w:val="28"/>
              </w:rPr>
            </w:pPr>
          </w:p>
          <w:p>
            <w:pPr>
              <w:jc w:val="center"/>
              <w:rPr>
                <w:sz w:val="28"/>
                <w:szCs w:val="28"/>
              </w:rPr>
            </w:pPr>
            <w:r>
              <w:rPr>
                <w:rFonts w:hint="eastAsia"/>
                <w:sz w:val="28"/>
                <w:szCs w:val="28"/>
              </w:rPr>
              <w:t>培训</w:t>
            </w:r>
          </w:p>
          <w:p>
            <w:pPr>
              <w:jc w:val="center"/>
              <w:rPr>
                <w:sz w:val="28"/>
                <w:szCs w:val="28"/>
              </w:rPr>
            </w:pPr>
            <w:r>
              <w:rPr>
                <w:rFonts w:hint="eastAsia"/>
                <w:sz w:val="28"/>
                <w:szCs w:val="28"/>
              </w:rPr>
              <w:t>效果</w:t>
            </w:r>
          </w:p>
          <w:p>
            <w:pPr>
              <w:jc w:val="center"/>
              <w:rPr>
                <w:sz w:val="28"/>
                <w:szCs w:val="28"/>
              </w:rPr>
            </w:pPr>
            <w:r>
              <w:rPr>
                <w:rFonts w:hint="eastAsia"/>
                <w:sz w:val="28"/>
                <w:szCs w:val="28"/>
              </w:rPr>
              <w:t>评估</w:t>
            </w:r>
          </w:p>
        </w:tc>
        <w:tc>
          <w:tcPr>
            <w:tcW w:w="7735" w:type="dxa"/>
            <w:gridSpan w:val="3"/>
          </w:tcPr>
          <w:p>
            <w:pPr>
              <w:ind w:firstLine="560" w:firstLineChars="200"/>
              <w:jc w:val="left"/>
              <w:rPr>
                <w:sz w:val="28"/>
                <w:szCs w:val="28"/>
              </w:rPr>
            </w:pPr>
            <w:r>
              <w:rPr>
                <w:rFonts w:hint="eastAsia"/>
                <w:sz w:val="28"/>
                <w:szCs w:val="28"/>
              </w:rPr>
              <w:t>本次培训内容为开展安全生产双重预防体系建设工作的方法。</w:t>
            </w:r>
          </w:p>
          <w:p>
            <w:pPr>
              <w:ind w:firstLine="560" w:firstLineChars="200"/>
              <w:jc w:val="left"/>
              <w:rPr>
                <w:sz w:val="28"/>
                <w:szCs w:val="28"/>
              </w:rPr>
            </w:pPr>
            <w:r>
              <w:rPr>
                <w:rFonts w:hint="eastAsia"/>
                <w:sz w:val="28"/>
                <w:szCs w:val="28"/>
              </w:rPr>
              <w:t>通过本次培训，全体职工清楚了双重预防体系建设工作的重要性；学习了双重预防体系建设的工作内容。学习了双重预防体系建设的术语与定义、风险点识别方法、作业条件危险性分析法、管控措施的制定原则、安全检查表的编制要点及检查方法。</w:t>
            </w:r>
          </w:p>
          <w:p>
            <w:pPr>
              <w:ind w:firstLine="560" w:firstLineChars="200"/>
              <w:jc w:val="left"/>
              <w:rPr>
                <w:sz w:val="28"/>
                <w:szCs w:val="28"/>
              </w:rPr>
            </w:pPr>
            <w:r>
              <w:rPr>
                <w:rFonts w:hint="eastAsia"/>
                <w:sz w:val="28"/>
                <w:szCs w:val="28"/>
              </w:rPr>
              <w:t>本次培训效果良好，职工基本掌握了双重预防体系工作的核心内容，为我公司开展双重预防体系建设工作提供了技术保障。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jc w:val="center"/>
        </w:trPr>
        <w:tc>
          <w:tcPr>
            <w:tcW w:w="1426" w:type="dxa"/>
          </w:tcPr>
          <w:p>
            <w:pPr>
              <w:jc w:val="center"/>
              <w:rPr>
                <w:sz w:val="28"/>
                <w:szCs w:val="28"/>
              </w:rPr>
            </w:pPr>
          </w:p>
          <w:p>
            <w:pPr>
              <w:jc w:val="center"/>
              <w:rPr>
                <w:sz w:val="28"/>
                <w:szCs w:val="28"/>
              </w:rPr>
            </w:pPr>
            <w:r>
              <w:rPr>
                <w:rFonts w:hint="eastAsia"/>
                <w:sz w:val="28"/>
                <w:szCs w:val="28"/>
              </w:rPr>
              <w:t>评估</w:t>
            </w:r>
          </w:p>
          <w:p>
            <w:pPr>
              <w:jc w:val="center"/>
              <w:rPr>
                <w:sz w:val="28"/>
                <w:szCs w:val="28"/>
              </w:rPr>
            </w:pPr>
            <w:r>
              <w:rPr>
                <w:rFonts w:hint="eastAsia"/>
                <w:sz w:val="28"/>
                <w:szCs w:val="28"/>
              </w:rPr>
              <w:t>人员</w:t>
            </w:r>
          </w:p>
          <w:p>
            <w:pPr>
              <w:jc w:val="center"/>
              <w:rPr>
                <w:sz w:val="28"/>
                <w:szCs w:val="28"/>
              </w:rPr>
            </w:pPr>
            <w:r>
              <w:rPr>
                <w:rFonts w:hint="eastAsia"/>
                <w:sz w:val="28"/>
                <w:szCs w:val="28"/>
              </w:rPr>
              <w:t>签字</w:t>
            </w:r>
          </w:p>
        </w:tc>
        <w:tc>
          <w:tcPr>
            <w:tcW w:w="7735" w:type="dxa"/>
            <w:gridSpan w:val="3"/>
          </w:tcPr>
          <w:p>
            <w:pPr>
              <w:jc w:val="left"/>
              <w:rPr>
                <w:sz w:val="28"/>
                <w:szCs w:val="28"/>
              </w:rPr>
            </w:pPr>
          </w:p>
        </w:tc>
      </w:tr>
    </w:tbl>
    <w:p>
      <w:pPr>
        <w:spacing w:line="360" w:lineRule="auto"/>
        <w:rPr>
          <w:b/>
          <w:bCs/>
          <w:sz w:val="32"/>
          <w:szCs w:val="40"/>
        </w:rPr>
      </w:pPr>
      <w:r>
        <w:rPr>
          <w:rFonts w:hint="eastAsia"/>
          <w:b/>
          <w:bCs/>
          <w:sz w:val="32"/>
          <w:szCs w:val="40"/>
        </w:rPr>
        <w:br w:type="page"/>
      </w:r>
    </w:p>
    <w:p>
      <w:pPr>
        <w:keepNext/>
        <w:keepLines/>
        <w:jc w:val="center"/>
        <w:rPr>
          <w:b/>
          <w:bCs/>
          <w:sz w:val="40"/>
          <w:szCs w:val="44"/>
        </w:rPr>
      </w:pPr>
      <w:bookmarkStart w:id="103" w:name="_Toc25442_WPSOffice_Level2"/>
      <w:bookmarkStart w:id="104" w:name="_Toc14352_WPSOffice_Level2"/>
      <w:r>
        <w:rPr>
          <w:rFonts w:hint="eastAsia"/>
          <w:b/>
          <w:bCs/>
          <w:sz w:val="40"/>
          <w:szCs w:val="44"/>
        </w:rPr>
        <w:t>安全培训签到及成绩汇总表</w:t>
      </w:r>
      <w:bookmarkEnd w:id="103"/>
      <w:bookmarkEnd w:id="104"/>
    </w:p>
    <w:p>
      <w:pPr>
        <w:keepNext/>
        <w:keepLines/>
        <w:jc w:val="center"/>
        <w:rPr>
          <w:b/>
          <w:bCs/>
          <w:sz w:val="44"/>
          <w:szCs w:val="48"/>
        </w:rPr>
      </w:pPr>
    </w:p>
    <w:tbl>
      <w:tblPr>
        <w:tblStyle w:val="13"/>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485"/>
        <w:gridCol w:w="945"/>
        <w:gridCol w:w="1710"/>
        <w:gridCol w:w="885"/>
        <w:gridCol w:w="1485"/>
        <w:gridCol w:w="93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45" w:type="dxa"/>
          </w:tcPr>
          <w:p>
            <w:pPr>
              <w:jc w:val="center"/>
              <w:rPr>
                <w:b/>
                <w:bCs/>
                <w:sz w:val="28"/>
                <w:szCs w:val="28"/>
              </w:rPr>
            </w:pPr>
            <w:r>
              <w:rPr>
                <w:rFonts w:hint="eastAsia"/>
                <w:b/>
                <w:bCs/>
                <w:sz w:val="28"/>
                <w:szCs w:val="28"/>
              </w:rPr>
              <w:t>成绩</w:t>
            </w:r>
          </w:p>
        </w:tc>
        <w:tc>
          <w:tcPr>
            <w:tcW w:w="1710" w:type="dxa"/>
          </w:tcPr>
          <w:p>
            <w:pPr>
              <w:jc w:val="center"/>
              <w:rPr>
                <w:b/>
                <w:bCs/>
                <w:sz w:val="28"/>
                <w:szCs w:val="28"/>
              </w:rPr>
            </w:pPr>
            <w:r>
              <w:rPr>
                <w:rFonts w:hint="eastAsia"/>
                <w:b/>
                <w:bCs/>
                <w:sz w:val="28"/>
                <w:szCs w:val="28"/>
              </w:rPr>
              <w:t>备注</w:t>
            </w:r>
          </w:p>
        </w:tc>
        <w:tc>
          <w:tcPr>
            <w:tcW w:w="885"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30" w:type="dxa"/>
          </w:tcPr>
          <w:p>
            <w:pPr>
              <w:jc w:val="center"/>
              <w:rPr>
                <w:b/>
                <w:bCs/>
                <w:sz w:val="28"/>
                <w:szCs w:val="28"/>
              </w:rPr>
            </w:pPr>
            <w:r>
              <w:rPr>
                <w:rFonts w:hint="eastAsia"/>
                <w:b/>
                <w:bCs/>
                <w:sz w:val="28"/>
                <w:szCs w:val="28"/>
              </w:rPr>
              <w:t>成绩</w:t>
            </w:r>
          </w:p>
        </w:tc>
        <w:tc>
          <w:tcPr>
            <w:tcW w:w="1770" w:type="dxa"/>
          </w:tcPr>
          <w:p>
            <w:pPr>
              <w:jc w:val="center"/>
              <w:rPr>
                <w:b/>
                <w:bCs/>
                <w:sz w:val="28"/>
                <w:szCs w:val="28"/>
              </w:rPr>
            </w:pPr>
            <w:r>
              <w:rPr>
                <w:rFonts w:hint="eastAsia"/>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4"/>
                <w:szCs w:val="28"/>
              </w:rPr>
            </w:pPr>
            <w:r>
              <w:rPr>
                <w:rFonts w:hint="eastAsia"/>
                <w:sz w:val="24"/>
                <w:szCs w:val="28"/>
              </w:rPr>
              <w:t>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rPr>
                <w:sz w:val="24"/>
                <w:szCs w:val="28"/>
              </w:rPr>
            </w:pPr>
          </w:p>
        </w:tc>
        <w:tc>
          <w:tcPr>
            <w:tcW w:w="885" w:type="dxa"/>
            <w:vAlign w:val="center"/>
          </w:tcPr>
          <w:p>
            <w:pPr>
              <w:jc w:val="center"/>
              <w:rPr>
                <w:sz w:val="24"/>
                <w:szCs w:val="28"/>
              </w:rPr>
            </w:pPr>
            <w:r>
              <w:rPr>
                <w:rFonts w:hint="eastAsia"/>
                <w:sz w:val="24"/>
                <w:szCs w:val="28"/>
              </w:rPr>
              <w:t>21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40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bl>
    <w:p>
      <w:pPr>
        <w:jc w:val="center"/>
        <w:rPr>
          <w:b/>
          <w:bCs/>
          <w:sz w:val="32"/>
          <w:szCs w:val="40"/>
        </w:rPr>
      </w:pPr>
      <w:r>
        <w:rPr>
          <w:rFonts w:hint="eastAsia"/>
          <w:b/>
          <w:bCs/>
          <w:sz w:val="32"/>
          <w:szCs w:val="40"/>
        </w:rPr>
        <w:br w:type="page"/>
      </w:r>
    </w:p>
    <w:p>
      <w:pPr>
        <w:keepNext/>
        <w:keepLines/>
        <w:jc w:val="center"/>
        <w:rPr>
          <w:b/>
          <w:bCs/>
          <w:sz w:val="36"/>
          <w:szCs w:val="40"/>
        </w:rPr>
      </w:pPr>
      <w:bookmarkStart w:id="105" w:name="_Toc5912_WPSOffice_Level2"/>
      <w:bookmarkStart w:id="106" w:name="_Toc31429_WPSOffice_Level2"/>
      <w:bookmarkStart w:id="107" w:name="_Toc24255_WPSOffice_Level2"/>
      <w:bookmarkStart w:id="108" w:name="_Toc21327_WPSOffice_Level2"/>
      <w:bookmarkStart w:id="109" w:name="_Toc27060_WPSOffice_Level2"/>
      <w:bookmarkStart w:id="110" w:name="_Toc24759_WPSOffice_Level2"/>
      <w:r>
        <w:rPr>
          <w:rFonts w:hint="eastAsia"/>
          <w:b/>
          <w:bCs/>
          <w:sz w:val="36"/>
          <w:szCs w:val="40"/>
        </w:rPr>
        <w:t>安全生产双重预防体系建设培训记录</w:t>
      </w:r>
      <w:bookmarkEnd w:id="105"/>
      <w:bookmarkEnd w:id="106"/>
      <w:bookmarkEnd w:id="107"/>
      <w:bookmarkEnd w:id="108"/>
      <w:bookmarkEnd w:id="109"/>
      <w:bookmarkEnd w:id="110"/>
    </w:p>
    <w:p>
      <w:pPr>
        <w:keepNext/>
        <w:keepLines/>
        <w:jc w:val="center"/>
        <w:rPr>
          <w:b/>
          <w:bCs/>
          <w:sz w:val="36"/>
          <w:szCs w:val="40"/>
        </w:rPr>
      </w:pPr>
    </w:p>
    <w:tbl>
      <w:tblPr>
        <w:tblStyle w:val="14"/>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全体员工</w:t>
            </w:r>
          </w:p>
        </w:tc>
        <w:tc>
          <w:tcPr>
            <w:tcW w:w="1432" w:type="dxa"/>
          </w:tcPr>
          <w:p>
            <w:pPr>
              <w:jc w:val="center"/>
              <w:rPr>
                <w:sz w:val="28"/>
                <w:szCs w:val="28"/>
              </w:rPr>
            </w:pPr>
            <w:r>
              <w:rPr>
                <w:rFonts w:hint="eastAsia"/>
                <w:sz w:val="28"/>
                <w:szCs w:val="28"/>
              </w:rPr>
              <w:t>培训时间</w:t>
            </w:r>
          </w:p>
        </w:tc>
        <w:tc>
          <w:tcPr>
            <w:tcW w:w="3469" w:type="dxa"/>
          </w:tcPr>
          <w:p>
            <w:pPr>
              <w:jc w:val="center"/>
              <w:rPr>
                <w:sz w:val="28"/>
                <w:szCs w:val="28"/>
              </w:rPr>
            </w:pPr>
            <w:r>
              <w:rPr>
                <w:rFonts w:hint="eastAsia"/>
                <w:sz w:val="28"/>
                <w:szCs w:val="28"/>
                <w:lang w:eastAsia="zh-CN"/>
              </w:rPr>
              <w:t>202X</w:t>
            </w:r>
            <w:r>
              <w:rPr>
                <w:rFonts w:hint="eastAsia"/>
                <w:sz w:val="28"/>
                <w:szCs w:val="28"/>
              </w:rPr>
              <w:t>年10月25日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469" w:type="dxa"/>
          </w:tcPr>
          <w:p>
            <w:pPr>
              <w:jc w:val="center"/>
              <w:rPr>
                <w:sz w:val="28"/>
                <w:szCs w:val="28"/>
              </w:rPr>
            </w:pPr>
            <w:r>
              <w:rPr>
                <w:rFonts w:hint="eastAsia"/>
                <w:sz w:val="28"/>
                <w:szCs w:val="28"/>
              </w:rPr>
              <w:t>现场提问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735"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相关奖惩</w:t>
            </w:r>
          </w:p>
        </w:tc>
        <w:tc>
          <w:tcPr>
            <w:tcW w:w="7735" w:type="dxa"/>
            <w:gridSpan w:val="3"/>
          </w:tcPr>
          <w:p>
            <w:pPr>
              <w:jc w:val="left"/>
              <w:rPr>
                <w:sz w:val="28"/>
                <w:szCs w:val="28"/>
              </w:rPr>
            </w:pPr>
            <w:r>
              <w:rPr>
                <w:rFonts w:hint="eastAsia"/>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8" w:hRule="atLeast"/>
          <w:jc w:val="center"/>
        </w:trPr>
        <w:tc>
          <w:tcPr>
            <w:tcW w:w="1426" w:type="dxa"/>
          </w:tcPr>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r>
              <w:rPr>
                <w:rFonts w:hint="eastAsia"/>
                <w:sz w:val="28"/>
                <w:szCs w:val="28"/>
              </w:rPr>
              <w:t>培训内容</w:t>
            </w:r>
          </w:p>
        </w:tc>
        <w:tc>
          <w:tcPr>
            <w:tcW w:w="7735" w:type="dxa"/>
            <w:gridSpan w:val="3"/>
          </w:tcPr>
          <w:p>
            <w:pPr>
              <w:jc w:val="left"/>
              <w:rPr>
                <w:sz w:val="28"/>
                <w:szCs w:val="28"/>
              </w:rPr>
            </w:pPr>
            <w:r>
              <w:rPr>
                <w:rFonts w:hint="eastAsia"/>
                <w:sz w:val="28"/>
                <w:szCs w:val="28"/>
              </w:rPr>
              <w:t>本公司风险点与危险源清单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jc w:val="center"/>
        </w:trPr>
        <w:tc>
          <w:tcPr>
            <w:tcW w:w="1426" w:type="dxa"/>
          </w:tcPr>
          <w:p>
            <w:pPr>
              <w:jc w:val="center"/>
              <w:rPr>
                <w:sz w:val="28"/>
                <w:szCs w:val="28"/>
              </w:rPr>
            </w:pPr>
          </w:p>
          <w:p>
            <w:pPr>
              <w:jc w:val="center"/>
              <w:rPr>
                <w:sz w:val="28"/>
                <w:szCs w:val="28"/>
              </w:rPr>
            </w:pPr>
            <w:r>
              <w:rPr>
                <w:rFonts w:hint="eastAsia"/>
                <w:sz w:val="28"/>
                <w:szCs w:val="28"/>
              </w:rPr>
              <w:t>培训</w:t>
            </w:r>
          </w:p>
          <w:p>
            <w:pPr>
              <w:jc w:val="center"/>
              <w:rPr>
                <w:sz w:val="28"/>
                <w:szCs w:val="28"/>
              </w:rPr>
            </w:pPr>
            <w:r>
              <w:rPr>
                <w:rFonts w:hint="eastAsia"/>
                <w:sz w:val="28"/>
                <w:szCs w:val="28"/>
              </w:rPr>
              <w:t>效果</w:t>
            </w:r>
          </w:p>
          <w:p>
            <w:pPr>
              <w:jc w:val="center"/>
              <w:rPr>
                <w:sz w:val="28"/>
                <w:szCs w:val="28"/>
              </w:rPr>
            </w:pPr>
            <w:r>
              <w:rPr>
                <w:rFonts w:hint="eastAsia"/>
                <w:sz w:val="28"/>
                <w:szCs w:val="28"/>
              </w:rPr>
              <w:t>评估</w:t>
            </w:r>
          </w:p>
        </w:tc>
        <w:tc>
          <w:tcPr>
            <w:tcW w:w="7735" w:type="dxa"/>
            <w:gridSpan w:val="3"/>
          </w:tcPr>
          <w:p>
            <w:pPr>
              <w:jc w:val="left"/>
              <w:rPr>
                <w:sz w:val="28"/>
                <w:szCs w:val="28"/>
              </w:rPr>
            </w:pPr>
            <w:r>
              <w:rPr>
                <w:rFonts w:hint="eastAsia"/>
                <w:sz w:val="28"/>
                <w:szCs w:val="28"/>
              </w:rPr>
              <w:t>通过培训，员工了解了本公司存在的风险点与危险源，对本公司双重预防体系建设工作有较大促进</w:t>
            </w:r>
          </w:p>
        </w:tc>
      </w:tr>
    </w:tbl>
    <w:p/>
    <w:p>
      <w:pPr>
        <w:spacing w:line="360" w:lineRule="auto"/>
        <w:rPr>
          <w:b/>
          <w:bCs/>
          <w:sz w:val="32"/>
          <w:szCs w:val="40"/>
        </w:rPr>
      </w:pPr>
      <w:r>
        <w:rPr>
          <w:rFonts w:hint="eastAsia"/>
          <w:b/>
          <w:bCs/>
          <w:sz w:val="32"/>
          <w:szCs w:val="40"/>
        </w:rPr>
        <w:br w:type="page"/>
      </w:r>
    </w:p>
    <w:p>
      <w:pPr>
        <w:keepNext/>
        <w:keepLines/>
        <w:jc w:val="center"/>
        <w:rPr>
          <w:b/>
          <w:bCs/>
          <w:sz w:val="36"/>
          <w:szCs w:val="40"/>
        </w:rPr>
      </w:pPr>
      <w:bookmarkStart w:id="111" w:name="_Toc2486_WPSOffice_Level2"/>
      <w:r>
        <w:rPr>
          <w:rFonts w:hint="eastAsia"/>
          <w:b/>
          <w:bCs/>
          <w:sz w:val="36"/>
          <w:szCs w:val="40"/>
        </w:rPr>
        <w:t>安全生产双重预防体系建设培训评估记录</w:t>
      </w:r>
      <w:bookmarkEnd w:id="111"/>
    </w:p>
    <w:p>
      <w:pPr>
        <w:keepNext/>
        <w:keepLines/>
        <w:jc w:val="center"/>
        <w:rPr>
          <w:b/>
          <w:bCs/>
          <w:sz w:val="36"/>
          <w:szCs w:val="40"/>
        </w:rPr>
      </w:pPr>
    </w:p>
    <w:tbl>
      <w:tblPr>
        <w:tblStyle w:val="14"/>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全体员工</w:t>
            </w:r>
          </w:p>
        </w:tc>
        <w:tc>
          <w:tcPr>
            <w:tcW w:w="1432" w:type="dxa"/>
          </w:tcPr>
          <w:p>
            <w:pPr>
              <w:jc w:val="center"/>
              <w:rPr>
                <w:sz w:val="28"/>
                <w:szCs w:val="28"/>
              </w:rPr>
            </w:pPr>
            <w:r>
              <w:rPr>
                <w:rFonts w:hint="eastAsia"/>
                <w:sz w:val="28"/>
                <w:szCs w:val="28"/>
              </w:rPr>
              <w:t>培训时间</w:t>
            </w:r>
          </w:p>
        </w:tc>
        <w:tc>
          <w:tcPr>
            <w:tcW w:w="3469" w:type="dxa"/>
          </w:tcPr>
          <w:p>
            <w:pPr>
              <w:jc w:val="center"/>
              <w:rPr>
                <w:sz w:val="28"/>
                <w:szCs w:val="28"/>
              </w:rPr>
            </w:pPr>
            <w:r>
              <w:rPr>
                <w:rFonts w:hint="eastAsia"/>
                <w:sz w:val="28"/>
                <w:szCs w:val="28"/>
                <w:lang w:eastAsia="zh-CN"/>
              </w:rPr>
              <w:t>202X</w:t>
            </w:r>
            <w:r>
              <w:rPr>
                <w:rFonts w:hint="eastAsia"/>
                <w:sz w:val="28"/>
                <w:szCs w:val="28"/>
              </w:rPr>
              <w:t>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469" w:type="dxa"/>
          </w:tcPr>
          <w:p>
            <w:pPr>
              <w:jc w:val="center"/>
              <w:rPr>
                <w:sz w:val="28"/>
                <w:szCs w:val="28"/>
              </w:rPr>
            </w:pPr>
            <w:r>
              <w:rPr>
                <w:rFonts w:hint="eastAsia"/>
                <w:sz w:val="28"/>
                <w:szCs w:val="28"/>
              </w:rPr>
              <w:t>现场提问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735"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评估日期</w:t>
            </w:r>
          </w:p>
        </w:tc>
        <w:tc>
          <w:tcPr>
            <w:tcW w:w="7735" w:type="dxa"/>
            <w:gridSpan w:val="3"/>
          </w:tcPr>
          <w:p>
            <w:pPr>
              <w:jc w:val="center"/>
              <w:rPr>
                <w:sz w:val="28"/>
                <w:szCs w:val="28"/>
              </w:rPr>
            </w:pPr>
            <w:r>
              <w:rPr>
                <w:rFonts w:hint="eastAsia"/>
                <w:sz w:val="28"/>
                <w:szCs w:val="28"/>
                <w:lang w:eastAsia="zh-CN"/>
              </w:rPr>
              <w:t>202X</w:t>
            </w:r>
            <w:r>
              <w:rPr>
                <w:rFonts w:hint="eastAsia"/>
                <w:sz w:val="28"/>
                <w:szCs w:val="28"/>
              </w:rPr>
              <w:t>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8" w:hRule="atLeast"/>
          <w:jc w:val="center"/>
        </w:trPr>
        <w:tc>
          <w:tcPr>
            <w:tcW w:w="1426" w:type="dxa"/>
          </w:tcPr>
          <w:p>
            <w:pPr>
              <w:jc w:val="center"/>
              <w:rPr>
                <w:sz w:val="28"/>
                <w:szCs w:val="28"/>
              </w:rPr>
            </w:pPr>
          </w:p>
          <w:p>
            <w:pPr>
              <w:jc w:val="center"/>
              <w:rPr>
                <w:sz w:val="28"/>
                <w:szCs w:val="28"/>
              </w:rPr>
            </w:pPr>
          </w:p>
          <w:p>
            <w:pPr>
              <w:jc w:val="center"/>
              <w:rPr>
                <w:sz w:val="28"/>
                <w:szCs w:val="28"/>
              </w:rPr>
            </w:pPr>
          </w:p>
          <w:p>
            <w:pPr>
              <w:jc w:val="center"/>
              <w:rPr>
                <w:sz w:val="28"/>
                <w:szCs w:val="28"/>
              </w:rPr>
            </w:pPr>
            <w:r>
              <w:rPr>
                <w:rFonts w:hint="eastAsia"/>
                <w:sz w:val="28"/>
                <w:szCs w:val="28"/>
              </w:rPr>
              <w:t>培训</w:t>
            </w:r>
          </w:p>
          <w:p>
            <w:pPr>
              <w:jc w:val="center"/>
              <w:rPr>
                <w:sz w:val="28"/>
                <w:szCs w:val="28"/>
              </w:rPr>
            </w:pPr>
            <w:r>
              <w:rPr>
                <w:rFonts w:hint="eastAsia"/>
                <w:sz w:val="28"/>
                <w:szCs w:val="28"/>
              </w:rPr>
              <w:t>效果</w:t>
            </w:r>
          </w:p>
          <w:p>
            <w:pPr>
              <w:jc w:val="center"/>
              <w:rPr>
                <w:sz w:val="28"/>
                <w:szCs w:val="28"/>
              </w:rPr>
            </w:pPr>
            <w:r>
              <w:rPr>
                <w:rFonts w:hint="eastAsia"/>
                <w:sz w:val="28"/>
                <w:szCs w:val="28"/>
              </w:rPr>
              <w:t>评估</w:t>
            </w:r>
          </w:p>
        </w:tc>
        <w:tc>
          <w:tcPr>
            <w:tcW w:w="7735" w:type="dxa"/>
            <w:gridSpan w:val="3"/>
          </w:tcPr>
          <w:p>
            <w:pPr>
              <w:ind w:firstLine="560" w:firstLineChars="200"/>
              <w:jc w:val="left"/>
              <w:rPr>
                <w:sz w:val="28"/>
                <w:szCs w:val="28"/>
              </w:rPr>
            </w:pPr>
            <w:r>
              <w:rPr>
                <w:rFonts w:hint="eastAsia"/>
                <w:sz w:val="28"/>
                <w:szCs w:val="28"/>
              </w:rPr>
              <w:t>本次培训内容为本公司风险点与危险源清单。通过此次培训们全体职工清楚了本公司风险点与危险源，以及风险管控措施。相关责任人掌握了隐患排查的方法。为本公司开展隐患排查治理工作提供了技术保障。</w:t>
            </w:r>
          </w:p>
          <w:p>
            <w:pPr>
              <w:ind w:firstLine="560" w:firstLineChars="200"/>
              <w:jc w:val="left"/>
              <w:rPr>
                <w:sz w:val="28"/>
                <w:szCs w:val="28"/>
              </w:rPr>
            </w:pPr>
            <w:r>
              <w:rPr>
                <w:rFonts w:hint="eastAsia"/>
                <w:sz w:val="28"/>
                <w:szCs w:val="28"/>
              </w:rPr>
              <w:t>综上，本次培训效果良好。</w:t>
            </w:r>
          </w:p>
          <w:p>
            <w:pPr>
              <w:jc w:val="lef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6" w:hRule="atLeast"/>
          <w:jc w:val="center"/>
        </w:trPr>
        <w:tc>
          <w:tcPr>
            <w:tcW w:w="1426" w:type="dxa"/>
          </w:tcPr>
          <w:p>
            <w:pPr>
              <w:jc w:val="center"/>
              <w:rPr>
                <w:sz w:val="28"/>
                <w:szCs w:val="28"/>
              </w:rPr>
            </w:pPr>
          </w:p>
          <w:p>
            <w:pPr>
              <w:jc w:val="center"/>
              <w:rPr>
                <w:sz w:val="28"/>
                <w:szCs w:val="28"/>
              </w:rPr>
            </w:pPr>
            <w:r>
              <w:rPr>
                <w:rFonts w:hint="eastAsia"/>
                <w:sz w:val="28"/>
                <w:szCs w:val="28"/>
              </w:rPr>
              <w:t>评估</w:t>
            </w:r>
          </w:p>
          <w:p>
            <w:pPr>
              <w:jc w:val="center"/>
              <w:rPr>
                <w:sz w:val="28"/>
                <w:szCs w:val="28"/>
              </w:rPr>
            </w:pPr>
            <w:r>
              <w:rPr>
                <w:rFonts w:hint="eastAsia"/>
                <w:sz w:val="28"/>
                <w:szCs w:val="28"/>
              </w:rPr>
              <w:t>人员</w:t>
            </w:r>
          </w:p>
          <w:p>
            <w:pPr>
              <w:jc w:val="center"/>
              <w:rPr>
                <w:sz w:val="28"/>
                <w:szCs w:val="28"/>
              </w:rPr>
            </w:pPr>
            <w:r>
              <w:rPr>
                <w:rFonts w:hint="eastAsia"/>
                <w:sz w:val="28"/>
                <w:szCs w:val="28"/>
              </w:rPr>
              <w:t>签字</w:t>
            </w:r>
          </w:p>
        </w:tc>
        <w:tc>
          <w:tcPr>
            <w:tcW w:w="7735" w:type="dxa"/>
            <w:gridSpan w:val="3"/>
          </w:tcPr>
          <w:p>
            <w:pPr>
              <w:jc w:val="left"/>
              <w:rPr>
                <w:sz w:val="28"/>
                <w:szCs w:val="28"/>
              </w:rPr>
            </w:pPr>
          </w:p>
        </w:tc>
      </w:tr>
    </w:tbl>
    <w:p>
      <w:pPr>
        <w:spacing w:line="360" w:lineRule="auto"/>
        <w:rPr>
          <w:b/>
          <w:bCs/>
          <w:sz w:val="32"/>
          <w:szCs w:val="40"/>
        </w:rPr>
      </w:pPr>
    </w:p>
    <w:p>
      <w:pPr>
        <w:keepNext/>
        <w:keepLines/>
        <w:jc w:val="center"/>
        <w:rPr>
          <w:b/>
          <w:bCs/>
          <w:sz w:val="40"/>
          <w:szCs w:val="44"/>
        </w:rPr>
      </w:pPr>
      <w:r>
        <w:rPr>
          <w:rFonts w:hint="eastAsia"/>
          <w:b/>
          <w:bCs/>
          <w:sz w:val="40"/>
          <w:szCs w:val="44"/>
        </w:rPr>
        <w:t>安全培训签到及成绩汇总表</w:t>
      </w:r>
    </w:p>
    <w:p>
      <w:pPr>
        <w:keepNext/>
        <w:keepLines/>
        <w:jc w:val="center"/>
        <w:rPr>
          <w:b/>
          <w:bCs/>
          <w:sz w:val="44"/>
          <w:szCs w:val="48"/>
        </w:rPr>
      </w:pPr>
    </w:p>
    <w:tbl>
      <w:tblPr>
        <w:tblStyle w:val="13"/>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485"/>
        <w:gridCol w:w="945"/>
        <w:gridCol w:w="1710"/>
        <w:gridCol w:w="885"/>
        <w:gridCol w:w="1485"/>
        <w:gridCol w:w="93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45" w:type="dxa"/>
          </w:tcPr>
          <w:p>
            <w:pPr>
              <w:jc w:val="center"/>
              <w:rPr>
                <w:b/>
                <w:bCs/>
                <w:sz w:val="28"/>
                <w:szCs w:val="28"/>
              </w:rPr>
            </w:pPr>
            <w:r>
              <w:rPr>
                <w:rFonts w:hint="eastAsia"/>
                <w:b/>
                <w:bCs/>
                <w:sz w:val="28"/>
                <w:szCs w:val="28"/>
              </w:rPr>
              <w:t>成绩</w:t>
            </w:r>
          </w:p>
        </w:tc>
        <w:tc>
          <w:tcPr>
            <w:tcW w:w="1710" w:type="dxa"/>
          </w:tcPr>
          <w:p>
            <w:pPr>
              <w:jc w:val="center"/>
              <w:rPr>
                <w:b/>
                <w:bCs/>
                <w:sz w:val="28"/>
                <w:szCs w:val="28"/>
              </w:rPr>
            </w:pPr>
            <w:r>
              <w:rPr>
                <w:rFonts w:hint="eastAsia"/>
                <w:b/>
                <w:bCs/>
                <w:sz w:val="28"/>
                <w:szCs w:val="28"/>
              </w:rPr>
              <w:t>备注</w:t>
            </w:r>
          </w:p>
        </w:tc>
        <w:tc>
          <w:tcPr>
            <w:tcW w:w="885"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30" w:type="dxa"/>
          </w:tcPr>
          <w:p>
            <w:pPr>
              <w:jc w:val="center"/>
              <w:rPr>
                <w:b/>
                <w:bCs/>
                <w:sz w:val="28"/>
                <w:szCs w:val="28"/>
              </w:rPr>
            </w:pPr>
            <w:r>
              <w:rPr>
                <w:rFonts w:hint="eastAsia"/>
                <w:b/>
                <w:bCs/>
                <w:sz w:val="28"/>
                <w:szCs w:val="28"/>
              </w:rPr>
              <w:t>成绩</w:t>
            </w:r>
          </w:p>
        </w:tc>
        <w:tc>
          <w:tcPr>
            <w:tcW w:w="1770" w:type="dxa"/>
          </w:tcPr>
          <w:p>
            <w:pPr>
              <w:jc w:val="center"/>
              <w:rPr>
                <w:b/>
                <w:bCs/>
                <w:sz w:val="28"/>
                <w:szCs w:val="28"/>
              </w:rPr>
            </w:pPr>
            <w:r>
              <w:rPr>
                <w:rFonts w:hint="eastAsia"/>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4"/>
                <w:szCs w:val="28"/>
              </w:rPr>
            </w:pPr>
            <w:r>
              <w:rPr>
                <w:rFonts w:hint="eastAsia"/>
                <w:sz w:val="24"/>
                <w:szCs w:val="28"/>
              </w:rPr>
              <w:t>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rPr>
                <w:sz w:val="24"/>
                <w:szCs w:val="28"/>
              </w:rPr>
            </w:pPr>
          </w:p>
        </w:tc>
        <w:tc>
          <w:tcPr>
            <w:tcW w:w="885" w:type="dxa"/>
            <w:vAlign w:val="center"/>
          </w:tcPr>
          <w:p>
            <w:pPr>
              <w:jc w:val="center"/>
              <w:rPr>
                <w:sz w:val="24"/>
                <w:szCs w:val="28"/>
              </w:rPr>
            </w:pPr>
            <w:r>
              <w:rPr>
                <w:rFonts w:hint="eastAsia"/>
                <w:sz w:val="24"/>
                <w:szCs w:val="28"/>
              </w:rPr>
              <w:t>21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40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bl>
    <w:p>
      <w:pPr>
        <w:jc w:val="center"/>
        <w:rPr>
          <w:b/>
          <w:bCs/>
          <w:sz w:val="32"/>
          <w:szCs w:val="40"/>
        </w:rPr>
      </w:pPr>
      <w:r>
        <w:rPr>
          <w:rFonts w:hint="eastAsia"/>
          <w:b/>
          <w:bCs/>
          <w:sz w:val="32"/>
          <w:szCs w:val="40"/>
        </w:rPr>
        <w:br w:type="page"/>
      </w:r>
    </w:p>
    <w:p>
      <w:pPr>
        <w:jc w:val="center"/>
        <w:rPr>
          <w:w w:val="66"/>
        </w:rPr>
      </w:pPr>
      <w:bookmarkStart w:id="112" w:name="_Toc10598_WPSOffice_Level1"/>
      <w:bookmarkStart w:id="113" w:name="_Toc23078_WPSOffice_Level1"/>
      <w:bookmarkStart w:id="114" w:name="_Toc21221_WPSOffice_Level1"/>
      <w:bookmarkStart w:id="115" w:name="_Toc19920"/>
      <w:r>
        <w:rPr>
          <w:rFonts w:hint="eastAsia"/>
          <w:b/>
          <w:bCs/>
          <w:color w:val="FF0000"/>
          <w:w w:val="66"/>
          <w:sz w:val="72"/>
          <w:szCs w:val="72"/>
        </w:rPr>
        <w:t>XX有限公司文件</w:t>
      </w:r>
      <w:bookmarkEnd w:id="112"/>
      <w:bookmarkEnd w:id="113"/>
      <w:bookmarkEnd w:id="114"/>
    </w:p>
    <w:p/>
    <w:p>
      <w:pPr>
        <w:jc w:val="center"/>
        <w:rPr>
          <w:sz w:val="28"/>
          <w:szCs w:val="28"/>
        </w:rPr>
      </w:pPr>
      <w:r>
        <w:rPr>
          <w:sz w:val="28"/>
        </w:rPr>
        <w:pict>
          <v:line id="_x0000_s3099" o:spid="_x0000_s3099" o:spt="20" style="position:absolute;left:0pt;margin-left:0.7pt;margin-top:26.85pt;height:0pt;width:441.4pt;z-index:251668480;mso-width-relative:page;mso-height-relative:page;" stroked="t" coordsize="21600,21600" o:gfxdata="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h+IsaNQAAAAHAQAADwAAAAAAAAABACAAAAAiAAAAZHJz&#10;L2Rvd25yZXYueG1sUEsBAhQAFAAAAAgAh07iQFCGewrPAQAAWgMAAA4AAAAAAAAAAQAgAAAAIwEA&#10;AGRycy9lMm9Eb2MueG1sUEsFBgAAAAAGAAYAWQEAAGQFAAAAAA==&#10;">
            <v:path arrowok="t"/>
            <v:fill focussize="0,0"/>
            <v:stroke weight="2.25pt" color="#FF0000"/>
            <v:imagedata o:title=""/>
            <o:lock v:ext="edit"/>
          </v:line>
        </w:pict>
      </w:r>
      <w:r>
        <w:rPr>
          <w:rFonts w:hint="eastAsia"/>
          <w:sz w:val="28"/>
        </w:rPr>
        <w:t>XX</w:t>
      </w:r>
      <w:r>
        <w:rPr>
          <w:rFonts w:hint="eastAsia"/>
          <w:sz w:val="28"/>
          <w:szCs w:val="28"/>
        </w:rPr>
        <w:t>字【</w:t>
      </w:r>
      <w:r>
        <w:rPr>
          <w:rFonts w:hint="eastAsia"/>
          <w:sz w:val="28"/>
          <w:szCs w:val="28"/>
          <w:lang w:eastAsia="zh-CN"/>
        </w:rPr>
        <w:t>202X</w:t>
      </w:r>
      <w:r>
        <w:rPr>
          <w:rFonts w:hint="eastAsia"/>
          <w:sz w:val="28"/>
          <w:szCs w:val="28"/>
        </w:rPr>
        <w:t>】第16号</w:t>
      </w:r>
    </w:p>
    <w:p/>
    <w:p>
      <w:pPr>
        <w:spacing w:line="360" w:lineRule="auto"/>
        <w:ind w:firstLine="560" w:firstLineChars="200"/>
        <w:rPr>
          <w:sz w:val="28"/>
          <w:szCs w:val="28"/>
        </w:rPr>
      </w:pPr>
    </w:p>
    <w:p>
      <w:pPr>
        <w:pStyle w:val="2"/>
      </w:pPr>
      <w:bookmarkStart w:id="116" w:name="_Toc22788_WPSOffice_Level2"/>
      <w:r>
        <w:rPr>
          <w:rFonts w:hint="eastAsia"/>
        </w:rPr>
        <w:t>关于发布安全生产风险分级管控制度的通知</w:t>
      </w:r>
      <w:bookmarkEnd w:id="116"/>
    </w:p>
    <w:p>
      <w:pPr>
        <w:spacing w:line="480" w:lineRule="exact"/>
        <w:ind w:firstLine="560" w:firstLineChars="200"/>
        <w:rPr>
          <w:sz w:val="28"/>
          <w:szCs w:val="28"/>
        </w:rPr>
      </w:pPr>
    </w:p>
    <w:p>
      <w:pPr>
        <w:spacing w:line="360" w:lineRule="auto"/>
        <w:rPr>
          <w:sz w:val="28"/>
          <w:szCs w:val="28"/>
        </w:rPr>
      </w:pPr>
      <w:r>
        <w:rPr>
          <w:rFonts w:hint="eastAsia"/>
          <w:sz w:val="28"/>
          <w:szCs w:val="28"/>
        </w:rPr>
        <w:t>各岗位职工：</w:t>
      </w:r>
    </w:p>
    <w:p>
      <w:pPr>
        <w:spacing w:line="360" w:lineRule="auto"/>
        <w:ind w:firstLine="560" w:firstLineChars="200"/>
        <w:rPr>
          <w:sz w:val="28"/>
          <w:szCs w:val="28"/>
        </w:rPr>
      </w:pPr>
      <w:r>
        <w:rPr>
          <w:rFonts w:hint="eastAsia"/>
          <w:sz w:val="28"/>
          <w:szCs w:val="28"/>
        </w:rPr>
        <w:t>为贯彻落实山东省人民政府安全生产委员会《关于进一步加强风险分级管控与隐患排查治理“双重预防体系”建设工作的通知》鲁安发〔2017〕12号、省安委会办公室关于印发《</w:t>
      </w:r>
      <w:r>
        <w:rPr>
          <w:rFonts w:hint="eastAsia"/>
          <w:sz w:val="28"/>
          <w:szCs w:val="28"/>
          <w:lang w:eastAsia="zh-CN"/>
        </w:rPr>
        <w:t>202X</w:t>
      </w:r>
      <w:r>
        <w:rPr>
          <w:rFonts w:hint="eastAsia"/>
          <w:sz w:val="28"/>
          <w:szCs w:val="28"/>
        </w:rPr>
        <w:t>年全省安全生产风险分级管控和隐患排查治理双重预防体系建设推进工作方案》的通知（鲁安办发﹝</w:t>
      </w:r>
      <w:r>
        <w:rPr>
          <w:rFonts w:hint="eastAsia"/>
          <w:sz w:val="28"/>
          <w:szCs w:val="28"/>
          <w:lang w:eastAsia="zh-CN"/>
        </w:rPr>
        <w:t>202X</w:t>
      </w:r>
      <w:r>
        <w:rPr>
          <w:rFonts w:hint="eastAsia"/>
          <w:sz w:val="28"/>
          <w:szCs w:val="28"/>
        </w:rPr>
        <w:t>﹞29号）等相关文件要求，切实提高本公司安全管理水平，加强风险分级管控，尽快完成安全风险分级管控体系建设工作，本公司安全生产双重预防体系建设领导小组编制了《安全生产风险分级管控制度》，各部门级各岗位职工应认真贯彻制度内容，按照时间要求完成本公司安全生产双重预防体系建设工作。</w:t>
      </w:r>
    </w:p>
    <w:p>
      <w:pPr>
        <w:spacing w:line="360" w:lineRule="auto"/>
        <w:rPr>
          <w:sz w:val="28"/>
          <w:szCs w:val="28"/>
        </w:rPr>
      </w:pPr>
    </w:p>
    <w:p>
      <w:pPr>
        <w:spacing w:line="360" w:lineRule="auto"/>
        <w:ind w:firstLine="560" w:firstLineChars="200"/>
        <w:jc w:val="right"/>
        <w:rPr>
          <w:sz w:val="28"/>
          <w:szCs w:val="28"/>
        </w:rPr>
      </w:pPr>
    </w:p>
    <w:p>
      <w:pPr>
        <w:spacing w:line="360" w:lineRule="auto"/>
        <w:ind w:firstLine="562" w:firstLineChars="200"/>
        <w:jc w:val="center"/>
        <w:rPr>
          <w:b/>
          <w:bCs/>
          <w:sz w:val="28"/>
          <w:szCs w:val="28"/>
        </w:rPr>
      </w:pPr>
      <w:r>
        <w:rPr>
          <w:rFonts w:hint="eastAsia"/>
          <w:b/>
          <w:bCs/>
          <w:sz w:val="28"/>
          <w:szCs w:val="28"/>
        </w:rPr>
        <w:t xml:space="preserve">                          </w:t>
      </w:r>
      <w:bookmarkStart w:id="117" w:name="_Toc19375_WPSOffice_Level2"/>
      <w:r>
        <w:rPr>
          <w:rFonts w:hint="eastAsia"/>
          <w:b/>
          <w:bCs/>
          <w:sz w:val="28"/>
          <w:szCs w:val="28"/>
        </w:rPr>
        <w:t>总经理：</w:t>
      </w:r>
      <w:bookmarkEnd w:id="117"/>
    </w:p>
    <w:p>
      <w:pPr>
        <w:spacing w:line="360" w:lineRule="auto"/>
        <w:ind w:firstLine="560" w:firstLineChars="200"/>
        <w:jc w:val="right"/>
        <w:rPr>
          <w:sz w:val="28"/>
          <w:szCs w:val="28"/>
        </w:rPr>
      </w:pPr>
    </w:p>
    <w:p>
      <w:pPr>
        <w:spacing w:line="360" w:lineRule="auto"/>
        <w:ind w:firstLine="560" w:firstLineChars="200"/>
        <w:jc w:val="right"/>
        <w:rPr>
          <w:sz w:val="28"/>
          <w:szCs w:val="28"/>
        </w:rPr>
      </w:pPr>
    </w:p>
    <w:p>
      <w:pPr>
        <w:spacing w:line="360" w:lineRule="auto"/>
        <w:sectPr>
          <w:headerReference r:id="rId19" w:type="first"/>
          <w:headerReference r:id="rId17" w:type="default"/>
          <w:footerReference r:id="rId20" w:type="default"/>
          <w:headerReference r:id="rId18" w:type="even"/>
          <w:pgSz w:w="11906" w:h="16838"/>
          <w:pgMar w:top="1440" w:right="1133" w:bottom="1440" w:left="1560" w:header="851" w:footer="992" w:gutter="0"/>
          <w:pgNumType w:start="1"/>
          <w:cols w:space="720" w:num="1"/>
          <w:docGrid w:type="lines" w:linePitch="312" w:charSpace="0"/>
        </w:sectPr>
      </w:pPr>
      <w:r>
        <w:rPr>
          <w:sz w:val="28"/>
        </w:rPr>
        <w:pict>
          <v:line id="_x0000_s3098" o:spid="_x0000_s3098" o:spt="20" style="position:absolute;left:0pt;flip:y;margin-left:-6.1pt;margin-top:26.35pt;height:0.15pt;width:472.5pt;z-index:251669504;mso-width-relative:page;mso-height-relative:page;" stroked="t" coordsize="21600,21600" o:gfxdata="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N&#10;Oqr41wAAAAkBAAAPAAAAAAAAAAEAIAAAACIAAABkcnMvZG93bnJldi54bWxQSwECFAAUAAAACACH&#10;TuJA5KMpAuwBAACgAwAADgAAAAAAAAABACAAAAAmAQAAZHJzL2Uyb0RvYy54bWxQSwUGAAAAAAYA&#10;BgBZAQAAhAUAAAAA&#10;">
            <v:path arrowok="t"/>
            <v:fill focussize="0,0"/>
            <v:stroke color="#000000"/>
            <v:imagedata o:title=""/>
            <o:lock v:ext="edit"/>
          </v:line>
        </w:pict>
      </w:r>
      <w:r>
        <w:rPr>
          <w:sz w:val="28"/>
        </w:rPr>
        <w:pict>
          <v:line id="_x0000_s3097" o:spid="_x0000_s3097" o:spt="20" style="position:absolute;left:0pt;flip:y;margin-left:-4.55pt;margin-top:1pt;height:0.45pt;width:469.8pt;z-index:251670528;mso-width-relative:page;mso-height-relative:page;" stroked="t" coordsize="21600,21600" o:gfxdata="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zEEFdQAAAAGAQAADwAA&#10;AAAAAAABACAAAAAiAAAAZHJzL2Rvd25yZXYueG1sUEsBAhQAFAAAAAgAh07iQAja3J3hAQAAlAMA&#10;AA4AAAAAAAAAAQAgAAAAIwEAAGRycy9lMm9Eb2MueG1sUEsFBgAAAAAGAAYAWQEAAHYFAAAAAA==&#10;">
            <v:path arrowok="t"/>
            <v:fill focussize="0,0"/>
            <v:stroke color="#000000"/>
            <v:imagedata o:title=""/>
            <o:lock v:ext="edit"/>
          </v:line>
        </w:pict>
      </w:r>
      <w:r>
        <w:rPr>
          <w:rFonts w:hint="eastAsia"/>
          <w:sz w:val="28"/>
        </w:rPr>
        <w:t xml:space="preserve">山东XX生物技术有限公司   </w:t>
      </w:r>
      <w:r>
        <w:rPr>
          <w:rFonts w:hint="eastAsia"/>
          <w:sz w:val="28"/>
          <w:szCs w:val="28"/>
        </w:rPr>
        <w:t xml:space="preserve">                   </w:t>
      </w:r>
      <w:r>
        <w:rPr>
          <w:rFonts w:hint="eastAsia"/>
          <w:sz w:val="28"/>
          <w:szCs w:val="28"/>
          <w:lang w:eastAsia="zh-CN"/>
        </w:rPr>
        <w:t>202X</w:t>
      </w:r>
      <w:r>
        <w:rPr>
          <w:rFonts w:hint="eastAsia"/>
          <w:sz w:val="28"/>
          <w:szCs w:val="28"/>
        </w:rPr>
        <w:t>年10月03日</w:t>
      </w:r>
    </w:p>
    <w:p>
      <w:pPr>
        <w:pStyle w:val="2"/>
      </w:pPr>
      <w:bookmarkStart w:id="118" w:name="_Toc21408_WPSOffice_Level2"/>
      <w:r>
        <w:rPr>
          <w:rFonts w:hint="eastAsia"/>
        </w:rPr>
        <w:t>风险分级管控制度</w:t>
      </w:r>
      <w:bookmarkEnd w:id="115"/>
      <w:bookmarkEnd w:id="118"/>
    </w:p>
    <w:p>
      <w:pPr>
        <w:spacing w:line="360" w:lineRule="auto"/>
        <w:rPr>
          <w:b/>
          <w:bCs/>
          <w:sz w:val="28"/>
          <w:szCs w:val="28"/>
        </w:rPr>
      </w:pPr>
      <w:bookmarkStart w:id="119" w:name="_Toc13611_WPSOffice_Level2"/>
      <w:bookmarkStart w:id="120" w:name="_Toc664_WPSOffice_Level2"/>
      <w:bookmarkStart w:id="121" w:name="_Toc14983_WPSOffice_Level2"/>
      <w:bookmarkStart w:id="122" w:name="_Toc26973_WPSOffice_Level2"/>
      <w:bookmarkStart w:id="123" w:name="_Toc23714_WPSOffice_Level2"/>
      <w:bookmarkStart w:id="124" w:name="_Toc10896_WPSOffice_Level2"/>
      <w:bookmarkStart w:id="125" w:name="_Toc22247_WPSOffice_Level2"/>
      <w:bookmarkStart w:id="126" w:name="_Toc5894_WPSOffice_Level2"/>
      <w:r>
        <w:rPr>
          <w:rFonts w:hint="eastAsia"/>
          <w:b/>
          <w:bCs/>
          <w:sz w:val="28"/>
          <w:szCs w:val="28"/>
        </w:rPr>
        <w:t>1.目的</w:t>
      </w:r>
      <w:bookmarkEnd w:id="119"/>
      <w:bookmarkEnd w:id="120"/>
      <w:bookmarkEnd w:id="121"/>
      <w:bookmarkEnd w:id="122"/>
      <w:bookmarkEnd w:id="123"/>
      <w:bookmarkEnd w:id="124"/>
      <w:bookmarkEnd w:id="125"/>
      <w:bookmarkEnd w:id="126"/>
    </w:p>
    <w:p>
      <w:pPr>
        <w:spacing w:line="360" w:lineRule="auto"/>
        <w:ind w:firstLine="560" w:firstLineChars="200"/>
        <w:rPr>
          <w:sz w:val="28"/>
          <w:szCs w:val="28"/>
        </w:rPr>
      </w:pPr>
      <w:r>
        <w:rPr>
          <w:rFonts w:hint="eastAsia"/>
          <w:sz w:val="28"/>
          <w:szCs w:val="28"/>
        </w:rPr>
        <w:t>为加强全公司安全管理，消除或减少危害，增强事故防控能力，有效遏制重特大生产安全事故，降低安全风险，特制定本制度。</w:t>
      </w:r>
    </w:p>
    <w:p>
      <w:pPr>
        <w:spacing w:line="360" w:lineRule="auto"/>
        <w:rPr>
          <w:b/>
          <w:bCs/>
          <w:sz w:val="28"/>
          <w:szCs w:val="28"/>
        </w:rPr>
      </w:pPr>
      <w:bookmarkStart w:id="127" w:name="_Toc11334_WPSOffice_Level2"/>
      <w:bookmarkStart w:id="128" w:name="_Toc23049_WPSOffice_Level2"/>
      <w:bookmarkStart w:id="129" w:name="_Toc9987_WPSOffice_Level2"/>
      <w:bookmarkStart w:id="130" w:name="_Toc2804_WPSOffice_Level2"/>
      <w:bookmarkStart w:id="131" w:name="_Toc7844_WPSOffice_Level2"/>
      <w:bookmarkStart w:id="132" w:name="_Toc7997_WPSOffice_Level2"/>
      <w:bookmarkStart w:id="133" w:name="_Toc16500_WPSOffice_Level2"/>
      <w:bookmarkStart w:id="134" w:name="_Toc29770_WPSOffice_Level2"/>
      <w:r>
        <w:rPr>
          <w:rFonts w:hint="eastAsia"/>
          <w:b/>
          <w:bCs/>
          <w:sz w:val="28"/>
          <w:szCs w:val="28"/>
        </w:rPr>
        <w:t>2.适用范围</w:t>
      </w:r>
      <w:bookmarkEnd w:id="127"/>
      <w:bookmarkEnd w:id="128"/>
      <w:bookmarkEnd w:id="129"/>
      <w:bookmarkEnd w:id="130"/>
      <w:bookmarkEnd w:id="131"/>
      <w:bookmarkEnd w:id="132"/>
      <w:bookmarkEnd w:id="133"/>
      <w:bookmarkEnd w:id="134"/>
    </w:p>
    <w:p>
      <w:pPr>
        <w:spacing w:line="360" w:lineRule="auto"/>
        <w:ind w:firstLine="560" w:firstLineChars="200"/>
        <w:rPr>
          <w:sz w:val="28"/>
          <w:szCs w:val="28"/>
        </w:rPr>
      </w:pPr>
      <w:r>
        <w:rPr>
          <w:rFonts w:hint="eastAsia"/>
          <w:sz w:val="28"/>
          <w:szCs w:val="28"/>
        </w:rPr>
        <w:t>适用于本公司的所有岗位和所有活动，包括生产活动、设备设施、危险物质、安全防护、正常和异常活动、人为因素、违反规程、规章等。</w:t>
      </w:r>
    </w:p>
    <w:p>
      <w:pPr>
        <w:spacing w:line="360" w:lineRule="auto"/>
        <w:rPr>
          <w:b/>
          <w:bCs/>
          <w:sz w:val="28"/>
          <w:szCs w:val="28"/>
        </w:rPr>
      </w:pPr>
      <w:bookmarkStart w:id="135" w:name="_Toc13036_WPSOffice_Level2"/>
      <w:bookmarkStart w:id="136" w:name="_Toc12419_WPSOffice_Level2"/>
      <w:bookmarkStart w:id="137" w:name="_Toc27522_WPSOffice_Level2"/>
      <w:bookmarkStart w:id="138" w:name="_Toc18327_WPSOffice_Level2"/>
      <w:bookmarkStart w:id="139" w:name="_Toc1843_WPSOffice_Level2"/>
      <w:bookmarkStart w:id="140" w:name="_Toc3336_WPSOffice_Level2"/>
      <w:bookmarkStart w:id="141" w:name="_Toc21543_WPSOffice_Level2"/>
      <w:bookmarkStart w:id="142" w:name="_Toc24859_WPSOffice_Level2"/>
      <w:r>
        <w:rPr>
          <w:rFonts w:hint="eastAsia"/>
          <w:b/>
          <w:bCs/>
          <w:sz w:val="28"/>
          <w:szCs w:val="28"/>
        </w:rPr>
        <w:t>3.定义：</w:t>
      </w:r>
      <w:bookmarkEnd w:id="135"/>
      <w:bookmarkEnd w:id="136"/>
      <w:bookmarkEnd w:id="137"/>
      <w:bookmarkEnd w:id="138"/>
      <w:bookmarkEnd w:id="139"/>
      <w:bookmarkEnd w:id="140"/>
      <w:bookmarkEnd w:id="141"/>
      <w:bookmarkEnd w:id="142"/>
    </w:p>
    <w:p>
      <w:pPr>
        <w:spacing w:line="360" w:lineRule="auto"/>
        <w:rPr>
          <w:b/>
          <w:bCs/>
          <w:sz w:val="28"/>
          <w:szCs w:val="28"/>
        </w:rPr>
      </w:pPr>
      <w:r>
        <w:rPr>
          <w:rFonts w:hint="eastAsia"/>
          <w:b/>
          <w:bCs/>
          <w:sz w:val="28"/>
          <w:szCs w:val="28"/>
        </w:rPr>
        <w:t>3.1危险源：</w:t>
      </w:r>
    </w:p>
    <w:p>
      <w:pPr>
        <w:spacing w:line="360" w:lineRule="auto"/>
        <w:ind w:firstLine="560" w:firstLineChars="200"/>
        <w:rPr>
          <w:sz w:val="28"/>
          <w:szCs w:val="28"/>
        </w:rPr>
      </w:pPr>
      <w:r>
        <w:rPr>
          <w:rFonts w:hint="eastAsia"/>
          <w:sz w:val="28"/>
          <w:szCs w:val="28"/>
        </w:rPr>
        <w:t>可能导致人身伤害和（或）健康损害和（或）财产损失的根源、状态或行为，或它们的组合。</w:t>
      </w:r>
    </w:p>
    <w:p>
      <w:pPr>
        <w:spacing w:line="360" w:lineRule="auto"/>
        <w:rPr>
          <w:b/>
          <w:bCs/>
          <w:sz w:val="28"/>
          <w:szCs w:val="28"/>
        </w:rPr>
      </w:pPr>
      <w:r>
        <w:rPr>
          <w:rFonts w:hint="eastAsia"/>
          <w:b/>
          <w:bCs/>
          <w:sz w:val="28"/>
          <w:szCs w:val="28"/>
        </w:rPr>
        <w:t>3.2危险源辨识：</w:t>
      </w:r>
    </w:p>
    <w:p>
      <w:pPr>
        <w:spacing w:line="360" w:lineRule="auto"/>
        <w:ind w:firstLine="560" w:firstLineChars="200"/>
        <w:rPr>
          <w:sz w:val="28"/>
          <w:szCs w:val="28"/>
        </w:rPr>
      </w:pPr>
      <w:r>
        <w:rPr>
          <w:rFonts w:hint="eastAsia"/>
          <w:sz w:val="28"/>
          <w:szCs w:val="28"/>
        </w:rPr>
        <w:t>识别危险源的存在并确定其分布和特征的过程。</w:t>
      </w:r>
    </w:p>
    <w:p>
      <w:pPr>
        <w:spacing w:line="360" w:lineRule="auto"/>
        <w:rPr>
          <w:b/>
          <w:bCs/>
          <w:sz w:val="28"/>
          <w:szCs w:val="28"/>
        </w:rPr>
      </w:pPr>
      <w:r>
        <w:rPr>
          <w:rFonts w:hint="eastAsia"/>
          <w:b/>
          <w:bCs/>
          <w:sz w:val="28"/>
          <w:szCs w:val="28"/>
        </w:rPr>
        <w:t>3.3风险：</w:t>
      </w:r>
    </w:p>
    <w:p>
      <w:pPr>
        <w:spacing w:line="360" w:lineRule="auto"/>
        <w:ind w:firstLine="560" w:firstLineChars="200"/>
        <w:rPr>
          <w:sz w:val="28"/>
          <w:szCs w:val="28"/>
        </w:rPr>
      </w:pPr>
      <w:r>
        <w:rPr>
          <w:rFonts w:hint="eastAsia"/>
          <w:sz w:val="28"/>
          <w:szCs w:val="28"/>
        </w:rPr>
        <w:t>生产安全事故或健康损害事件发生的可能性和严重性的组合。可能性是指事件发横的概率。严重性是指事件发生后，将造成的人员伤害和经济损失的严重程度。风险=可能性×严重性。</w:t>
      </w:r>
    </w:p>
    <w:p>
      <w:pPr>
        <w:spacing w:line="360" w:lineRule="auto"/>
        <w:rPr>
          <w:b/>
          <w:bCs/>
          <w:sz w:val="28"/>
          <w:szCs w:val="28"/>
        </w:rPr>
      </w:pPr>
      <w:bookmarkStart w:id="143" w:name="_Toc4093_WPSOffice_Level2"/>
      <w:bookmarkStart w:id="144" w:name="_Toc765_WPSOffice_Level2"/>
      <w:bookmarkStart w:id="145" w:name="_Toc21847_WPSOffice_Level2"/>
      <w:bookmarkStart w:id="146" w:name="_Toc25662_WPSOffice_Level2"/>
      <w:bookmarkStart w:id="147" w:name="_Toc11423_WPSOffice_Level2"/>
      <w:bookmarkStart w:id="148" w:name="_Toc15997_WPSOffice_Level2"/>
      <w:bookmarkStart w:id="149" w:name="_Toc10269_WPSOffice_Level2"/>
      <w:bookmarkStart w:id="150" w:name="_Toc26463_WPSOffice_Level2"/>
      <w:r>
        <w:rPr>
          <w:rFonts w:hint="eastAsia"/>
          <w:b/>
          <w:bCs/>
          <w:sz w:val="28"/>
          <w:szCs w:val="28"/>
        </w:rPr>
        <w:t>4.职责：</w:t>
      </w:r>
      <w:bookmarkEnd w:id="143"/>
      <w:bookmarkEnd w:id="144"/>
      <w:bookmarkEnd w:id="145"/>
      <w:bookmarkEnd w:id="146"/>
      <w:bookmarkEnd w:id="147"/>
      <w:bookmarkEnd w:id="148"/>
      <w:bookmarkEnd w:id="149"/>
      <w:bookmarkEnd w:id="150"/>
    </w:p>
    <w:p>
      <w:pPr>
        <w:spacing w:line="360" w:lineRule="auto"/>
        <w:ind w:firstLine="560" w:firstLineChars="200"/>
        <w:rPr>
          <w:sz w:val="28"/>
          <w:szCs w:val="28"/>
        </w:rPr>
      </w:pPr>
      <w:r>
        <w:rPr>
          <w:rFonts w:hint="eastAsia"/>
          <w:sz w:val="28"/>
          <w:szCs w:val="28"/>
        </w:rPr>
        <w:t>本公司成立双重预防体系建设领导小组，领导小组由总经理、安全员及各岗位人员组成。其职责如下：</w:t>
      </w:r>
    </w:p>
    <w:p>
      <w:pPr>
        <w:spacing w:line="360" w:lineRule="auto"/>
        <w:ind w:left="1124" w:hanging="1124" w:hangingChars="400"/>
        <w:rPr>
          <w:sz w:val="28"/>
          <w:szCs w:val="28"/>
        </w:rPr>
      </w:pPr>
      <w:r>
        <w:rPr>
          <w:rFonts w:hint="eastAsia"/>
          <w:b/>
          <w:bCs/>
          <w:sz w:val="28"/>
          <w:szCs w:val="28"/>
        </w:rPr>
        <w:t>组长职责：</w:t>
      </w:r>
      <w:r>
        <w:rPr>
          <w:rFonts w:hint="eastAsia"/>
          <w:sz w:val="28"/>
          <w:szCs w:val="28"/>
        </w:rPr>
        <w:t>全面负责组织风险分级管控工作，为该项工作的开展提供必要的人力、物力、财力支持，统一思想，提高全员意识，提供组织保障，督促各岗位人员做好分管范围内的风险分级管控工作。负责隐患排查治理体系工作部署；负责隐患治理监督。</w:t>
      </w:r>
    </w:p>
    <w:p>
      <w:pPr>
        <w:spacing w:line="360" w:lineRule="auto"/>
        <w:ind w:left="1124" w:hanging="1124" w:hangingChars="400"/>
        <w:rPr>
          <w:sz w:val="28"/>
          <w:szCs w:val="28"/>
        </w:rPr>
      </w:pPr>
      <w:r>
        <w:rPr>
          <w:rFonts w:hint="eastAsia"/>
          <w:b/>
          <w:bCs/>
          <w:sz w:val="28"/>
          <w:szCs w:val="28"/>
        </w:rPr>
        <w:t>副组长职责：</w:t>
      </w:r>
      <w:r>
        <w:rPr>
          <w:rFonts w:hint="eastAsia"/>
          <w:sz w:val="28"/>
          <w:szCs w:val="28"/>
        </w:rPr>
        <w:t>负责危险源辨识、风险评估及管控工作统一部署协调；方案的编制与制度建设的审核，并组织实施，并监督职责履行情况。负责隐患排查治理工作具体调度；负责隐患治理监督管理。</w:t>
      </w:r>
    </w:p>
    <w:p>
      <w:pPr>
        <w:spacing w:line="360" w:lineRule="auto"/>
        <w:ind w:left="1124" w:hanging="1124" w:hangingChars="400"/>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负责本部门风险点识别、风险分级及风险评价；负责风险管控措施的制定与实施。负责各车间隐患排查的组织实施；负责隐患治理。</w:t>
      </w:r>
    </w:p>
    <w:p>
      <w:pPr>
        <w:spacing w:line="360" w:lineRule="auto"/>
        <w:ind w:left="1124" w:hanging="1124" w:hangingChars="400"/>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pPr>
        <w:spacing w:line="360" w:lineRule="auto"/>
        <w:ind w:left="1124" w:hanging="1124" w:hangingChars="400"/>
        <w:rPr>
          <w:sz w:val="28"/>
          <w:szCs w:val="28"/>
        </w:rPr>
      </w:pPr>
      <w:r>
        <w:rPr>
          <w:rFonts w:hint="eastAsia"/>
          <w:b/>
          <w:bCs/>
          <w:sz w:val="28"/>
          <w:szCs w:val="28"/>
        </w:rPr>
        <w:t>供销部职责：</w:t>
      </w:r>
      <w:r>
        <w:rPr>
          <w:rFonts w:hint="eastAsia"/>
          <w:sz w:val="28"/>
          <w:szCs w:val="28"/>
        </w:rPr>
        <w:t>负责双重预防体系建设物资供应；负责隐患治理物资保障。</w:t>
      </w:r>
    </w:p>
    <w:p>
      <w:pPr>
        <w:spacing w:line="360" w:lineRule="auto"/>
        <w:ind w:left="1124" w:hanging="1124" w:hangingChars="400"/>
        <w:rPr>
          <w:sz w:val="28"/>
          <w:szCs w:val="28"/>
        </w:rPr>
      </w:pPr>
      <w:r>
        <w:rPr>
          <w:rFonts w:hint="eastAsia"/>
          <w:b/>
          <w:bCs/>
          <w:sz w:val="28"/>
          <w:szCs w:val="28"/>
        </w:rPr>
        <w:t>办公室职责：</w:t>
      </w:r>
      <w:r>
        <w:rPr>
          <w:rFonts w:hint="eastAsia"/>
          <w:sz w:val="28"/>
          <w:szCs w:val="28"/>
        </w:rPr>
        <w:t>负责危险源辨识、风险评估及管控工作进行中的服务工作及各部门部署工作协调。</w:t>
      </w:r>
    </w:p>
    <w:p>
      <w:pPr>
        <w:spacing w:line="360" w:lineRule="auto"/>
        <w:ind w:left="1124" w:hanging="1124" w:hangingChars="400"/>
        <w:rPr>
          <w:sz w:val="28"/>
          <w:szCs w:val="28"/>
        </w:rPr>
      </w:pPr>
      <w:r>
        <w:rPr>
          <w:rFonts w:hint="eastAsia"/>
          <w:b/>
          <w:bCs/>
          <w:sz w:val="28"/>
          <w:szCs w:val="28"/>
        </w:rPr>
        <w:t>车间主任职责：</w:t>
      </w:r>
      <w:r>
        <w:rPr>
          <w:rFonts w:hint="eastAsia"/>
          <w:sz w:val="28"/>
          <w:szCs w:val="28"/>
        </w:rPr>
        <w:t>负责本车间风险点识别、风险分级及风险评价；负责风险管控措施的制定与实施。负责本车间车间级隐患排查；负责本车间隐患整改。</w:t>
      </w:r>
    </w:p>
    <w:p>
      <w:pPr>
        <w:spacing w:line="360" w:lineRule="auto"/>
        <w:ind w:left="1124" w:hanging="1124" w:hangingChars="400"/>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pPr>
        <w:spacing w:line="360" w:lineRule="auto"/>
        <w:ind w:left="1124" w:hanging="1124" w:hangingChars="400"/>
        <w:rPr>
          <w:sz w:val="28"/>
          <w:szCs w:val="28"/>
        </w:rPr>
      </w:pPr>
      <w:r>
        <w:rPr>
          <w:rFonts w:hint="eastAsia"/>
          <w:b/>
          <w:bCs/>
          <w:sz w:val="28"/>
          <w:szCs w:val="28"/>
        </w:rPr>
        <w:t>电工职责：</w:t>
      </w:r>
      <w:r>
        <w:rPr>
          <w:rFonts w:hint="eastAsia"/>
          <w:sz w:val="28"/>
          <w:szCs w:val="28"/>
        </w:rPr>
        <w:t>负责配电室风险点识别、风险分级及风险评价；负责配电室管控措施的制定与实施；负责配电室、电气设备、电气线路的隐患排查与隐患整改。</w:t>
      </w:r>
    </w:p>
    <w:p>
      <w:pPr>
        <w:spacing w:line="360" w:lineRule="auto"/>
        <w:ind w:left="1124" w:hanging="1124" w:hangingChars="400"/>
        <w:rPr>
          <w:sz w:val="28"/>
          <w:szCs w:val="28"/>
        </w:rPr>
      </w:pPr>
      <w:r>
        <w:rPr>
          <w:rFonts w:hint="eastAsia"/>
          <w:b/>
          <w:bCs/>
          <w:sz w:val="28"/>
          <w:szCs w:val="28"/>
        </w:rPr>
        <w:t>机修工职责：</w:t>
      </w:r>
      <w:r>
        <w:rPr>
          <w:rFonts w:hint="eastAsia"/>
          <w:sz w:val="28"/>
          <w:szCs w:val="28"/>
        </w:rPr>
        <w:t>负责检维修作业的风险点识别、风险分级及风险评价；负责检维修作业风险管控措施的制定；负责检维修作业隐患排查与治理。</w:t>
      </w:r>
    </w:p>
    <w:p>
      <w:pPr>
        <w:spacing w:line="360" w:lineRule="auto"/>
        <w:ind w:left="1124" w:hanging="1124" w:hangingChars="400"/>
        <w:rPr>
          <w:sz w:val="28"/>
          <w:szCs w:val="28"/>
        </w:rPr>
      </w:pPr>
      <w:r>
        <w:rPr>
          <w:rFonts w:hint="eastAsia"/>
          <w:b/>
          <w:bCs/>
          <w:sz w:val="28"/>
          <w:szCs w:val="28"/>
        </w:rPr>
        <w:t>锅炉房人员职责：</w:t>
      </w:r>
      <w:r>
        <w:rPr>
          <w:rFonts w:hint="eastAsia"/>
          <w:sz w:val="28"/>
          <w:szCs w:val="28"/>
        </w:rPr>
        <w:t>负责锅炉房的风险点识别、风险分级及风险评价；负责锅炉房风险管控措施的制定；负责锅炉房隐患排查与治理。</w:t>
      </w:r>
    </w:p>
    <w:p>
      <w:pPr>
        <w:spacing w:line="360" w:lineRule="auto"/>
        <w:ind w:left="1124" w:hanging="1124" w:hangingChars="400"/>
        <w:rPr>
          <w:sz w:val="28"/>
          <w:szCs w:val="28"/>
        </w:rPr>
      </w:pPr>
      <w:r>
        <w:rPr>
          <w:rFonts w:hint="eastAsia"/>
          <w:b/>
          <w:bCs/>
          <w:sz w:val="28"/>
          <w:szCs w:val="28"/>
        </w:rPr>
        <w:t>一般职工职责：</w:t>
      </w:r>
      <w:r>
        <w:rPr>
          <w:rFonts w:hint="eastAsia"/>
          <w:sz w:val="28"/>
          <w:szCs w:val="28"/>
        </w:rPr>
        <w:t>参加双重预防体系建设培训；对本岗位进行风险辨识与评价；参与管控措施的制定；参与本岗位安全检查及治理。</w:t>
      </w:r>
    </w:p>
    <w:p>
      <w:pPr>
        <w:spacing w:line="360" w:lineRule="auto"/>
        <w:rPr>
          <w:b/>
          <w:bCs/>
          <w:sz w:val="28"/>
          <w:szCs w:val="28"/>
        </w:rPr>
      </w:pPr>
      <w:bookmarkStart w:id="151" w:name="_Toc25032_WPSOffice_Level2"/>
      <w:bookmarkStart w:id="152" w:name="_Toc18048_WPSOffice_Level2"/>
      <w:bookmarkStart w:id="153" w:name="_Toc26352_WPSOffice_Level2"/>
      <w:bookmarkStart w:id="154" w:name="_Toc14302_WPSOffice_Level2"/>
      <w:bookmarkStart w:id="155" w:name="_Toc26129_WPSOffice_Level2"/>
      <w:bookmarkStart w:id="156" w:name="_Toc301_WPSOffice_Level2"/>
      <w:bookmarkStart w:id="157" w:name="_Toc22950_WPSOffice_Level2"/>
      <w:bookmarkStart w:id="158" w:name="_Toc841_WPSOffice_Level2"/>
      <w:r>
        <w:rPr>
          <w:rFonts w:hint="eastAsia"/>
          <w:b/>
          <w:bCs/>
          <w:sz w:val="28"/>
          <w:szCs w:val="28"/>
        </w:rPr>
        <w:t>5.培训</w:t>
      </w:r>
      <w:bookmarkEnd w:id="151"/>
      <w:bookmarkEnd w:id="152"/>
      <w:bookmarkEnd w:id="153"/>
      <w:bookmarkEnd w:id="154"/>
      <w:bookmarkEnd w:id="155"/>
      <w:bookmarkEnd w:id="156"/>
      <w:bookmarkEnd w:id="157"/>
      <w:bookmarkEnd w:id="158"/>
    </w:p>
    <w:p>
      <w:pPr>
        <w:spacing w:line="360" w:lineRule="auto"/>
        <w:ind w:firstLine="560" w:firstLineChars="200"/>
        <w:rPr>
          <w:sz w:val="28"/>
          <w:szCs w:val="28"/>
        </w:rPr>
      </w:pPr>
      <w:r>
        <w:rPr>
          <w:rFonts w:hint="eastAsia"/>
          <w:sz w:val="28"/>
          <w:szCs w:val="28"/>
        </w:rPr>
        <w:t>安全员组织本公司工作范围的危害识别和风险评价培训。培训分为管理人员培训及一般职工培训。考核采用闭卷考核。</w:t>
      </w:r>
    </w:p>
    <w:p>
      <w:pPr>
        <w:spacing w:line="360" w:lineRule="auto"/>
        <w:rPr>
          <w:b/>
          <w:bCs/>
          <w:sz w:val="28"/>
          <w:szCs w:val="28"/>
        </w:rPr>
      </w:pPr>
      <w:bookmarkStart w:id="159" w:name="_Toc14749_WPSOffice_Level2"/>
      <w:bookmarkStart w:id="160" w:name="_Toc30253_WPSOffice_Level2"/>
      <w:bookmarkStart w:id="161" w:name="_Toc14203_WPSOffice_Level2"/>
      <w:bookmarkStart w:id="162" w:name="_Toc23771_WPSOffice_Level2"/>
      <w:bookmarkStart w:id="163" w:name="_Toc29142_WPSOffice_Level2"/>
      <w:bookmarkStart w:id="164" w:name="_Toc25778_WPSOffice_Level2"/>
      <w:bookmarkStart w:id="165" w:name="_Toc25758_WPSOffice_Level2"/>
      <w:bookmarkStart w:id="166" w:name="_Toc11297_WPSOffice_Level2"/>
      <w:r>
        <w:rPr>
          <w:rFonts w:hint="eastAsia"/>
          <w:b/>
          <w:bCs/>
          <w:sz w:val="28"/>
          <w:szCs w:val="28"/>
        </w:rPr>
        <w:t>6.危险源识别及风险评价</w:t>
      </w:r>
      <w:bookmarkEnd w:id="159"/>
      <w:bookmarkEnd w:id="160"/>
      <w:bookmarkEnd w:id="161"/>
      <w:bookmarkEnd w:id="162"/>
      <w:bookmarkEnd w:id="163"/>
      <w:bookmarkEnd w:id="164"/>
      <w:bookmarkEnd w:id="165"/>
      <w:bookmarkEnd w:id="166"/>
    </w:p>
    <w:p>
      <w:pPr>
        <w:spacing w:line="360" w:lineRule="auto"/>
        <w:ind w:firstLine="560" w:firstLineChars="200"/>
        <w:rPr>
          <w:sz w:val="28"/>
          <w:szCs w:val="28"/>
        </w:rPr>
      </w:pPr>
      <w:r>
        <w:rPr>
          <w:rFonts w:hint="eastAsia"/>
          <w:sz w:val="28"/>
          <w:szCs w:val="28"/>
        </w:rPr>
        <w:t>岗位职工负责本岗位危险源辨识与风险评价，变编制本岗位的安全生产风险分级管控管表格。全面开展安全生产危害辨识、风险评价工作，指导、审查、批准。</w:t>
      </w:r>
    </w:p>
    <w:p>
      <w:pPr>
        <w:spacing w:line="360" w:lineRule="auto"/>
        <w:ind w:firstLine="560" w:firstLineChars="200"/>
        <w:rPr>
          <w:sz w:val="28"/>
          <w:szCs w:val="28"/>
        </w:rPr>
      </w:pPr>
      <w:r>
        <w:rPr>
          <w:rFonts w:hint="eastAsia"/>
          <w:sz w:val="28"/>
          <w:szCs w:val="28"/>
        </w:rPr>
        <w:t>评价依据本公司《风险分级管控制度》、相关安全生产法律法规和技术标准等。</w:t>
      </w:r>
    </w:p>
    <w:p>
      <w:pPr>
        <w:spacing w:line="360" w:lineRule="auto"/>
        <w:ind w:firstLine="560" w:firstLineChars="200"/>
        <w:rPr>
          <w:sz w:val="28"/>
          <w:szCs w:val="28"/>
        </w:rPr>
      </w:pPr>
      <w:r>
        <w:rPr>
          <w:rFonts w:hint="eastAsia"/>
          <w:sz w:val="28"/>
          <w:szCs w:val="28"/>
        </w:rPr>
        <w:t>风险必须制定针对性的风险控制措施，消除、减少危害和影响，防止潜在事故的发生。</w:t>
      </w:r>
      <w:bookmarkStart w:id="167" w:name="_Toc1319_WPSOffice_Level2"/>
      <w:bookmarkStart w:id="168" w:name="_Toc11151_WPSOffice_Level1"/>
    </w:p>
    <w:p>
      <w:pPr>
        <w:spacing w:line="360" w:lineRule="auto"/>
        <w:ind w:firstLine="562" w:firstLineChars="200"/>
        <w:rPr>
          <w:b/>
          <w:bCs/>
          <w:sz w:val="28"/>
          <w:szCs w:val="28"/>
        </w:rPr>
      </w:pPr>
      <w:r>
        <w:rPr>
          <w:rFonts w:hint="eastAsia"/>
          <w:b/>
          <w:bCs/>
          <w:sz w:val="28"/>
          <w:szCs w:val="28"/>
        </w:rPr>
        <w:t>评价准则</w:t>
      </w:r>
      <w:bookmarkEnd w:id="167"/>
      <w:bookmarkEnd w:id="168"/>
    </w:p>
    <w:p>
      <w:pPr>
        <w:spacing w:line="360" w:lineRule="auto"/>
        <w:ind w:firstLine="560" w:firstLineChars="200"/>
        <w:rPr>
          <w:sz w:val="28"/>
          <w:szCs w:val="28"/>
        </w:rPr>
      </w:pPr>
      <w:r>
        <w:rPr>
          <w:rFonts w:hint="eastAsia"/>
          <w:sz w:val="28"/>
          <w:szCs w:val="28"/>
        </w:rPr>
        <w:t>本公司采用</w:t>
      </w:r>
      <w:bookmarkStart w:id="169" w:name="_Toc472505014"/>
      <w:bookmarkStart w:id="170" w:name="_Toc470188659"/>
      <w:r>
        <w:rPr>
          <w:rFonts w:hint="eastAsia"/>
          <w:sz w:val="28"/>
          <w:szCs w:val="28"/>
        </w:rPr>
        <w:t>作业条件危险性分析法（LEC）</w:t>
      </w:r>
      <w:bookmarkEnd w:id="169"/>
      <w:bookmarkEnd w:id="170"/>
      <w:r>
        <w:rPr>
          <w:rFonts w:hint="eastAsia"/>
          <w:sz w:val="28"/>
          <w:szCs w:val="28"/>
        </w:rPr>
        <w:t>进行风险分析，判定准则如下：</w:t>
      </w:r>
    </w:p>
    <w:p>
      <w:pPr>
        <w:spacing w:line="360" w:lineRule="auto"/>
        <w:ind w:firstLine="560" w:firstLineChars="200"/>
        <w:rPr>
          <w:sz w:val="28"/>
          <w:szCs w:val="28"/>
        </w:rPr>
      </w:pPr>
      <w:r>
        <w:rPr>
          <w:rFonts w:hint="eastAsia"/>
          <w:sz w:val="28"/>
          <w:szCs w:val="28"/>
        </w:rPr>
        <w:br w:type="page"/>
      </w:r>
    </w:p>
    <w:p>
      <w:pPr>
        <w:spacing w:line="360" w:lineRule="auto"/>
        <w:ind w:firstLine="560" w:firstLineChars="200"/>
        <w:rPr>
          <w:sz w:val="28"/>
          <w:szCs w:val="28"/>
        </w:rPr>
      </w:pPr>
    </w:p>
    <w:p>
      <w:pPr>
        <w:pStyle w:val="17"/>
        <w:numPr>
          <w:ilvl w:val="0"/>
          <w:numId w:val="0"/>
        </w:numPr>
        <w:spacing w:before="156" w:after="156" w:line="360" w:lineRule="auto"/>
      </w:pPr>
      <w:r>
        <w:rPr>
          <w:rFonts w:hint="eastAsia"/>
        </w:rPr>
        <w:t xml:space="preserve"> 事故事件发生的可能性（</w:t>
      </w:r>
      <w:r>
        <w:t>L</w:t>
      </w:r>
      <w:r>
        <w:rPr>
          <w:rFonts w:hint="eastAsia"/>
        </w:rPr>
        <w:t>）判定准则</w:t>
      </w:r>
    </w:p>
    <w:tbl>
      <w:tblPr>
        <w:tblStyle w:val="13"/>
        <w:tblW w:w="8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7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13" w:type="dxa"/>
            <w:vAlign w:val="center"/>
          </w:tcPr>
          <w:p>
            <w:pPr>
              <w:spacing w:line="360" w:lineRule="auto"/>
              <w:jc w:val="center"/>
              <w:rPr>
                <w:rFonts w:ascii="宋体" w:hAnsi="宋体"/>
                <w:bCs/>
                <w:sz w:val="18"/>
                <w:szCs w:val="18"/>
              </w:rPr>
            </w:pPr>
            <w:r>
              <w:rPr>
                <w:rFonts w:hint="eastAsia" w:ascii="宋体" w:hAnsi="宋体" w:cs="仿宋_GB2312"/>
                <w:bCs/>
                <w:sz w:val="18"/>
                <w:szCs w:val="18"/>
              </w:rPr>
              <w:t>分值</w:t>
            </w:r>
          </w:p>
        </w:tc>
        <w:tc>
          <w:tcPr>
            <w:tcW w:w="7871" w:type="dxa"/>
            <w:vAlign w:val="center"/>
          </w:tcPr>
          <w:p>
            <w:pPr>
              <w:spacing w:line="360" w:lineRule="auto"/>
              <w:jc w:val="center"/>
              <w:rPr>
                <w:rFonts w:ascii="宋体" w:hAnsi="宋体"/>
                <w:bCs/>
                <w:sz w:val="18"/>
                <w:szCs w:val="18"/>
              </w:rPr>
            </w:pPr>
            <w:r>
              <w:rPr>
                <w:rFonts w:hint="eastAsia" w:ascii="宋体" w:hAnsi="宋体" w:cs="仿宋_GB2312"/>
                <w:bCs/>
                <w:sz w:val="18"/>
                <w:szCs w:val="18"/>
              </w:rPr>
              <w:t>事故、事件或偏差发生的可能性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13" w:type="dxa"/>
            <w:vAlign w:val="center"/>
          </w:tcPr>
          <w:p>
            <w:pPr>
              <w:spacing w:line="360" w:lineRule="auto"/>
              <w:jc w:val="center"/>
              <w:rPr>
                <w:rFonts w:ascii="宋体" w:hAnsi="宋体"/>
                <w:sz w:val="18"/>
                <w:szCs w:val="18"/>
              </w:rPr>
            </w:pPr>
            <w:r>
              <w:rPr>
                <w:rFonts w:ascii="宋体" w:hAnsi="宋体" w:cs="仿宋_GB2312"/>
                <w:sz w:val="18"/>
                <w:szCs w:val="18"/>
              </w:rPr>
              <w:t>10</w:t>
            </w:r>
          </w:p>
        </w:tc>
        <w:tc>
          <w:tcPr>
            <w:tcW w:w="7871" w:type="dxa"/>
            <w:vAlign w:val="center"/>
          </w:tcPr>
          <w:p>
            <w:pPr>
              <w:spacing w:line="360" w:lineRule="auto"/>
              <w:rPr>
                <w:rFonts w:ascii="宋体" w:hAnsi="宋体"/>
                <w:sz w:val="18"/>
                <w:szCs w:val="18"/>
              </w:rPr>
            </w:pPr>
            <w:r>
              <w:rPr>
                <w:rFonts w:hint="eastAsia" w:ascii="宋体" w:hAnsi="宋体" w:cs="仿宋_GB2312"/>
                <w:sz w:val="18"/>
                <w:szCs w:val="18"/>
              </w:rPr>
              <w:t>完全可以预料。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6</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相当可能；或危害的发生不能被发现（没有监测系统）；或在现场没有采取防范、监测、保护、控制措施；或在正常情况下经常发生此类事故、事件或偏差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3</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可能，但不经常；或危害的发生不容易被发现；现场没有检测系统或保护措施（如没有保护装置、没有个人防护用品等），也未作过任何监测；或未严格按操作规程执行；或在现场有控制措施，但未有效执行或控制措施不当；或危害在预期情况下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1</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可能性小，完全意外；或危害的发生容易被发现；现场有监测系统或曾经作过监测；或过去曾经发生类似事故、事件或偏差；或在异常情况下发生过类似事故、事件或偏差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0.5</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很不可能，可以设想；危害一旦发生能及时发现，并能定期进行监测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0.2</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极不可能；有充分、有效的防范、控制、监测、保护措施；或员工安全卫生意识相当高，严格执行操作规程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0.1</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实际不可能</w:t>
            </w:r>
          </w:p>
        </w:tc>
      </w:tr>
    </w:tbl>
    <w:p>
      <w:pPr>
        <w:pStyle w:val="17"/>
        <w:numPr>
          <w:ilvl w:val="0"/>
          <w:numId w:val="0"/>
        </w:numPr>
        <w:spacing w:before="156" w:after="156"/>
      </w:pPr>
      <w:r>
        <w:rPr>
          <w:rFonts w:hint="eastAsia"/>
        </w:rPr>
        <w:t>暴露于危险环境的频繁程度（</w:t>
      </w:r>
      <w:r>
        <w:t>E</w:t>
      </w:r>
      <w:r>
        <w:rPr>
          <w:rFonts w:hint="eastAsia"/>
        </w:rPr>
        <w:t>）判定准则</w:t>
      </w:r>
    </w:p>
    <w:tbl>
      <w:tblPr>
        <w:tblStyle w:val="1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3262"/>
        <w:gridCol w:w="1507"/>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spacing w:line="360" w:lineRule="auto"/>
              <w:jc w:val="center"/>
              <w:rPr>
                <w:rFonts w:ascii="宋体" w:hAnsi="宋体"/>
                <w:bCs/>
                <w:sz w:val="18"/>
                <w:szCs w:val="18"/>
              </w:rPr>
            </w:pPr>
            <w:r>
              <w:rPr>
                <w:rFonts w:hint="eastAsia" w:ascii="宋体" w:hAnsi="宋体" w:cs="仿宋_GB2312"/>
                <w:bCs/>
                <w:sz w:val="18"/>
                <w:szCs w:val="18"/>
              </w:rPr>
              <w:t>分值</w:t>
            </w:r>
          </w:p>
        </w:tc>
        <w:tc>
          <w:tcPr>
            <w:tcW w:w="3262" w:type="dxa"/>
            <w:vAlign w:val="center"/>
          </w:tcPr>
          <w:p>
            <w:pPr>
              <w:spacing w:line="360" w:lineRule="auto"/>
              <w:jc w:val="center"/>
              <w:rPr>
                <w:rFonts w:ascii="宋体" w:hAnsi="宋体"/>
                <w:bCs/>
                <w:sz w:val="18"/>
                <w:szCs w:val="18"/>
              </w:rPr>
            </w:pPr>
            <w:r>
              <w:rPr>
                <w:rFonts w:hint="eastAsia" w:ascii="宋体" w:hAnsi="宋体" w:cs="仿宋_GB2312"/>
                <w:bCs/>
                <w:sz w:val="18"/>
                <w:szCs w:val="18"/>
              </w:rPr>
              <w:t>频繁程度</w:t>
            </w:r>
          </w:p>
        </w:tc>
        <w:tc>
          <w:tcPr>
            <w:tcW w:w="1507" w:type="dxa"/>
            <w:vAlign w:val="center"/>
          </w:tcPr>
          <w:p>
            <w:pPr>
              <w:spacing w:line="360" w:lineRule="auto"/>
              <w:jc w:val="center"/>
              <w:rPr>
                <w:rFonts w:ascii="宋体" w:hAnsi="宋体"/>
                <w:bCs/>
                <w:sz w:val="18"/>
                <w:szCs w:val="18"/>
              </w:rPr>
            </w:pPr>
            <w:r>
              <w:rPr>
                <w:rFonts w:hint="eastAsia" w:ascii="宋体" w:hAnsi="宋体" w:cs="仿宋_GB2312"/>
                <w:bCs/>
                <w:sz w:val="18"/>
                <w:szCs w:val="18"/>
              </w:rPr>
              <w:t>分值</w:t>
            </w:r>
          </w:p>
        </w:tc>
        <w:tc>
          <w:tcPr>
            <w:tcW w:w="2816" w:type="dxa"/>
            <w:vAlign w:val="center"/>
          </w:tcPr>
          <w:p>
            <w:pPr>
              <w:spacing w:line="360" w:lineRule="auto"/>
              <w:jc w:val="center"/>
              <w:rPr>
                <w:rFonts w:ascii="宋体" w:hAnsi="宋体"/>
                <w:bCs/>
                <w:sz w:val="18"/>
                <w:szCs w:val="18"/>
              </w:rPr>
            </w:pPr>
            <w:r>
              <w:rPr>
                <w:rFonts w:hint="eastAsia" w:ascii="宋体" w:hAnsi="宋体" w:cs="仿宋_GB2312"/>
                <w:bCs/>
                <w:sz w:val="18"/>
                <w:szCs w:val="18"/>
              </w:rPr>
              <w:t>频繁程度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spacing w:line="360" w:lineRule="auto"/>
              <w:jc w:val="center"/>
              <w:rPr>
                <w:rFonts w:ascii="宋体" w:hAnsi="宋体"/>
                <w:b/>
                <w:bCs/>
                <w:sz w:val="18"/>
                <w:szCs w:val="18"/>
              </w:rPr>
            </w:pPr>
            <w:r>
              <w:rPr>
                <w:rFonts w:ascii="宋体" w:hAnsi="宋体" w:cs="仿宋_GB2312"/>
                <w:sz w:val="18"/>
                <w:szCs w:val="18"/>
              </w:rPr>
              <w:t>10</w:t>
            </w:r>
          </w:p>
        </w:tc>
        <w:tc>
          <w:tcPr>
            <w:tcW w:w="3262" w:type="dxa"/>
            <w:vAlign w:val="center"/>
          </w:tcPr>
          <w:p>
            <w:pPr>
              <w:spacing w:line="360" w:lineRule="auto"/>
              <w:rPr>
                <w:rFonts w:ascii="宋体" w:hAnsi="宋体"/>
                <w:b/>
                <w:bCs/>
                <w:sz w:val="18"/>
                <w:szCs w:val="18"/>
              </w:rPr>
            </w:pPr>
            <w:r>
              <w:rPr>
                <w:rFonts w:hint="eastAsia" w:ascii="宋体" w:hAnsi="宋体" w:cs="仿宋_GB2312"/>
                <w:sz w:val="18"/>
                <w:szCs w:val="18"/>
              </w:rPr>
              <w:t>连续暴露</w:t>
            </w:r>
          </w:p>
        </w:tc>
        <w:tc>
          <w:tcPr>
            <w:tcW w:w="1507" w:type="dxa"/>
            <w:vAlign w:val="center"/>
          </w:tcPr>
          <w:p>
            <w:pPr>
              <w:spacing w:line="360" w:lineRule="auto"/>
              <w:jc w:val="center"/>
              <w:rPr>
                <w:rFonts w:ascii="宋体" w:hAnsi="宋体"/>
                <w:b/>
                <w:bCs/>
                <w:sz w:val="18"/>
                <w:szCs w:val="18"/>
              </w:rPr>
            </w:pPr>
            <w:r>
              <w:rPr>
                <w:rFonts w:ascii="宋体" w:hAnsi="宋体" w:cs="仿宋_GB2312"/>
                <w:sz w:val="18"/>
                <w:szCs w:val="18"/>
              </w:rPr>
              <w:t>2</w:t>
            </w:r>
          </w:p>
        </w:tc>
        <w:tc>
          <w:tcPr>
            <w:tcW w:w="2816" w:type="dxa"/>
            <w:vAlign w:val="center"/>
          </w:tcPr>
          <w:p>
            <w:pPr>
              <w:spacing w:line="360" w:lineRule="auto"/>
              <w:jc w:val="left"/>
              <w:rPr>
                <w:rFonts w:ascii="宋体" w:hAnsi="宋体"/>
                <w:b/>
                <w:bCs/>
                <w:sz w:val="18"/>
                <w:szCs w:val="18"/>
              </w:rPr>
            </w:pPr>
            <w:r>
              <w:rPr>
                <w:rFonts w:hint="eastAsia" w:ascii="宋体" w:hAnsi="宋体" w:cs="仿宋_GB2312"/>
                <w:sz w:val="18"/>
                <w:szCs w:val="18"/>
              </w:rPr>
              <w:t>每月一次暴露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spacing w:line="360" w:lineRule="auto"/>
              <w:jc w:val="center"/>
              <w:rPr>
                <w:rFonts w:ascii="宋体" w:hAnsi="宋体"/>
                <w:b/>
                <w:bCs/>
                <w:sz w:val="18"/>
                <w:szCs w:val="18"/>
              </w:rPr>
            </w:pPr>
            <w:r>
              <w:rPr>
                <w:rFonts w:ascii="宋体" w:hAnsi="宋体" w:cs="仿宋_GB2312"/>
                <w:sz w:val="18"/>
                <w:szCs w:val="18"/>
              </w:rPr>
              <w:t>6</w:t>
            </w:r>
          </w:p>
        </w:tc>
        <w:tc>
          <w:tcPr>
            <w:tcW w:w="3262" w:type="dxa"/>
            <w:vAlign w:val="center"/>
          </w:tcPr>
          <w:p>
            <w:pPr>
              <w:spacing w:line="360" w:lineRule="auto"/>
              <w:rPr>
                <w:rFonts w:ascii="宋体" w:hAnsi="宋体"/>
                <w:b/>
                <w:bCs/>
                <w:sz w:val="18"/>
                <w:szCs w:val="18"/>
              </w:rPr>
            </w:pPr>
            <w:r>
              <w:rPr>
                <w:rFonts w:hint="eastAsia" w:ascii="宋体" w:hAnsi="宋体" w:cs="仿宋_GB2312"/>
                <w:sz w:val="18"/>
                <w:szCs w:val="18"/>
              </w:rPr>
              <w:t>每天工作时间内暴露</w:t>
            </w:r>
          </w:p>
        </w:tc>
        <w:tc>
          <w:tcPr>
            <w:tcW w:w="1507" w:type="dxa"/>
            <w:vAlign w:val="center"/>
          </w:tcPr>
          <w:p>
            <w:pPr>
              <w:spacing w:line="360" w:lineRule="auto"/>
              <w:jc w:val="center"/>
              <w:rPr>
                <w:rFonts w:ascii="宋体" w:hAnsi="宋体"/>
                <w:b/>
                <w:bCs/>
                <w:sz w:val="18"/>
                <w:szCs w:val="18"/>
              </w:rPr>
            </w:pPr>
            <w:r>
              <w:rPr>
                <w:rFonts w:ascii="宋体" w:hAnsi="宋体" w:cs="仿宋_GB2312"/>
                <w:sz w:val="18"/>
                <w:szCs w:val="18"/>
              </w:rPr>
              <w:t>1</w:t>
            </w:r>
          </w:p>
        </w:tc>
        <w:tc>
          <w:tcPr>
            <w:tcW w:w="2816" w:type="dxa"/>
            <w:vAlign w:val="center"/>
          </w:tcPr>
          <w:p>
            <w:pPr>
              <w:spacing w:line="360" w:lineRule="auto"/>
              <w:jc w:val="left"/>
              <w:rPr>
                <w:rFonts w:ascii="宋体" w:hAnsi="宋体"/>
                <w:b/>
                <w:bCs/>
                <w:sz w:val="18"/>
                <w:szCs w:val="18"/>
              </w:rPr>
            </w:pPr>
            <w:r>
              <w:rPr>
                <w:rFonts w:hint="eastAsia" w:ascii="宋体" w:hAnsi="宋体" w:cs="仿宋_GB2312"/>
                <w:sz w:val="18"/>
                <w:szCs w:val="18"/>
              </w:rPr>
              <w:t>每年几次暴露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spacing w:line="360" w:lineRule="auto"/>
              <w:jc w:val="center"/>
              <w:rPr>
                <w:rFonts w:ascii="宋体" w:hAnsi="宋体" w:cs="仿宋_GB2312"/>
                <w:sz w:val="18"/>
                <w:szCs w:val="18"/>
              </w:rPr>
            </w:pPr>
            <w:r>
              <w:rPr>
                <w:rFonts w:ascii="宋体" w:hAnsi="宋体" w:cs="仿宋_GB2312"/>
                <w:sz w:val="18"/>
                <w:szCs w:val="18"/>
              </w:rPr>
              <w:t>3</w:t>
            </w:r>
          </w:p>
        </w:tc>
        <w:tc>
          <w:tcPr>
            <w:tcW w:w="3262" w:type="dxa"/>
            <w:vAlign w:val="center"/>
          </w:tcPr>
          <w:p>
            <w:pPr>
              <w:spacing w:line="360" w:lineRule="auto"/>
              <w:rPr>
                <w:rFonts w:ascii="宋体" w:hAnsi="宋体"/>
                <w:sz w:val="18"/>
                <w:szCs w:val="18"/>
              </w:rPr>
            </w:pPr>
            <w:r>
              <w:rPr>
                <w:rFonts w:hint="eastAsia" w:ascii="宋体" w:hAnsi="宋体" w:cs="仿宋_GB2312"/>
                <w:sz w:val="18"/>
                <w:szCs w:val="18"/>
              </w:rPr>
              <w:t>每周一次或偶然暴露</w:t>
            </w:r>
          </w:p>
        </w:tc>
        <w:tc>
          <w:tcPr>
            <w:tcW w:w="1507" w:type="dxa"/>
            <w:vAlign w:val="center"/>
          </w:tcPr>
          <w:p>
            <w:pPr>
              <w:spacing w:line="360" w:lineRule="auto"/>
              <w:jc w:val="center"/>
              <w:rPr>
                <w:rFonts w:ascii="宋体" w:hAnsi="宋体" w:cs="仿宋_GB2312"/>
                <w:sz w:val="18"/>
                <w:szCs w:val="18"/>
              </w:rPr>
            </w:pPr>
            <w:r>
              <w:rPr>
                <w:rFonts w:ascii="宋体" w:hAnsi="宋体" w:cs="仿宋_GB2312"/>
                <w:sz w:val="18"/>
                <w:szCs w:val="18"/>
              </w:rPr>
              <w:t>0.5</w:t>
            </w:r>
          </w:p>
        </w:tc>
        <w:tc>
          <w:tcPr>
            <w:tcW w:w="2816" w:type="dxa"/>
            <w:vAlign w:val="center"/>
          </w:tcPr>
          <w:p>
            <w:pPr>
              <w:spacing w:line="360" w:lineRule="auto"/>
              <w:jc w:val="left"/>
              <w:rPr>
                <w:rFonts w:ascii="宋体" w:hAnsi="宋体"/>
                <w:sz w:val="18"/>
                <w:szCs w:val="18"/>
              </w:rPr>
            </w:pPr>
            <w:r>
              <w:rPr>
                <w:rFonts w:hint="eastAsia" w:ascii="宋体" w:hAnsi="宋体" w:cs="仿宋_GB2312"/>
                <w:sz w:val="18"/>
                <w:szCs w:val="18"/>
              </w:rPr>
              <w:t>非常罕见地暴露</w:t>
            </w:r>
          </w:p>
        </w:tc>
      </w:tr>
    </w:tbl>
    <w:p>
      <w:pPr>
        <w:pStyle w:val="17"/>
        <w:numPr>
          <w:ilvl w:val="0"/>
          <w:numId w:val="0"/>
        </w:numPr>
        <w:spacing w:before="156" w:after="156"/>
      </w:pPr>
      <w:r>
        <w:rPr>
          <w:rFonts w:hint="eastAsia"/>
        </w:rPr>
        <w:br w:type="page"/>
      </w:r>
    </w:p>
    <w:p>
      <w:pPr>
        <w:pStyle w:val="18"/>
      </w:pPr>
    </w:p>
    <w:p>
      <w:pPr>
        <w:pStyle w:val="17"/>
        <w:numPr>
          <w:ilvl w:val="0"/>
          <w:numId w:val="0"/>
        </w:numPr>
        <w:spacing w:before="156" w:after="156" w:line="360" w:lineRule="auto"/>
      </w:pPr>
      <w:r>
        <w:rPr>
          <w:rFonts w:hint="eastAsia"/>
        </w:rPr>
        <w:t>发生事故事件偏差产生的后果严重性（</w:t>
      </w:r>
      <w:r>
        <w:t>C</w:t>
      </w:r>
      <w:r>
        <w:rPr>
          <w:rFonts w:hint="eastAsia"/>
        </w:rPr>
        <w:t>）判定准则</w:t>
      </w:r>
    </w:p>
    <w:tbl>
      <w:tblPr>
        <w:tblStyle w:val="13"/>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985"/>
        <w:gridCol w:w="2410"/>
        <w:gridCol w:w="1525"/>
        <w:gridCol w:w="897"/>
        <w:gridCol w:w="2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bCs/>
                <w:sz w:val="18"/>
                <w:szCs w:val="18"/>
              </w:rPr>
            </w:pPr>
            <w:r>
              <w:rPr>
                <w:rFonts w:hint="eastAsia" w:ascii="宋体" w:hAnsi="宋体" w:cs="仿宋_GB2312"/>
                <w:bCs/>
                <w:sz w:val="18"/>
                <w:szCs w:val="18"/>
              </w:rPr>
              <w:t>分值</w:t>
            </w:r>
          </w:p>
        </w:tc>
        <w:tc>
          <w:tcPr>
            <w:tcW w:w="1985" w:type="dxa"/>
            <w:vAlign w:val="center"/>
          </w:tcPr>
          <w:p>
            <w:pPr>
              <w:spacing w:line="360" w:lineRule="auto"/>
              <w:jc w:val="center"/>
              <w:rPr>
                <w:rFonts w:ascii="宋体" w:hAnsi="宋体" w:cs="仿宋_GB2312"/>
                <w:bCs/>
                <w:sz w:val="18"/>
                <w:szCs w:val="18"/>
              </w:rPr>
            </w:pPr>
            <w:r>
              <w:rPr>
                <w:rFonts w:hint="eastAsia" w:ascii="宋体" w:hAnsi="宋体" w:cs="仿宋_GB2312"/>
                <w:bCs/>
                <w:sz w:val="18"/>
                <w:szCs w:val="18"/>
              </w:rPr>
              <w:t>法律法规</w:t>
            </w:r>
          </w:p>
          <w:p>
            <w:pPr>
              <w:spacing w:line="360" w:lineRule="auto"/>
              <w:jc w:val="center"/>
              <w:rPr>
                <w:rFonts w:ascii="宋体" w:hAnsi="宋体"/>
                <w:bCs/>
                <w:sz w:val="18"/>
                <w:szCs w:val="18"/>
              </w:rPr>
            </w:pPr>
            <w:r>
              <w:rPr>
                <w:rFonts w:hint="eastAsia" w:ascii="宋体" w:hAnsi="宋体" w:cs="仿宋_GB2312"/>
                <w:bCs/>
                <w:sz w:val="18"/>
                <w:szCs w:val="18"/>
              </w:rPr>
              <w:t>及其他要求</w:t>
            </w:r>
          </w:p>
        </w:tc>
        <w:tc>
          <w:tcPr>
            <w:tcW w:w="2410" w:type="dxa"/>
            <w:vAlign w:val="center"/>
          </w:tcPr>
          <w:p>
            <w:pPr>
              <w:spacing w:line="360" w:lineRule="auto"/>
              <w:jc w:val="center"/>
              <w:rPr>
                <w:rFonts w:ascii="宋体" w:hAnsi="宋体"/>
                <w:bCs/>
                <w:sz w:val="18"/>
                <w:szCs w:val="18"/>
              </w:rPr>
            </w:pPr>
            <w:r>
              <w:rPr>
                <w:rFonts w:hint="eastAsia" w:ascii="宋体" w:hAnsi="宋体" w:cs="仿宋_GB2312"/>
                <w:bCs/>
                <w:sz w:val="18"/>
                <w:szCs w:val="18"/>
              </w:rPr>
              <w:t>人员伤亡</w:t>
            </w:r>
          </w:p>
        </w:tc>
        <w:tc>
          <w:tcPr>
            <w:tcW w:w="1525" w:type="dxa"/>
            <w:vAlign w:val="center"/>
          </w:tcPr>
          <w:p>
            <w:pPr>
              <w:spacing w:line="360" w:lineRule="auto"/>
              <w:jc w:val="center"/>
              <w:rPr>
                <w:rFonts w:ascii="宋体" w:hAnsi="宋体"/>
                <w:bCs/>
                <w:sz w:val="18"/>
                <w:szCs w:val="18"/>
              </w:rPr>
            </w:pPr>
            <w:r>
              <w:rPr>
                <w:rFonts w:hint="eastAsia" w:ascii="宋体" w:hAnsi="宋体" w:cs="仿宋_GB2312"/>
                <w:bCs/>
                <w:sz w:val="18"/>
                <w:szCs w:val="18"/>
              </w:rPr>
              <w:t>直接经济损失</w:t>
            </w:r>
          </w:p>
          <w:p>
            <w:pPr>
              <w:spacing w:line="360" w:lineRule="auto"/>
              <w:jc w:val="center"/>
              <w:rPr>
                <w:rFonts w:ascii="宋体" w:hAnsi="宋体"/>
                <w:bCs/>
                <w:sz w:val="18"/>
                <w:szCs w:val="18"/>
              </w:rPr>
            </w:pPr>
            <w:r>
              <w:rPr>
                <w:rFonts w:hint="eastAsia" w:ascii="宋体" w:hAnsi="宋体" w:cs="仿宋_GB2312"/>
                <w:bCs/>
                <w:sz w:val="18"/>
                <w:szCs w:val="18"/>
              </w:rPr>
              <w:t>（万元）</w:t>
            </w:r>
          </w:p>
        </w:tc>
        <w:tc>
          <w:tcPr>
            <w:tcW w:w="897" w:type="dxa"/>
            <w:vAlign w:val="center"/>
          </w:tcPr>
          <w:p>
            <w:pPr>
              <w:spacing w:line="360" w:lineRule="auto"/>
              <w:jc w:val="center"/>
              <w:rPr>
                <w:rFonts w:ascii="宋体" w:hAnsi="宋体"/>
                <w:bCs/>
                <w:sz w:val="18"/>
                <w:szCs w:val="18"/>
              </w:rPr>
            </w:pPr>
            <w:r>
              <w:rPr>
                <w:rFonts w:hint="eastAsia" w:ascii="宋体" w:hAnsi="宋体" w:cs="仿宋_GB2312"/>
                <w:bCs/>
                <w:sz w:val="18"/>
                <w:szCs w:val="18"/>
              </w:rPr>
              <w:t>停工</w:t>
            </w:r>
          </w:p>
        </w:tc>
        <w:tc>
          <w:tcPr>
            <w:tcW w:w="2078" w:type="dxa"/>
            <w:vAlign w:val="center"/>
          </w:tcPr>
          <w:p>
            <w:pPr>
              <w:spacing w:line="360" w:lineRule="auto"/>
              <w:jc w:val="center"/>
              <w:rPr>
                <w:rFonts w:ascii="宋体" w:hAnsi="宋体"/>
                <w:bCs/>
                <w:sz w:val="18"/>
                <w:szCs w:val="18"/>
              </w:rPr>
            </w:pPr>
            <w:r>
              <w:rPr>
                <w:rFonts w:hint="eastAsia" w:ascii="宋体" w:hAnsi="宋体" w:cs="仿宋_GB2312"/>
                <w:bCs/>
                <w:sz w:val="18"/>
                <w:szCs w:val="18"/>
              </w:rPr>
              <w:t>公司形象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100</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严重违反法律法规和标准</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10人以上死亡，或50人以上重伤</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5000以上</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公司</w:t>
            </w:r>
          </w:p>
          <w:p>
            <w:pPr>
              <w:spacing w:line="360" w:lineRule="auto"/>
              <w:jc w:val="center"/>
              <w:rPr>
                <w:rFonts w:ascii="宋体" w:hAnsi="宋体"/>
                <w:sz w:val="18"/>
                <w:szCs w:val="18"/>
              </w:rPr>
            </w:pPr>
            <w:r>
              <w:rPr>
                <w:rFonts w:hint="eastAsia" w:ascii="宋体" w:hAnsi="宋体" w:cs="仿宋_GB2312"/>
                <w:sz w:val="18"/>
                <w:szCs w:val="18"/>
              </w:rPr>
              <w:t>停产</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重大国际、国内影响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40</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违反法律法规和标准</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3人以上10人以下死亡，或10人以上50人以下重伤</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1000以上</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装置</w:t>
            </w:r>
          </w:p>
          <w:p>
            <w:pPr>
              <w:spacing w:line="360" w:lineRule="auto"/>
              <w:jc w:val="center"/>
              <w:rPr>
                <w:rFonts w:ascii="宋体" w:hAnsi="宋体"/>
                <w:sz w:val="18"/>
                <w:szCs w:val="18"/>
              </w:rPr>
            </w:pPr>
            <w:r>
              <w:rPr>
                <w:rFonts w:hint="eastAsia" w:ascii="宋体" w:hAnsi="宋体" w:cs="仿宋_GB2312"/>
                <w:sz w:val="18"/>
                <w:szCs w:val="18"/>
              </w:rPr>
              <w:t>停工</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行业内、省内影响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15</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潜在违反法规和标准</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3人以下死亡，或10人以下重伤</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100以上</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部分装置停工</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地区影响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7</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不符合上级或行业的安全方针、制度、规定等</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丧失劳动力、截肢、骨折、听力丧失、慢性病</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10万以上</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部分设备停工</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公司及周边范围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2</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不符合公司的安全操作程序、规定</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轻微受伤、间歇不舒服</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1万以上</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1套设备停工</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引人关注，不利于基本的安全卫生要求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1</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完全符合</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无伤亡</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1万以下</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没有</w:t>
            </w:r>
          </w:p>
          <w:p>
            <w:pPr>
              <w:spacing w:line="360" w:lineRule="auto"/>
              <w:jc w:val="center"/>
              <w:rPr>
                <w:rFonts w:ascii="宋体" w:hAnsi="宋体"/>
                <w:sz w:val="18"/>
                <w:szCs w:val="18"/>
              </w:rPr>
            </w:pPr>
            <w:r>
              <w:rPr>
                <w:rFonts w:hint="eastAsia" w:ascii="宋体" w:hAnsi="宋体" w:cs="仿宋_GB2312"/>
                <w:sz w:val="18"/>
                <w:szCs w:val="18"/>
              </w:rPr>
              <w:t>停工</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形象没有受损</w:t>
            </w:r>
          </w:p>
        </w:tc>
      </w:tr>
    </w:tbl>
    <w:p>
      <w:pPr>
        <w:pStyle w:val="17"/>
        <w:numPr>
          <w:ilvl w:val="0"/>
          <w:numId w:val="0"/>
        </w:numPr>
        <w:spacing w:before="156" w:after="156"/>
      </w:pPr>
      <w:r>
        <w:rPr>
          <w:rFonts w:hint="eastAsia"/>
        </w:rPr>
        <w:t>风险等级判定准则（</w:t>
      </w:r>
      <w:r>
        <w:t>D</w:t>
      </w:r>
      <w:r>
        <w:rPr>
          <w:rFonts w:hint="eastAsia"/>
        </w:rPr>
        <w:t>）及控制措施</w:t>
      </w:r>
    </w:p>
    <w:tbl>
      <w:tblPr>
        <w:tblStyle w:val="13"/>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96"/>
        <w:gridCol w:w="1134"/>
        <w:gridCol w:w="3980"/>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343" w:type="dxa"/>
            <w:tcBorders>
              <w:bottom w:val="nil"/>
            </w:tcBorders>
            <w:vAlign w:val="center"/>
          </w:tcPr>
          <w:p>
            <w:pPr>
              <w:spacing w:line="360" w:lineRule="auto"/>
              <w:jc w:val="center"/>
              <w:rPr>
                <w:rFonts w:ascii="宋体" w:hAnsi="宋体"/>
                <w:bCs/>
                <w:spacing w:val="20"/>
                <w:sz w:val="18"/>
                <w:szCs w:val="18"/>
              </w:rPr>
            </w:pPr>
            <w:r>
              <w:rPr>
                <w:rFonts w:hint="eastAsia" w:ascii="宋体" w:hAnsi="宋体" w:cs="仿宋_GB2312"/>
                <w:bCs/>
                <w:spacing w:val="20"/>
                <w:sz w:val="18"/>
                <w:szCs w:val="18"/>
              </w:rPr>
              <w:t>风险值</w:t>
            </w:r>
          </w:p>
        </w:tc>
        <w:tc>
          <w:tcPr>
            <w:tcW w:w="1830" w:type="dxa"/>
            <w:gridSpan w:val="2"/>
            <w:vAlign w:val="center"/>
          </w:tcPr>
          <w:p>
            <w:pPr>
              <w:spacing w:line="360" w:lineRule="auto"/>
              <w:jc w:val="center"/>
              <w:rPr>
                <w:rFonts w:ascii="宋体" w:hAnsi="宋体"/>
                <w:bCs/>
                <w:spacing w:val="20"/>
                <w:sz w:val="18"/>
                <w:szCs w:val="18"/>
              </w:rPr>
            </w:pPr>
            <w:r>
              <w:rPr>
                <w:rFonts w:hint="eastAsia" w:ascii="宋体" w:hAnsi="宋体" w:cs="仿宋_GB2312"/>
                <w:bCs/>
                <w:spacing w:val="20"/>
                <w:sz w:val="18"/>
                <w:szCs w:val="18"/>
              </w:rPr>
              <w:t>风险等级</w:t>
            </w:r>
          </w:p>
        </w:tc>
        <w:tc>
          <w:tcPr>
            <w:tcW w:w="3980" w:type="dxa"/>
            <w:vAlign w:val="center"/>
          </w:tcPr>
          <w:p>
            <w:pPr>
              <w:spacing w:line="360" w:lineRule="auto"/>
              <w:jc w:val="center"/>
              <w:rPr>
                <w:rFonts w:ascii="宋体" w:hAnsi="宋体"/>
                <w:bCs/>
                <w:spacing w:val="20"/>
                <w:sz w:val="18"/>
                <w:szCs w:val="18"/>
              </w:rPr>
            </w:pPr>
            <w:r>
              <w:rPr>
                <w:rFonts w:hint="eastAsia" w:ascii="宋体" w:hAnsi="宋体" w:cs="仿宋_GB2312"/>
                <w:bCs/>
                <w:spacing w:val="20"/>
                <w:sz w:val="18"/>
                <w:szCs w:val="18"/>
              </w:rPr>
              <w:t>应采取的行动</w:t>
            </w:r>
            <w:r>
              <w:rPr>
                <w:rFonts w:ascii="宋体" w:hAnsi="宋体" w:cs="仿宋_GB2312"/>
                <w:bCs/>
                <w:spacing w:val="20"/>
                <w:sz w:val="18"/>
                <w:szCs w:val="18"/>
              </w:rPr>
              <w:t>/</w:t>
            </w:r>
            <w:r>
              <w:rPr>
                <w:rFonts w:hint="eastAsia" w:ascii="宋体" w:hAnsi="宋体" w:cs="仿宋_GB2312"/>
                <w:bCs/>
                <w:spacing w:val="20"/>
                <w:sz w:val="18"/>
                <w:szCs w:val="18"/>
              </w:rPr>
              <w:t>控制措施</w:t>
            </w:r>
          </w:p>
        </w:tc>
        <w:tc>
          <w:tcPr>
            <w:tcW w:w="1458" w:type="dxa"/>
            <w:vAlign w:val="center"/>
          </w:tcPr>
          <w:p>
            <w:pPr>
              <w:spacing w:line="360" w:lineRule="auto"/>
              <w:jc w:val="center"/>
              <w:rPr>
                <w:rFonts w:ascii="宋体" w:hAnsi="宋体"/>
                <w:bCs/>
                <w:spacing w:val="20"/>
                <w:sz w:val="18"/>
                <w:szCs w:val="18"/>
              </w:rPr>
            </w:pPr>
            <w:r>
              <w:rPr>
                <w:rFonts w:hint="eastAsia" w:ascii="宋体" w:hAnsi="宋体" w:cs="仿宋_GB2312"/>
                <w:bCs/>
                <w:spacing w:val="20"/>
                <w:sz w:val="18"/>
                <w:szCs w:val="18"/>
              </w:rPr>
              <w:t>实施期限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343" w:type="dxa"/>
            <w:tcBorders>
              <w:bottom w:val="single" w:color="auto" w:sz="4" w:space="0"/>
            </w:tcBorders>
            <w:shd w:val="clear" w:color="auto" w:fill="FF0000"/>
            <w:vAlign w:val="center"/>
          </w:tcPr>
          <w:p>
            <w:pPr>
              <w:spacing w:line="360" w:lineRule="auto"/>
              <w:jc w:val="center"/>
              <w:rPr>
                <w:rFonts w:ascii="宋体" w:hAnsi="宋体" w:cs="仿宋_GB2312"/>
                <w:b/>
                <w:bCs/>
                <w:spacing w:val="20"/>
                <w:sz w:val="18"/>
                <w:szCs w:val="18"/>
              </w:rPr>
            </w:pPr>
            <w:r>
              <w:rPr>
                <w:rFonts w:ascii="宋体" w:hAnsi="宋体" w:cs="仿宋_GB2312"/>
                <w:b/>
                <w:bCs/>
                <w:sz w:val="18"/>
                <w:szCs w:val="18"/>
              </w:rPr>
              <w:t>&gt;</w:t>
            </w:r>
            <w:r>
              <w:rPr>
                <w:rFonts w:ascii="宋体" w:hAnsi="宋体" w:cs="仿宋_GB2312"/>
                <w:b/>
                <w:bCs/>
                <w:spacing w:val="20"/>
                <w:sz w:val="18"/>
                <w:szCs w:val="18"/>
              </w:rPr>
              <w:t>320</w:t>
            </w:r>
          </w:p>
        </w:tc>
        <w:tc>
          <w:tcPr>
            <w:tcW w:w="696"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A/</w:t>
            </w:r>
            <w:r>
              <w:rPr>
                <w:rFonts w:ascii="宋体" w:hAnsi="宋体" w:cs="仿宋_GB2312"/>
                <w:sz w:val="18"/>
                <w:szCs w:val="18"/>
              </w:rPr>
              <w:t>1</w:t>
            </w:r>
            <w:r>
              <w:rPr>
                <w:rFonts w:hint="eastAsia" w:ascii="宋体" w:hAnsi="宋体" w:cs="仿宋_GB2312"/>
                <w:sz w:val="18"/>
                <w:szCs w:val="18"/>
              </w:rPr>
              <w:t>级</w:t>
            </w:r>
          </w:p>
        </w:tc>
        <w:tc>
          <w:tcPr>
            <w:tcW w:w="1134"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极其危险</w:t>
            </w:r>
          </w:p>
        </w:tc>
        <w:tc>
          <w:tcPr>
            <w:tcW w:w="3980" w:type="dxa"/>
            <w:vAlign w:val="center"/>
          </w:tcPr>
          <w:p>
            <w:pPr>
              <w:spacing w:line="360" w:lineRule="auto"/>
              <w:rPr>
                <w:rFonts w:ascii="宋体" w:hAnsi="宋体"/>
                <w:spacing w:val="20"/>
                <w:sz w:val="18"/>
                <w:szCs w:val="18"/>
              </w:rPr>
            </w:pPr>
            <w:r>
              <w:rPr>
                <w:rFonts w:hint="eastAsia" w:ascii="宋体" w:hAnsi="宋体" w:cs="仿宋_GB2312"/>
                <w:spacing w:val="20"/>
                <w:sz w:val="18"/>
                <w:szCs w:val="18"/>
              </w:rPr>
              <w:t>在采取措施降低危害前，不能继续作业，对改进措施进行评估</w:t>
            </w:r>
          </w:p>
        </w:tc>
        <w:tc>
          <w:tcPr>
            <w:tcW w:w="1458" w:type="dxa"/>
            <w:vAlign w:val="center"/>
          </w:tcPr>
          <w:p>
            <w:pPr>
              <w:spacing w:line="360" w:lineRule="auto"/>
              <w:jc w:val="center"/>
              <w:rPr>
                <w:rFonts w:ascii="宋体" w:hAnsi="宋体"/>
                <w:spacing w:val="20"/>
                <w:sz w:val="18"/>
                <w:szCs w:val="18"/>
              </w:rPr>
            </w:pPr>
            <w:r>
              <w:rPr>
                <w:rFonts w:hint="eastAsia" w:ascii="宋体" w:hAnsi="宋体" w:cs="仿宋_GB2312"/>
                <w:spacing w:val="20"/>
                <w:sz w:val="18"/>
                <w:szCs w:val="18"/>
              </w:rPr>
              <w:t>立刻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43" w:type="dxa"/>
            <w:tcBorders>
              <w:bottom w:val="single" w:color="auto" w:sz="4" w:space="0"/>
            </w:tcBorders>
            <w:shd w:val="clear" w:color="auto" w:fill="FFC000"/>
            <w:vAlign w:val="center"/>
          </w:tcPr>
          <w:p>
            <w:pPr>
              <w:spacing w:line="360" w:lineRule="auto"/>
              <w:jc w:val="center"/>
              <w:rPr>
                <w:rFonts w:ascii="宋体" w:hAnsi="宋体"/>
                <w:b/>
                <w:bCs/>
                <w:spacing w:val="20"/>
                <w:sz w:val="18"/>
                <w:szCs w:val="18"/>
              </w:rPr>
            </w:pPr>
            <w:r>
              <w:rPr>
                <w:rFonts w:ascii="宋体" w:hAnsi="宋体" w:cs="仿宋_GB2312"/>
                <w:b/>
                <w:bCs/>
                <w:sz w:val="18"/>
                <w:szCs w:val="18"/>
              </w:rPr>
              <w:t>160</w:t>
            </w:r>
            <w:r>
              <w:rPr>
                <w:rFonts w:hint="eastAsia" w:ascii="宋体" w:hAnsi="宋体" w:cs="仿宋_GB2312"/>
                <w:b/>
                <w:bCs/>
                <w:sz w:val="18"/>
                <w:szCs w:val="18"/>
              </w:rPr>
              <w:t>～</w:t>
            </w:r>
            <w:r>
              <w:rPr>
                <w:rFonts w:ascii="宋体" w:hAnsi="宋体" w:cs="仿宋_GB2312"/>
                <w:b/>
                <w:bCs/>
                <w:sz w:val="18"/>
                <w:szCs w:val="18"/>
              </w:rPr>
              <w:t>320</w:t>
            </w:r>
          </w:p>
        </w:tc>
        <w:tc>
          <w:tcPr>
            <w:tcW w:w="696"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B/</w:t>
            </w:r>
            <w:r>
              <w:rPr>
                <w:rFonts w:ascii="宋体" w:hAnsi="宋体" w:cs="仿宋_GB2312"/>
                <w:sz w:val="18"/>
                <w:szCs w:val="18"/>
              </w:rPr>
              <w:t>2</w:t>
            </w:r>
            <w:r>
              <w:rPr>
                <w:rFonts w:hint="eastAsia" w:ascii="宋体" w:hAnsi="宋体" w:cs="仿宋_GB2312"/>
                <w:sz w:val="18"/>
                <w:szCs w:val="18"/>
              </w:rPr>
              <w:t>级</w:t>
            </w:r>
          </w:p>
        </w:tc>
        <w:tc>
          <w:tcPr>
            <w:tcW w:w="1134"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高度危险</w:t>
            </w:r>
          </w:p>
        </w:tc>
        <w:tc>
          <w:tcPr>
            <w:tcW w:w="3980" w:type="dxa"/>
            <w:vAlign w:val="center"/>
          </w:tcPr>
          <w:p>
            <w:pPr>
              <w:spacing w:line="360" w:lineRule="auto"/>
              <w:rPr>
                <w:rFonts w:ascii="宋体" w:hAnsi="宋体"/>
                <w:spacing w:val="20"/>
                <w:sz w:val="18"/>
                <w:szCs w:val="18"/>
              </w:rPr>
            </w:pPr>
            <w:r>
              <w:rPr>
                <w:rFonts w:hint="eastAsia" w:ascii="宋体" w:hAnsi="宋体" w:cs="仿宋_GB2312"/>
                <w:spacing w:val="20"/>
                <w:sz w:val="18"/>
                <w:szCs w:val="18"/>
              </w:rPr>
              <w:t>采取紧急措施降低风险，建立运行控制程序，定期检查、测量及评估</w:t>
            </w:r>
          </w:p>
        </w:tc>
        <w:tc>
          <w:tcPr>
            <w:tcW w:w="1458" w:type="dxa"/>
            <w:vAlign w:val="center"/>
          </w:tcPr>
          <w:p>
            <w:pPr>
              <w:spacing w:line="360" w:lineRule="auto"/>
              <w:jc w:val="center"/>
              <w:rPr>
                <w:rFonts w:ascii="宋体" w:hAnsi="宋体"/>
                <w:spacing w:val="20"/>
                <w:sz w:val="18"/>
                <w:szCs w:val="18"/>
              </w:rPr>
            </w:pPr>
            <w:r>
              <w:rPr>
                <w:rFonts w:hint="eastAsia" w:ascii="宋体" w:hAnsi="宋体" w:cs="仿宋_GB2312"/>
                <w:spacing w:val="20"/>
                <w:sz w:val="18"/>
                <w:szCs w:val="18"/>
              </w:rPr>
              <w:t>立即或近期整改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343" w:type="dxa"/>
            <w:tcBorders>
              <w:bottom w:val="single" w:color="auto" w:sz="4" w:space="0"/>
            </w:tcBorders>
            <w:shd w:val="clear" w:color="auto" w:fill="FFFF00"/>
            <w:vAlign w:val="center"/>
          </w:tcPr>
          <w:p>
            <w:pPr>
              <w:spacing w:line="360" w:lineRule="auto"/>
              <w:jc w:val="center"/>
              <w:rPr>
                <w:rFonts w:ascii="宋体" w:hAnsi="宋体"/>
                <w:b/>
                <w:bCs/>
                <w:spacing w:val="20"/>
                <w:sz w:val="18"/>
                <w:szCs w:val="18"/>
              </w:rPr>
            </w:pPr>
            <w:r>
              <w:rPr>
                <w:rFonts w:ascii="宋体" w:hAnsi="宋体" w:cs="仿宋_GB2312"/>
                <w:sz w:val="18"/>
                <w:szCs w:val="18"/>
              </w:rPr>
              <w:t>70</w:t>
            </w:r>
            <w:r>
              <w:rPr>
                <w:rFonts w:hint="eastAsia" w:ascii="宋体" w:hAnsi="宋体" w:cs="仿宋_GB2312"/>
                <w:sz w:val="18"/>
                <w:szCs w:val="18"/>
              </w:rPr>
              <w:t>～</w:t>
            </w:r>
            <w:r>
              <w:rPr>
                <w:rFonts w:ascii="宋体" w:hAnsi="宋体" w:cs="仿宋_GB2312"/>
                <w:sz w:val="18"/>
                <w:szCs w:val="18"/>
              </w:rPr>
              <w:t>160</w:t>
            </w:r>
          </w:p>
        </w:tc>
        <w:tc>
          <w:tcPr>
            <w:tcW w:w="696"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C/</w:t>
            </w:r>
            <w:r>
              <w:rPr>
                <w:rFonts w:ascii="宋体" w:hAnsi="宋体" w:cs="仿宋_GB2312"/>
                <w:sz w:val="18"/>
                <w:szCs w:val="18"/>
              </w:rPr>
              <w:t>3</w:t>
            </w:r>
            <w:r>
              <w:rPr>
                <w:rFonts w:hint="eastAsia" w:ascii="宋体" w:hAnsi="宋体" w:cs="仿宋_GB2312"/>
                <w:sz w:val="18"/>
                <w:szCs w:val="18"/>
              </w:rPr>
              <w:t>级</w:t>
            </w:r>
          </w:p>
        </w:tc>
        <w:tc>
          <w:tcPr>
            <w:tcW w:w="1134"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显著危险</w:t>
            </w:r>
          </w:p>
        </w:tc>
        <w:tc>
          <w:tcPr>
            <w:tcW w:w="3980" w:type="dxa"/>
            <w:vAlign w:val="center"/>
          </w:tcPr>
          <w:p>
            <w:pPr>
              <w:spacing w:line="360" w:lineRule="auto"/>
              <w:rPr>
                <w:rFonts w:ascii="宋体" w:hAnsi="宋体"/>
                <w:spacing w:val="20"/>
                <w:sz w:val="18"/>
                <w:szCs w:val="18"/>
              </w:rPr>
            </w:pPr>
            <w:r>
              <w:rPr>
                <w:rFonts w:hint="eastAsia" w:ascii="宋体" w:hAnsi="宋体" w:cs="仿宋_GB2312"/>
                <w:spacing w:val="20"/>
                <w:sz w:val="18"/>
                <w:szCs w:val="18"/>
              </w:rPr>
              <w:t>可考虑建立目标、建立操作规程，加强培训及沟通</w:t>
            </w:r>
          </w:p>
        </w:tc>
        <w:tc>
          <w:tcPr>
            <w:tcW w:w="1458" w:type="dxa"/>
            <w:vAlign w:val="center"/>
          </w:tcPr>
          <w:p>
            <w:pPr>
              <w:spacing w:line="360" w:lineRule="auto"/>
              <w:jc w:val="center"/>
              <w:rPr>
                <w:rFonts w:ascii="宋体" w:hAnsi="宋体"/>
                <w:spacing w:val="20"/>
                <w:sz w:val="18"/>
                <w:szCs w:val="18"/>
              </w:rPr>
            </w:pPr>
            <w:r>
              <w:rPr>
                <w:rFonts w:ascii="宋体" w:hAnsi="宋体" w:cs="仿宋_GB2312"/>
                <w:spacing w:val="20"/>
                <w:sz w:val="18"/>
                <w:szCs w:val="18"/>
              </w:rPr>
              <w:t>2</w:t>
            </w:r>
            <w:r>
              <w:rPr>
                <w:rFonts w:hint="eastAsia" w:ascii="宋体" w:hAnsi="宋体" w:cs="仿宋_GB2312"/>
                <w:spacing w:val="20"/>
                <w:sz w:val="18"/>
                <w:szCs w:val="18"/>
              </w:rPr>
              <w:t>年内治理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343" w:type="dxa"/>
            <w:tcBorders>
              <w:bottom w:val="single" w:color="auto" w:sz="4" w:space="0"/>
            </w:tcBorders>
            <w:shd w:val="clear" w:color="auto" w:fill="00B0F0"/>
            <w:vAlign w:val="center"/>
          </w:tcPr>
          <w:p>
            <w:pPr>
              <w:spacing w:line="360" w:lineRule="auto"/>
              <w:jc w:val="center"/>
              <w:rPr>
                <w:rFonts w:ascii="宋体" w:hAnsi="宋体"/>
                <w:b/>
                <w:bCs/>
                <w:spacing w:val="20"/>
                <w:sz w:val="18"/>
                <w:szCs w:val="18"/>
              </w:rPr>
            </w:pPr>
            <w:r>
              <w:rPr>
                <w:rFonts w:hint="eastAsia" w:ascii="宋体" w:hAnsi="宋体" w:cs="仿宋_GB2312"/>
                <w:sz w:val="18"/>
                <w:szCs w:val="18"/>
              </w:rPr>
              <w:t>0～</w:t>
            </w:r>
            <w:r>
              <w:rPr>
                <w:rFonts w:ascii="宋体" w:hAnsi="宋体" w:cs="仿宋_GB2312"/>
                <w:sz w:val="18"/>
                <w:szCs w:val="18"/>
              </w:rPr>
              <w:t>70</w:t>
            </w:r>
          </w:p>
        </w:tc>
        <w:tc>
          <w:tcPr>
            <w:tcW w:w="696"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D/</w:t>
            </w:r>
            <w:r>
              <w:rPr>
                <w:rFonts w:ascii="宋体" w:hAnsi="宋体" w:cs="仿宋_GB2312"/>
                <w:sz w:val="18"/>
                <w:szCs w:val="18"/>
              </w:rPr>
              <w:t>4</w:t>
            </w:r>
            <w:r>
              <w:rPr>
                <w:rFonts w:hint="eastAsia" w:ascii="宋体" w:hAnsi="宋体" w:cs="仿宋_GB2312"/>
                <w:sz w:val="18"/>
                <w:szCs w:val="18"/>
              </w:rPr>
              <w:t>级</w:t>
            </w:r>
          </w:p>
        </w:tc>
        <w:tc>
          <w:tcPr>
            <w:tcW w:w="1134"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轻度危险</w:t>
            </w:r>
          </w:p>
        </w:tc>
        <w:tc>
          <w:tcPr>
            <w:tcW w:w="3980" w:type="dxa"/>
            <w:vAlign w:val="center"/>
          </w:tcPr>
          <w:p>
            <w:pPr>
              <w:spacing w:line="360" w:lineRule="auto"/>
              <w:rPr>
                <w:rFonts w:ascii="宋体" w:hAnsi="宋体"/>
                <w:spacing w:val="20"/>
                <w:sz w:val="18"/>
                <w:szCs w:val="18"/>
              </w:rPr>
            </w:pPr>
            <w:r>
              <w:rPr>
                <w:rFonts w:hint="eastAsia" w:ascii="宋体" w:hAnsi="宋体" w:cs="仿宋_GB2312"/>
                <w:spacing w:val="20"/>
                <w:sz w:val="18"/>
                <w:szCs w:val="18"/>
              </w:rPr>
              <w:t>可考虑建立操作规程、作业指导书，但需定期检查</w:t>
            </w:r>
          </w:p>
        </w:tc>
        <w:tc>
          <w:tcPr>
            <w:tcW w:w="1458" w:type="dxa"/>
            <w:vAlign w:val="center"/>
          </w:tcPr>
          <w:p>
            <w:pPr>
              <w:spacing w:line="360" w:lineRule="auto"/>
              <w:jc w:val="center"/>
              <w:rPr>
                <w:rFonts w:ascii="宋体" w:hAnsi="宋体"/>
                <w:spacing w:val="20"/>
                <w:sz w:val="18"/>
                <w:szCs w:val="18"/>
              </w:rPr>
            </w:pPr>
            <w:r>
              <w:rPr>
                <w:rFonts w:hint="eastAsia" w:ascii="宋体" w:hAnsi="宋体" w:cs="仿宋_GB2312"/>
                <w:spacing w:val="20"/>
                <w:sz w:val="18"/>
                <w:szCs w:val="18"/>
              </w:rPr>
              <w:t>有条件、有经费时治理</w:t>
            </w:r>
          </w:p>
        </w:tc>
      </w:tr>
    </w:tbl>
    <w:p>
      <w:pPr>
        <w:spacing w:line="360" w:lineRule="auto"/>
        <w:rPr>
          <w:b/>
          <w:bCs/>
          <w:sz w:val="28"/>
          <w:szCs w:val="28"/>
        </w:rPr>
      </w:pPr>
      <w:bookmarkStart w:id="171" w:name="_Toc11561_WPSOffice_Level2"/>
      <w:bookmarkStart w:id="172" w:name="_Toc27200_WPSOffice_Level1"/>
      <w:bookmarkStart w:id="173" w:name="_Toc2409_WPSOffice_Level2"/>
      <w:bookmarkStart w:id="174" w:name="_Toc10413_WPSOffice_Level2"/>
      <w:bookmarkStart w:id="175" w:name="_Toc19700_WPSOffice_Level2"/>
      <w:bookmarkStart w:id="176" w:name="_Toc17064_WPSOffice_Level2"/>
      <w:bookmarkStart w:id="177" w:name="_Toc9149_WPSOffice_Level2"/>
      <w:r>
        <w:rPr>
          <w:rFonts w:hint="eastAsia"/>
          <w:b/>
          <w:bCs/>
          <w:sz w:val="28"/>
          <w:szCs w:val="28"/>
        </w:rPr>
        <w:br w:type="page"/>
      </w:r>
    </w:p>
    <w:p>
      <w:pPr>
        <w:spacing w:line="360" w:lineRule="auto"/>
        <w:rPr>
          <w:b/>
          <w:bCs/>
          <w:sz w:val="28"/>
          <w:szCs w:val="28"/>
        </w:rPr>
      </w:pPr>
      <w:bookmarkStart w:id="178" w:name="_Toc8171_WPSOffice_Level2"/>
      <w:r>
        <w:rPr>
          <w:rFonts w:hint="eastAsia"/>
          <w:b/>
          <w:bCs/>
          <w:sz w:val="28"/>
          <w:szCs w:val="28"/>
        </w:rPr>
        <w:t>7.档案管理</w:t>
      </w:r>
      <w:bookmarkEnd w:id="171"/>
      <w:bookmarkEnd w:id="172"/>
      <w:bookmarkEnd w:id="173"/>
      <w:bookmarkEnd w:id="174"/>
      <w:bookmarkEnd w:id="175"/>
      <w:bookmarkEnd w:id="176"/>
      <w:bookmarkEnd w:id="177"/>
      <w:bookmarkEnd w:id="178"/>
    </w:p>
    <w:p>
      <w:pPr>
        <w:spacing w:line="360" w:lineRule="auto"/>
        <w:ind w:firstLine="560" w:firstLineChars="200"/>
        <w:rPr>
          <w:sz w:val="28"/>
          <w:szCs w:val="28"/>
        </w:rPr>
      </w:pPr>
      <w:r>
        <w:rPr>
          <w:rFonts w:hint="eastAsia"/>
          <w:sz w:val="28"/>
          <w:szCs w:val="28"/>
        </w:rPr>
        <w:t>安全管理员对评估后的安全风险归类建档。</w:t>
      </w:r>
    </w:p>
    <w:p>
      <w:pPr>
        <w:spacing w:line="360" w:lineRule="auto"/>
        <w:rPr>
          <w:b/>
          <w:bCs/>
          <w:sz w:val="28"/>
          <w:szCs w:val="28"/>
        </w:rPr>
      </w:pPr>
      <w:bookmarkStart w:id="179" w:name="_Toc15379_WPSOffice_Level1"/>
      <w:bookmarkStart w:id="180" w:name="_Toc32416_WPSOffice_Level2"/>
      <w:bookmarkStart w:id="181" w:name="_Toc27157_WPSOffice_Level2"/>
      <w:bookmarkStart w:id="182" w:name="_Toc10567_WPSOffice_Level2"/>
      <w:bookmarkStart w:id="183" w:name="_Toc8729_WPSOffice_Level2"/>
      <w:bookmarkStart w:id="184" w:name="_Toc22392_WPSOffice_Level2"/>
      <w:bookmarkStart w:id="185" w:name="_Toc12544_WPSOffice_Level2"/>
      <w:bookmarkStart w:id="186" w:name="_Toc25421_WPSOffice_Level2"/>
      <w:r>
        <w:rPr>
          <w:rFonts w:hint="eastAsia"/>
          <w:b/>
          <w:bCs/>
          <w:sz w:val="28"/>
          <w:szCs w:val="28"/>
        </w:rPr>
        <w:t>8.按时向上级主管部门上报安全风险管控信息。</w:t>
      </w:r>
      <w:bookmarkEnd w:id="179"/>
      <w:bookmarkEnd w:id="180"/>
      <w:bookmarkEnd w:id="181"/>
      <w:bookmarkEnd w:id="182"/>
      <w:bookmarkEnd w:id="183"/>
      <w:bookmarkEnd w:id="184"/>
      <w:bookmarkEnd w:id="185"/>
      <w:bookmarkEnd w:id="186"/>
    </w:p>
    <w:p>
      <w:pPr>
        <w:spacing w:line="360" w:lineRule="auto"/>
      </w:pPr>
      <w:r>
        <w:rPr>
          <w:rFonts w:hint="eastAsia"/>
          <w:sz w:val="28"/>
          <w:szCs w:val="28"/>
        </w:rPr>
        <w:br w:type="page"/>
      </w:r>
    </w:p>
    <w:p>
      <w:pPr>
        <w:jc w:val="center"/>
        <w:rPr>
          <w:w w:val="66"/>
        </w:rPr>
      </w:pPr>
      <w:bookmarkStart w:id="187" w:name="_Toc14232_WPSOffice_Level1"/>
      <w:bookmarkStart w:id="188" w:name="_Toc18729_WPSOffice_Level1"/>
      <w:bookmarkStart w:id="189" w:name="_Toc18349_WPSOffice_Level1"/>
      <w:bookmarkStart w:id="190" w:name="_Toc22554_WPSOffice_Level2"/>
      <w:r>
        <w:rPr>
          <w:rFonts w:hint="eastAsia"/>
          <w:b/>
          <w:bCs/>
          <w:color w:val="FF0000"/>
          <w:w w:val="66"/>
          <w:sz w:val="72"/>
          <w:szCs w:val="72"/>
        </w:rPr>
        <w:t>XX有限公司文件</w:t>
      </w:r>
      <w:bookmarkEnd w:id="187"/>
      <w:bookmarkEnd w:id="188"/>
      <w:bookmarkEnd w:id="189"/>
    </w:p>
    <w:p/>
    <w:p>
      <w:pPr>
        <w:jc w:val="center"/>
        <w:rPr>
          <w:sz w:val="28"/>
          <w:szCs w:val="28"/>
        </w:rPr>
      </w:pPr>
      <w:r>
        <w:rPr>
          <w:sz w:val="28"/>
        </w:rPr>
        <w:pict>
          <v:line id="_x0000_s3096" o:spid="_x0000_s3096" o:spt="20" style="position:absolute;left:0pt;margin-left:1.6pt;margin-top:26.8pt;height:0pt;width:441.4pt;z-index:251683840;mso-width-relative:page;mso-height-relative:page;" stroked="t" coordsize="21600,21600" o:gfxdata="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nvWCU1QAAAAcBAAAPAAAAAAAAAAEAIAAAACIAAABk&#10;cnMvZG93bnJldi54bWxQSwECFAAUAAAACACHTuJA3+ZtxdABAABaAwAADgAAAAAAAAABACAAAAAk&#10;AQAAZHJzL2Uyb0RvYy54bWxQSwUGAAAAAAYABgBZAQAAZgUAAAAA&#10;">
            <v:path arrowok="t"/>
            <v:fill focussize="0,0"/>
            <v:stroke weight="2.25pt" color="#FF0000"/>
            <v:imagedata o:title=""/>
            <o:lock v:ext="edit"/>
          </v:line>
        </w:pict>
      </w:r>
      <w:r>
        <w:rPr>
          <w:rFonts w:hint="eastAsia"/>
          <w:sz w:val="28"/>
        </w:rPr>
        <w:t>XX</w:t>
      </w:r>
      <w:r>
        <w:rPr>
          <w:rFonts w:hint="eastAsia"/>
          <w:sz w:val="28"/>
          <w:szCs w:val="28"/>
        </w:rPr>
        <w:t>字【</w:t>
      </w:r>
      <w:r>
        <w:rPr>
          <w:rFonts w:hint="eastAsia"/>
          <w:sz w:val="28"/>
          <w:szCs w:val="28"/>
          <w:lang w:eastAsia="zh-CN"/>
        </w:rPr>
        <w:t>202X</w:t>
      </w:r>
      <w:r>
        <w:rPr>
          <w:rFonts w:hint="eastAsia"/>
          <w:sz w:val="28"/>
          <w:szCs w:val="28"/>
        </w:rPr>
        <w:t>】第17号</w:t>
      </w:r>
    </w:p>
    <w:p>
      <w:pPr>
        <w:pStyle w:val="2"/>
      </w:pPr>
    </w:p>
    <w:p>
      <w:pPr>
        <w:pStyle w:val="2"/>
      </w:pPr>
      <w:bookmarkStart w:id="191" w:name="_Toc14132_WPSOffice_Level2"/>
      <w:r>
        <w:rPr>
          <w:rFonts w:hint="eastAsia"/>
        </w:rPr>
        <w:t>关于发布安全风险公告制度的通知</w:t>
      </w:r>
      <w:bookmarkEnd w:id="191"/>
    </w:p>
    <w:p/>
    <w:p>
      <w:pPr>
        <w:spacing w:line="480" w:lineRule="exact"/>
        <w:rPr>
          <w:b/>
          <w:bCs/>
          <w:sz w:val="28"/>
          <w:szCs w:val="28"/>
        </w:rPr>
      </w:pPr>
      <w:r>
        <w:rPr>
          <w:rFonts w:hint="eastAsia"/>
          <w:b/>
          <w:bCs/>
          <w:sz w:val="28"/>
          <w:szCs w:val="28"/>
        </w:rPr>
        <w:t>各岗位职工：</w:t>
      </w:r>
    </w:p>
    <w:p>
      <w:pPr>
        <w:spacing w:line="440" w:lineRule="exact"/>
        <w:ind w:firstLine="560" w:firstLineChars="200"/>
        <w:rPr>
          <w:sz w:val="28"/>
          <w:szCs w:val="28"/>
        </w:rPr>
      </w:pPr>
      <w:r>
        <w:rPr>
          <w:rFonts w:hint="eastAsia"/>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w:t>
      </w:r>
      <w:r>
        <w:rPr>
          <w:rFonts w:hint="eastAsia"/>
          <w:sz w:val="28"/>
          <w:szCs w:val="28"/>
          <w:lang w:eastAsia="zh-CN"/>
        </w:rPr>
        <w:t>202X</w:t>
      </w:r>
      <w:r>
        <w:rPr>
          <w:rFonts w:hint="eastAsia"/>
          <w:sz w:val="28"/>
          <w:szCs w:val="28"/>
        </w:rPr>
        <w:t>年全省安全生产风险分级管控和隐患排查治理双重预防体系建设推进工作方案》的通知（鲁安办发﹝</w:t>
      </w:r>
      <w:r>
        <w:rPr>
          <w:rFonts w:hint="eastAsia"/>
          <w:sz w:val="28"/>
          <w:szCs w:val="28"/>
          <w:lang w:eastAsia="zh-CN"/>
        </w:rPr>
        <w:t>202X</w:t>
      </w:r>
      <w:r>
        <w:rPr>
          <w:rFonts w:hint="eastAsia"/>
          <w:sz w:val="28"/>
          <w:szCs w:val="28"/>
        </w:rPr>
        <w:t>﹞29号）、《关于深化企业安全生产标准化工作促进风险分级管控与隐患排查治理双重预防体系建设的通知》鲁安办发﹝</w:t>
      </w:r>
      <w:r>
        <w:rPr>
          <w:rFonts w:hint="eastAsia"/>
          <w:sz w:val="28"/>
          <w:szCs w:val="28"/>
          <w:lang w:eastAsia="zh-CN"/>
        </w:rPr>
        <w:t>202X</w:t>
      </w:r>
      <w:r>
        <w:rPr>
          <w:rFonts w:hint="eastAsia"/>
          <w:sz w:val="28"/>
          <w:szCs w:val="28"/>
        </w:rPr>
        <w:t>﹞33号等相关文件要求，切实提高公司安全管理水平，加强风险分级管控，确保生产安全，我公司制定了《安全风险公告制度》，各部门负责人及各岗位职工应贯彻落实制度要求，将公司风险点在公司、部门、岗位进行公示。</w:t>
      </w:r>
    </w:p>
    <w:p>
      <w:pPr>
        <w:spacing w:line="360" w:lineRule="auto"/>
        <w:ind w:firstLine="560" w:firstLineChars="200"/>
        <w:rPr>
          <w:sz w:val="28"/>
          <w:szCs w:val="28"/>
        </w:rPr>
      </w:pPr>
      <w:r>
        <w:rPr>
          <w:rFonts w:hint="eastAsia"/>
          <w:sz w:val="28"/>
          <w:szCs w:val="28"/>
        </w:rPr>
        <w:t>第一条 为强化风险分级管控与隐患排查体系（以下简称“双重预防体系”）规范建设，落实好风险分级管控措施，实现持续改进，确保风险受控和安全稳定，特制度本制度。</w:t>
      </w:r>
    </w:p>
    <w:p>
      <w:pPr>
        <w:spacing w:line="360" w:lineRule="auto"/>
        <w:ind w:firstLine="560" w:firstLineChars="200"/>
        <w:rPr>
          <w:sz w:val="28"/>
          <w:szCs w:val="28"/>
        </w:rPr>
      </w:pPr>
      <w:r>
        <w:rPr>
          <w:rFonts w:hint="eastAsia"/>
          <w:sz w:val="28"/>
          <w:szCs w:val="28"/>
        </w:rPr>
        <w:t>第二条 实行安全生产风险点公告制度，有利于公司安全风险点信息公开，确保公司风险点分级管控责任落实到位，从业人员充分了解公司存在的安全风险，促进干部员工掌握规避风险的措施并严格落实到位。</w:t>
      </w:r>
    </w:p>
    <w:p>
      <w:pPr>
        <w:spacing w:line="360" w:lineRule="auto"/>
        <w:ind w:firstLine="560" w:firstLineChars="200"/>
        <w:rPr>
          <w:sz w:val="28"/>
          <w:szCs w:val="28"/>
        </w:rPr>
      </w:pPr>
      <w:r>
        <w:rPr>
          <w:rFonts w:hint="eastAsia"/>
          <w:sz w:val="28"/>
          <w:szCs w:val="28"/>
        </w:rPr>
        <w:t>第三条 安全风险公告的主要内容</w:t>
      </w:r>
    </w:p>
    <w:p>
      <w:pPr>
        <w:spacing w:line="360" w:lineRule="auto"/>
        <w:ind w:firstLine="560" w:firstLineChars="200"/>
        <w:rPr>
          <w:sz w:val="28"/>
          <w:szCs w:val="28"/>
        </w:rPr>
      </w:pPr>
      <w:r>
        <w:rPr>
          <w:rFonts w:hint="eastAsia"/>
          <w:sz w:val="28"/>
          <w:szCs w:val="28"/>
        </w:rPr>
        <w:t>1、按照安全生产风险分级管控与隐患排查治理两个体系建设标准规范要求，对公司设备设施、作业活动进行危害因素辨识风险评估，形成风险点分级管控告知牌，明确风险点危险因素及管控措施，责任人联系方式等内容。</w:t>
      </w:r>
    </w:p>
    <w:p>
      <w:pPr>
        <w:spacing w:line="360" w:lineRule="auto"/>
        <w:ind w:firstLine="560" w:firstLineChars="200"/>
        <w:rPr>
          <w:sz w:val="28"/>
          <w:szCs w:val="28"/>
        </w:rPr>
      </w:pPr>
      <w:r>
        <w:rPr>
          <w:rFonts w:hint="eastAsia"/>
          <w:sz w:val="28"/>
          <w:szCs w:val="28"/>
        </w:rPr>
        <w:t>2、公司隐患排查、车间级检查及各级安全执法检查发现的安全隐患及治理情况。</w:t>
      </w:r>
    </w:p>
    <w:p>
      <w:pPr>
        <w:spacing w:line="360" w:lineRule="auto"/>
        <w:ind w:firstLine="560" w:firstLineChars="200"/>
        <w:rPr>
          <w:sz w:val="28"/>
          <w:szCs w:val="28"/>
        </w:rPr>
      </w:pPr>
      <w:r>
        <w:rPr>
          <w:rFonts w:hint="eastAsia"/>
          <w:sz w:val="28"/>
          <w:szCs w:val="28"/>
        </w:rPr>
        <w:t xml:space="preserve">第四条 安全风险公告的具体要求 </w:t>
      </w:r>
    </w:p>
    <w:p>
      <w:pPr>
        <w:spacing w:line="360" w:lineRule="auto"/>
        <w:ind w:firstLine="560" w:firstLineChars="200"/>
        <w:rPr>
          <w:sz w:val="28"/>
          <w:szCs w:val="28"/>
        </w:rPr>
      </w:pPr>
      <w:r>
        <w:rPr>
          <w:rFonts w:hint="eastAsia"/>
          <w:sz w:val="28"/>
          <w:szCs w:val="28"/>
        </w:rPr>
        <w:t>1、公司安全员负责安全风险公告工作，确保落实到位；</w:t>
      </w:r>
    </w:p>
    <w:p>
      <w:pPr>
        <w:spacing w:line="360" w:lineRule="auto"/>
        <w:ind w:firstLine="560" w:firstLineChars="200"/>
        <w:rPr>
          <w:sz w:val="28"/>
          <w:szCs w:val="28"/>
        </w:rPr>
      </w:pPr>
      <w:r>
        <w:rPr>
          <w:rFonts w:hint="eastAsia"/>
          <w:sz w:val="28"/>
          <w:szCs w:val="28"/>
        </w:rPr>
        <w:t>2、公司在现场设置安全风险公告栏，并及时更新安全风险公告内容；</w:t>
      </w:r>
    </w:p>
    <w:p>
      <w:pPr>
        <w:spacing w:line="360" w:lineRule="auto"/>
        <w:ind w:firstLine="560" w:firstLineChars="200"/>
        <w:rPr>
          <w:sz w:val="28"/>
          <w:szCs w:val="28"/>
        </w:rPr>
      </w:pPr>
      <w:r>
        <w:rPr>
          <w:rFonts w:hint="eastAsia"/>
          <w:sz w:val="28"/>
          <w:szCs w:val="28"/>
        </w:rPr>
        <w:t>3、公告的安全隐患部分应说明安全隐患的检查单位、隐患内容、整改要求、整改时限、整改责任人、复查验收情况等事项；</w:t>
      </w:r>
    </w:p>
    <w:p>
      <w:pPr>
        <w:spacing w:line="360" w:lineRule="auto"/>
        <w:ind w:firstLine="560" w:firstLineChars="200"/>
        <w:rPr>
          <w:sz w:val="28"/>
          <w:szCs w:val="28"/>
        </w:rPr>
      </w:pPr>
      <w:r>
        <w:rPr>
          <w:rFonts w:hint="eastAsia"/>
          <w:sz w:val="28"/>
          <w:szCs w:val="28"/>
        </w:rPr>
        <w:t>4、公告内容要与公司隐患排查台帐一致，不得有漏项或缺项。</w:t>
      </w:r>
    </w:p>
    <w:p>
      <w:pPr>
        <w:spacing w:line="360" w:lineRule="auto"/>
        <w:ind w:firstLine="560" w:firstLineChars="200"/>
        <w:rPr>
          <w:sz w:val="28"/>
          <w:szCs w:val="28"/>
        </w:rPr>
      </w:pPr>
      <w:r>
        <w:rPr>
          <w:rFonts w:hint="eastAsia"/>
          <w:sz w:val="28"/>
          <w:szCs w:val="28"/>
        </w:rPr>
        <w:t>5、对于整改时限较长的安全隐患，还应说明隐患整改期间采取的安全防护应急措施；</w:t>
      </w:r>
    </w:p>
    <w:p>
      <w:pPr>
        <w:spacing w:line="360" w:lineRule="auto"/>
        <w:ind w:firstLine="560" w:firstLineChars="200"/>
        <w:rPr>
          <w:sz w:val="28"/>
          <w:szCs w:val="28"/>
        </w:rPr>
      </w:pPr>
      <w:r>
        <w:rPr>
          <w:rFonts w:hint="eastAsia"/>
          <w:sz w:val="28"/>
          <w:szCs w:val="28"/>
        </w:rPr>
        <w:t>6、安全隐患整改完毕后，及时向员工公告隐患整改情况。</w:t>
      </w:r>
    </w:p>
    <w:p>
      <w:pPr>
        <w:spacing w:line="360" w:lineRule="auto"/>
        <w:ind w:firstLine="560" w:firstLineChars="200"/>
        <w:rPr>
          <w:sz w:val="28"/>
          <w:szCs w:val="28"/>
        </w:rPr>
      </w:pPr>
      <w:r>
        <w:rPr>
          <w:rFonts w:hint="eastAsia"/>
          <w:sz w:val="28"/>
          <w:szCs w:val="28"/>
        </w:rPr>
        <w:t>第五条 监督管理</w:t>
      </w:r>
    </w:p>
    <w:p>
      <w:pPr>
        <w:spacing w:line="360" w:lineRule="auto"/>
        <w:ind w:firstLine="560" w:firstLineChars="200"/>
        <w:rPr>
          <w:sz w:val="28"/>
          <w:szCs w:val="28"/>
        </w:rPr>
      </w:pPr>
      <w:r>
        <w:rPr>
          <w:rFonts w:hint="eastAsia"/>
          <w:sz w:val="28"/>
          <w:szCs w:val="28"/>
        </w:rPr>
        <w:t>1、由公司总经理负责监督安全生产风险公告的落实与执行。</w:t>
      </w:r>
    </w:p>
    <w:p>
      <w:pPr>
        <w:spacing w:line="360" w:lineRule="auto"/>
        <w:ind w:firstLine="560" w:firstLineChars="200"/>
        <w:rPr>
          <w:sz w:val="28"/>
          <w:szCs w:val="28"/>
        </w:rPr>
      </w:pPr>
      <w:r>
        <w:rPr>
          <w:rFonts w:hint="eastAsia"/>
          <w:sz w:val="28"/>
          <w:szCs w:val="28"/>
        </w:rPr>
        <w:t>2、公司干部员工均有权监督安全生产风险公告的落实执行、信息更新等工作，有权向总经理、安全管理员提出建议或意见。</w:t>
      </w:r>
    </w:p>
    <w:p>
      <w:pPr>
        <w:spacing w:line="440" w:lineRule="exact"/>
        <w:rPr>
          <w:sz w:val="28"/>
          <w:szCs w:val="28"/>
        </w:rPr>
      </w:pPr>
    </w:p>
    <w:p>
      <w:pPr>
        <w:spacing w:line="360" w:lineRule="auto"/>
        <w:rPr>
          <w:sz w:val="24"/>
          <w:szCs w:val="24"/>
        </w:rPr>
      </w:pPr>
      <w:r>
        <w:rPr>
          <w:rFonts w:hint="eastAsia"/>
          <w:sz w:val="24"/>
          <w:szCs w:val="24"/>
        </w:rPr>
        <w:t xml:space="preserve">                                    </w:t>
      </w:r>
      <w:r>
        <w:rPr>
          <w:rFonts w:hint="eastAsia"/>
          <w:b/>
          <w:bCs/>
          <w:sz w:val="28"/>
          <w:szCs w:val="28"/>
        </w:rPr>
        <w:t xml:space="preserve">            总经理：</w:t>
      </w:r>
    </w:p>
    <w:p>
      <w:pPr>
        <w:spacing w:line="360" w:lineRule="auto"/>
        <w:rPr>
          <w:sz w:val="24"/>
          <w:szCs w:val="24"/>
        </w:rPr>
      </w:pPr>
    </w:p>
    <w:p>
      <w:pPr>
        <w:spacing w:line="360" w:lineRule="auto"/>
        <w:rPr>
          <w:sz w:val="24"/>
          <w:szCs w:val="24"/>
        </w:rPr>
      </w:pPr>
    </w:p>
    <w:p>
      <w:pPr>
        <w:spacing w:line="360" w:lineRule="auto"/>
        <w:rPr>
          <w:sz w:val="28"/>
          <w:szCs w:val="28"/>
        </w:rPr>
      </w:pPr>
      <w:r>
        <w:rPr>
          <w:sz w:val="28"/>
        </w:rPr>
        <w:pict>
          <v:line id="_x0000_s3095" o:spid="_x0000_s3095" o:spt="20" style="position:absolute;left:0pt;flip:y;margin-left:-6.1pt;margin-top:26.45pt;height:0.05pt;width:470.15pt;z-index:251684864;mso-width-relative:page;mso-height-relative:page;" stroked="t" coordsize="21600,21600" o:gfxdata="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egeA&#10;1wAAAAkBAAAPAAAAAAAAAAEAIAAAACIAAABkcnMvZG93bnJldi54bWxQSwECFAAUAAAACACHTuJA&#10;WDvFmOkBAACfAwAADgAAAAAAAAABACAAAAAmAQAAZHJzL2Uyb0RvYy54bWxQSwUGAAAAAAYABgBZ&#10;AQAAgQUAAAAA&#10;">
            <v:path arrowok="t"/>
            <v:fill focussize="0,0"/>
            <v:stroke color="#000000"/>
            <v:imagedata o:title=""/>
            <o:lock v:ext="edit"/>
          </v:line>
        </w:pict>
      </w:r>
      <w:r>
        <w:rPr>
          <w:sz w:val="28"/>
        </w:rPr>
        <w:pict>
          <v:line id="_x0000_s3094" o:spid="_x0000_s3094" o:spt="20" style="position:absolute;left:0pt;flip:y;margin-left:-4.55pt;margin-top:1.1pt;height:0.35pt;width:467.6pt;z-index:251685888;mso-width-relative:page;mso-height-relative:page;" stroked="t" coordsize="21600,21600" o:gfxdata="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YuMcbSAAAABgEAAA8AAAAA&#10;AAAAAQAgAAAAIgAAAGRycy9kb3ducmV2LnhtbFBLAQIUABQAAAAIAIdO4kACmp7T4QEAAJQDAAAO&#10;AAAAAAAAAAEAIAAAACEBAABkcnMvZTJvRG9jLnhtbFBLBQYAAAAABgAGAFkBAAB0BQAAAAA=&#10;">
            <v:path arrowok="t"/>
            <v:fill focussize="0,0"/>
            <v:stroke color="#000000"/>
            <v:imagedata o:title=""/>
            <o:lock v:ext="edit"/>
          </v:line>
        </w:pict>
      </w:r>
      <w:r>
        <w:rPr>
          <w:rFonts w:hint="eastAsia"/>
          <w:sz w:val="28"/>
        </w:rPr>
        <w:t>山东XX生物技术有限公司</w:t>
      </w:r>
      <w:r>
        <w:rPr>
          <w:rFonts w:hint="eastAsia"/>
          <w:sz w:val="28"/>
          <w:szCs w:val="28"/>
        </w:rPr>
        <w:t xml:space="preserve">                      </w:t>
      </w:r>
      <w:r>
        <w:rPr>
          <w:rFonts w:hint="eastAsia"/>
          <w:sz w:val="28"/>
          <w:szCs w:val="28"/>
          <w:lang w:eastAsia="zh-CN"/>
        </w:rPr>
        <w:t>202X</w:t>
      </w:r>
      <w:r>
        <w:rPr>
          <w:rFonts w:hint="eastAsia"/>
          <w:sz w:val="28"/>
          <w:szCs w:val="28"/>
        </w:rPr>
        <w:t>年10月05日印</w:t>
      </w:r>
    </w:p>
    <w:p>
      <w:pPr>
        <w:rPr>
          <w:b/>
          <w:bCs/>
          <w:color w:val="FF0000"/>
          <w:w w:val="66"/>
          <w:sz w:val="72"/>
          <w:szCs w:val="72"/>
        </w:rPr>
      </w:pPr>
      <w:r>
        <w:rPr>
          <w:rFonts w:hint="eastAsia"/>
          <w:b/>
          <w:bCs/>
          <w:color w:val="FF0000"/>
          <w:w w:val="66"/>
          <w:sz w:val="72"/>
          <w:szCs w:val="72"/>
        </w:rPr>
        <w:br w:type="page"/>
      </w:r>
    </w:p>
    <w:p>
      <w:pPr>
        <w:jc w:val="center"/>
        <w:rPr>
          <w:w w:val="66"/>
        </w:rPr>
      </w:pPr>
      <w:bookmarkStart w:id="192" w:name="_Toc16637_WPSOffice_Level1"/>
      <w:bookmarkStart w:id="193" w:name="_Toc2814_WPSOffice_Level1"/>
      <w:bookmarkStart w:id="194" w:name="_Toc31265_WPSOffice_Level1"/>
      <w:r>
        <w:rPr>
          <w:rFonts w:hint="eastAsia"/>
          <w:b/>
          <w:bCs/>
          <w:color w:val="FF0000"/>
          <w:w w:val="66"/>
          <w:sz w:val="72"/>
          <w:szCs w:val="72"/>
        </w:rPr>
        <w:t>XX有限公司文件</w:t>
      </w:r>
      <w:bookmarkEnd w:id="192"/>
      <w:bookmarkEnd w:id="193"/>
      <w:bookmarkEnd w:id="194"/>
    </w:p>
    <w:p/>
    <w:p>
      <w:pPr>
        <w:jc w:val="center"/>
        <w:rPr>
          <w:sz w:val="28"/>
          <w:szCs w:val="28"/>
        </w:rPr>
      </w:pPr>
      <w:r>
        <w:rPr>
          <w:sz w:val="28"/>
        </w:rPr>
        <w:pict>
          <v:line id="_x0000_s3093" o:spid="_x0000_s3093" o:spt="20" style="position:absolute;left:0pt;margin-left:8.5pt;margin-top:25.95pt;height:0pt;width:441.4pt;z-index:251672576;mso-width-relative:page;mso-height-relative:page;" stroked="t" coordsize="21600,21600" o:gfxdata="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&#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T9yivVAAAACAEAAA8AAAAAAAAAAQAgAAAAIgAAAGRy&#10;cy9kb3ducmV2LnhtbFBLAQIUABQAAAAIAIdO4kCGtMb5zwEAAFoDAAAOAAAAAAAAAAEAIAAAACQB&#10;AABkcnMvZTJvRG9jLnhtbFBLBQYAAAAABgAGAFkBAABlBQAAAAA=&#10;">
            <v:path arrowok="t"/>
            <v:fill focussize="0,0"/>
            <v:stroke weight="2.25pt" color="#FF0000"/>
            <v:imagedata o:title=""/>
            <o:lock v:ext="edit"/>
          </v:line>
        </w:pict>
      </w:r>
      <w:r>
        <w:rPr>
          <w:rFonts w:hint="eastAsia"/>
          <w:sz w:val="28"/>
        </w:rPr>
        <w:t>XX</w:t>
      </w:r>
      <w:r>
        <w:rPr>
          <w:rFonts w:hint="eastAsia"/>
          <w:sz w:val="28"/>
          <w:szCs w:val="28"/>
        </w:rPr>
        <w:t>字【</w:t>
      </w:r>
      <w:r>
        <w:rPr>
          <w:rFonts w:hint="eastAsia"/>
          <w:sz w:val="28"/>
          <w:szCs w:val="28"/>
          <w:lang w:eastAsia="zh-CN"/>
        </w:rPr>
        <w:t>202X</w:t>
      </w:r>
      <w:r>
        <w:rPr>
          <w:rFonts w:hint="eastAsia"/>
          <w:sz w:val="28"/>
          <w:szCs w:val="28"/>
        </w:rPr>
        <w:t>】第18号</w:t>
      </w:r>
    </w:p>
    <w:p/>
    <w:p>
      <w:pPr>
        <w:spacing w:line="360" w:lineRule="auto"/>
        <w:ind w:firstLine="560" w:firstLineChars="200"/>
        <w:rPr>
          <w:sz w:val="28"/>
          <w:szCs w:val="28"/>
        </w:rPr>
      </w:pPr>
    </w:p>
    <w:p>
      <w:pPr>
        <w:pStyle w:val="2"/>
      </w:pPr>
      <w:bookmarkStart w:id="195" w:name="_Toc7815_WPSOffice_Level2"/>
      <w:r>
        <w:rPr>
          <w:rFonts w:hint="eastAsia"/>
        </w:rPr>
        <w:t>关于发布事故隐患分析会制度的通知</w:t>
      </w:r>
      <w:bookmarkEnd w:id="195"/>
    </w:p>
    <w:p>
      <w:pPr>
        <w:spacing w:line="480" w:lineRule="exact"/>
        <w:ind w:firstLine="560" w:firstLineChars="200"/>
        <w:rPr>
          <w:sz w:val="28"/>
          <w:szCs w:val="28"/>
        </w:rPr>
      </w:pPr>
    </w:p>
    <w:p>
      <w:pPr>
        <w:spacing w:line="360" w:lineRule="auto"/>
        <w:rPr>
          <w:sz w:val="28"/>
          <w:szCs w:val="28"/>
        </w:rPr>
      </w:pPr>
      <w:r>
        <w:rPr>
          <w:rFonts w:hint="eastAsia"/>
          <w:sz w:val="28"/>
          <w:szCs w:val="28"/>
        </w:rPr>
        <w:t>各岗位职工：</w:t>
      </w:r>
    </w:p>
    <w:p>
      <w:pPr>
        <w:spacing w:line="360" w:lineRule="auto"/>
        <w:ind w:firstLine="560" w:firstLineChars="200"/>
        <w:rPr>
          <w:sz w:val="28"/>
          <w:szCs w:val="28"/>
        </w:rPr>
      </w:pPr>
      <w:r>
        <w:rPr>
          <w:rFonts w:hint="eastAsia"/>
          <w:sz w:val="28"/>
          <w:szCs w:val="28"/>
        </w:rPr>
        <w:t>为贯彻落实山东省人民政府安全生产委员会《关于进一步加强风险分级管控与隐患排查治理“双重预防体系”建设工作的通知》鲁安发〔2017〕12号、省安委会办公室关于印发《</w:t>
      </w:r>
      <w:r>
        <w:rPr>
          <w:rFonts w:hint="eastAsia"/>
          <w:sz w:val="28"/>
          <w:szCs w:val="28"/>
          <w:lang w:eastAsia="zh-CN"/>
        </w:rPr>
        <w:t>202X</w:t>
      </w:r>
      <w:r>
        <w:rPr>
          <w:rFonts w:hint="eastAsia"/>
          <w:sz w:val="28"/>
          <w:szCs w:val="28"/>
        </w:rPr>
        <w:t>年全省安全生产风险分级管控和隐患排查治理双重预防体系建设推进工作方案》的通知（鲁安办发﹝</w:t>
      </w:r>
      <w:r>
        <w:rPr>
          <w:rFonts w:hint="eastAsia"/>
          <w:sz w:val="28"/>
          <w:szCs w:val="28"/>
          <w:lang w:eastAsia="zh-CN"/>
        </w:rPr>
        <w:t>202X</w:t>
      </w:r>
      <w:r>
        <w:rPr>
          <w:rFonts w:hint="eastAsia"/>
          <w:sz w:val="28"/>
          <w:szCs w:val="28"/>
        </w:rPr>
        <w:t>﹞29号）等相关文件要求，切实提高本公司安全管理水平，加强风险分级管控，尽快完成安全风险分级管控体系建设工作，本公司安全生产双重预防体系建设领导小组编制了《事故隐患分析会制度》，各部门级各岗位职工应认真贯彻落实制度内容，全面排查事故隐患并按照要求完成事故隐患整改。</w:t>
      </w:r>
    </w:p>
    <w:p>
      <w:pPr>
        <w:spacing w:line="360" w:lineRule="auto"/>
        <w:rPr>
          <w:sz w:val="28"/>
          <w:szCs w:val="28"/>
        </w:rPr>
      </w:pPr>
    </w:p>
    <w:p>
      <w:pPr>
        <w:spacing w:line="360" w:lineRule="auto"/>
        <w:ind w:firstLine="560" w:firstLineChars="200"/>
        <w:jc w:val="right"/>
        <w:rPr>
          <w:sz w:val="28"/>
          <w:szCs w:val="28"/>
        </w:rPr>
      </w:pPr>
    </w:p>
    <w:p>
      <w:pPr>
        <w:spacing w:line="360" w:lineRule="auto"/>
        <w:ind w:firstLine="562" w:firstLineChars="200"/>
        <w:jc w:val="center"/>
        <w:rPr>
          <w:b/>
          <w:bCs/>
          <w:sz w:val="28"/>
          <w:szCs w:val="28"/>
        </w:rPr>
      </w:pPr>
      <w:r>
        <w:rPr>
          <w:rFonts w:hint="eastAsia"/>
          <w:b/>
          <w:bCs/>
          <w:sz w:val="28"/>
          <w:szCs w:val="28"/>
        </w:rPr>
        <w:t xml:space="preserve">                            </w:t>
      </w:r>
      <w:bookmarkStart w:id="196" w:name="_Toc18410_WPSOffice_Level2"/>
      <w:r>
        <w:rPr>
          <w:rFonts w:hint="eastAsia"/>
          <w:b/>
          <w:bCs/>
          <w:sz w:val="28"/>
          <w:szCs w:val="28"/>
        </w:rPr>
        <w:t>总经理：</w:t>
      </w:r>
      <w:bookmarkEnd w:id="196"/>
    </w:p>
    <w:p>
      <w:pPr>
        <w:spacing w:line="360" w:lineRule="auto"/>
        <w:ind w:firstLine="560" w:firstLineChars="200"/>
        <w:jc w:val="right"/>
        <w:rPr>
          <w:sz w:val="28"/>
          <w:szCs w:val="28"/>
        </w:rPr>
      </w:pPr>
    </w:p>
    <w:p>
      <w:pPr>
        <w:spacing w:line="360" w:lineRule="auto"/>
        <w:ind w:firstLine="560" w:firstLineChars="200"/>
        <w:jc w:val="right"/>
        <w:rPr>
          <w:sz w:val="28"/>
          <w:szCs w:val="28"/>
        </w:rPr>
      </w:pPr>
    </w:p>
    <w:p>
      <w:pPr>
        <w:spacing w:line="360" w:lineRule="auto"/>
        <w:sectPr>
          <w:headerReference r:id="rId23" w:type="first"/>
          <w:headerReference r:id="rId21" w:type="default"/>
          <w:footerReference r:id="rId24" w:type="default"/>
          <w:headerReference r:id="rId22" w:type="even"/>
          <w:pgSz w:w="11906" w:h="16838"/>
          <w:pgMar w:top="1440" w:right="1133" w:bottom="1440" w:left="1560" w:header="851" w:footer="992" w:gutter="0"/>
          <w:cols w:space="720" w:num="1"/>
          <w:docGrid w:type="lines" w:linePitch="312" w:charSpace="0"/>
        </w:sectPr>
      </w:pPr>
      <w:r>
        <w:rPr>
          <w:sz w:val="28"/>
        </w:rPr>
        <w:pict>
          <v:line id="_x0000_s3092" o:spid="_x0000_s3092" o:spt="20" style="position:absolute;left:0pt;flip:y;margin-left:-6.1pt;margin-top:26.35pt;height:0.15pt;width:472.5pt;z-index:251673600;mso-width-relative:page;mso-height-relative:page;" stroked="t" coordsize="21600,21600" o:gfxdata="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06&#10;qvjXAAAACQEAAA8AAAAAAAAAAQAgAAAAIgAAAGRycy9kb3ducmV2LnhtbFBLAQIUABQAAAAIAIdO&#10;4kB6Jj1v6wEAAKADAAAOAAAAAAAAAAEAIAAAACYBAABkcnMvZTJvRG9jLnhtbFBLBQYAAAAABgAG&#10;AFkBAACDBQAAAAA=&#10;">
            <v:path arrowok="t"/>
            <v:fill focussize="0,0"/>
            <v:stroke color="#000000"/>
            <v:imagedata o:title=""/>
            <o:lock v:ext="edit"/>
          </v:line>
        </w:pict>
      </w:r>
      <w:r>
        <w:rPr>
          <w:sz w:val="28"/>
        </w:rPr>
        <w:pict>
          <v:line id="_x0000_s3091" o:spid="_x0000_s3091" o:spt="20" style="position:absolute;left:0pt;flip:y;margin-left:-4.55pt;margin-top:1pt;height:0.45pt;width:469.8pt;z-index:251674624;mso-width-relative:page;mso-height-relative:page;" stroked="t" coordsize="21600,21600" o:gfxdata="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jMQQV1AAAAAYBAAAPAAAA&#10;AAAAAAEAIAAAACIAAABkcnMvZG93bnJldi54bWxQSwECFAAUAAAACACHTuJA844zNuABAACUAwAA&#10;DgAAAAAAAAABACAAAAAjAQAAZHJzL2Uyb0RvYy54bWxQSwUGAAAAAAYABgBZAQAAdQUAAAAA&#10;">
            <v:path arrowok="t"/>
            <v:fill focussize="0,0"/>
            <v:stroke color="#000000"/>
            <v:imagedata o:title=""/>
            <o:lock v:ext="edit"/>
          </v:line>
        </w:pict>
      </w:r>
      <w:r>
        <w:rPr>
          <w:rFonts w:hint="eastAsia"/>
          <w:sz w:val="28"/>
        </w:rPr>
        <w:t xml:space="preserve">XX有限公司   </w:t>
      </w:r>
      <w:r>
        <w:rPr>
          <w:rFonts w:hint="eastAsia"/>
          <w:sz w:val="28"/>
          <w:szCs w:val="28"/>
        </w:rPr>
        <w:t xml:space="preserve">                   </w:t>
      </w:r>
      <w:r>
        <w:rPr>
          <w:rFonts w:hint="eastAsia"/>
          <w:sz w:val="28"/>
          <w:szCs w:val="28"/>
          <w:lang w:eastAsia="zh-CN"/>
        </w:rPr>
        <w:t>202X</w:t>
      </w:r>
      <w:r>
        <w:rPr>
          <w:rFonts w:hint="eastAsia"/>
          <w:sz w:val="28"/>
          <w:szCs w:val="28"/>
        </w:rPr>
        <w:t>年10月05日</w:t>
      </w:r>
    </w:p>
    <w:p>
      <w:pPr>
        <w:pStyle w:val="2"/>
        <w:rPr>
          <w:rFonts w:ascii="宋体" w:hAnsi="宋体" w:cs="宋体"/>
          <w:bCs w:val="0"/>
          <w:kern w:val="2"/>
          <w:szCs w:val="36"/>
        </w:rPr>
      </w:pPr>
      <w:bookmarkStart w:id="197" w:name="_Toc21603_WPSOffice_Level2"/>
      <w:r>
        <w:rPr>
          <w:rFonts w:hint="eastAsia" w:ascii="宋体" w:hAnsi="宋体" w:cs="宋体"/>
          <w:bCs w:val="0"/>
          <w:kern w:val="2"/>
          <w:szCs w:val="36"/>
        </w:rPr>
        <w:t>事故隐患分析会制度</w:t>
      </w:r>
      <w:bookmarkEnd w:id="197"/>
    </w:p>
    <w:p/>
    <w:p>
      <w:pPr>
        <w:pStyle w:val="2"/>
        <w:ind w:firstLine="560" w:firstLineChars="200"/>
        <w:jc w:val="both"/>
        <w:rPr>
          <w:rFonts w:ascii="宋体" w:hAnsi="宋体" w:cs="宋体"/>
          <w:b w:val="0"/>
          <w:kern w:val="2"/>
          <w:sz w:val="28"/>
          <w:szCs w:val="28"/>
        </w:rPr>
      </w:pPr>
      <w:r>
        <w:rPr>
          <w:rFonts w:hint="eastAsia" w:ascii="宋体" w:hAnsi="宋体" w:cs="宋体"/>
          <w:b w:val="0"/>
          <w:kern w:val="2"/>
          <w:sz w:val="28"/>
          <w:szCs w:val="28"/>
        </w:rPr>
        <w:t>为贯彻落实安全生产隐患治理的各项工作要求，形成本企业事故隐患排查治理的长效管理机制，确保企业的生产安全，特制订本制度。</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企业每月组织一次公司级隐患排查，主要负责人、分管负责人、安全管理人员参加检查。</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每月召开一次事故隐患排查分析会议，会议由主要负责人或分管负责人召集相关人员参加。会议对隐患排查治理工作进行分析、研究、部署，并做好会议记录。</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对排查中发现的事故隐患，要落实责任人，整改资金，限期整改，整改期限结束，安全管理人员要组织进行复查，确保隐患整改到位。</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对排查发现的隐患要及时上报企业主要负责人，同时上报隐患整改的计划、负责人和整改朝限。</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安全管理人员负责对排查发现的隐患，及时整理分类，登记建档。对隐患的整改情况进行跟踪，确保隐患按期整改到位。对于无特殊情况拖延或拒不整改的个人，企业要给予严肃处理。</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对排查出的重大事故隐患，按照安监部门的要求上报相关部门，并进行评估认定，制定整改方案，按期实施到位。</w:t>
      </w:r>
    </w:p>
    <w:p>
      <w:pPr>
        <w:rPr>
          <w:rFonts w:ascii="宋体" w:hAnsi="宋体" w:eastAsia="宋体" w:cs="宋体"/>
          <w:bCs/>
          <w:sz w:val="28"/>
          <w:szCs w:val="28"/>
        </w:rPr>
      </w:pPr>
    </w:p>
    <w:p>
      <w:pPr>
        <w:rPr>
          <w:rFonts w:ascii="宋体" w:hAnsi="宋体" w:eastAsia="宋体" w:cs="宋体"/>
          <w:bCs/>
          <w:sz w:val="28"/>
          <w:szCs w:val="28"/>
        </w:rPr>
      </w:pPr>
      <w:r>
        <w:rPr>
          <w:rFonts w:hint="eastAsia" w:ascii="宋体" w:hAnsi="宋体" w:eastAsia="宋体" w:cs="宋体"/>
          <w:bCs/>
          <w:sz w:val="28"/>
          <w:szCs w:val="28"/>
        </w:rPr>
        <w:br w:type="page"/>
      </w:r>
    </w:p>
    <w:p>
      <w:pPr>
        <w:jc w:val="center"/>
        <w:rPr>
          <w:rFonts w:ascii="宋体" w:hAnsi="宋体" w:eastAsia="宋体" w:cs="宋体"/>
          <w:b/>
          <w:sz w:val="28"/>
          <w:szCs w:val="28"/>
        </w:rPr>
      </w:pPr>
      <w:bookmarkStart w:id="198" w:name="_Toc24832_WPSOffice_Level2"/>
      <w:r>
        <w:rPr>
          <w:rFonts w:hint="eastAsia" w:ascii="宋体" w:hAnsi="宋体" w:eastAsia="宋体" w:cs="宋体"/>
          <w:b/>
          <w:sz w:val="28"/>
          <w:szCs w:val="28"/>
        </w:rPr>
        <w:t>事故隐患分析会议记录</w:t>
      </w:r>
      <w:bookmarkEnd w:id="198"/>
    </w:p>
    <w:tbl>
      <w:tblPr>
        <w:tblStyle w:val="1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2357"/>
        <w:gridCol w:w="2357"/>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日期：</w:t>
            </w:r>
          </w:p>
        </w:tc>
        <w:tc>
          <w:tcPr>
            <w:tcW w:w="7072" w:type="dxa"/>
            <w:gridSpan w:val="3"/>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地点</w:t>
            </w:r>
          </w:p>
        </w:tc>
        <w:tc>
          <w:tcPr>
            <w:tcW w:w="2357" w:type="dxa"/>
            <w:vAlign w:val="center"/>
          </w:tcPr>
          <w:p>
            <w:pPr>
              <w:jc w:val="center"/>
              <w:rPr>
                <w:rFonts w:ascii="宋体" w:hAnsi="宋体" w:eastAsia="宋体" w:cs="宋体"/>
                <w:b/>
                <w:sz w:val="28"/>
                <w:szCs w:val="28"/>
              </w:rPr>
            </w:pPr>
          </w:p>
        </w:tc>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主持人</w:t>
            </w:r>
          </w:p>
        </w:tc>
        <w:tc>
          <w:tcPr>
            <w:tcW w:w="2358" w:type="dxa"/>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参加人员签字</w:t>
            </w:r>
          </w:p>
        </w:tc>
        <w:tc>
          <w:tcPr>
            <w:tcW w:w="7072" w:type="dxa"/>
            <w:gridSpan w:val="3"/>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上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整  改</w:t>
            </w:r>
          </w:p>
          <w:p>
            <w:pPr>
              <w:jc w:val="center"/>
              <w:rPr>
                <w:rFonts w:ascii="宋体" w:hAnsi="宋体" w:eastAsia="宋体" w:cs="宋体"/>
                <w:b/>
                <w:sz w:val="28"/>
                <w:szCs w:val="28"/>
              </w:rPr>
            </w:pPr>
            <w:r>
              <w:rPr>
                <w:rFonts w:hint="eastAsia" w:ascii="宋体" w:hAnsi="宋体" w:eastAsia="宋体" w:cs="宋体"/>
                <w:b/>
                <w:sz w:val="28"/>
                <w:szCs w:val="28"/>
              </w:rPr>
              <w:t>验  证</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未整改隐患明细：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r>
              <w:rPr>
                <w:rFonts w:hint="eastAsia" w:ascii="宋体" w:hAnsi="宋体" w:eastAsia="宋体" w:cs="宋体"/>
                <w:b/>
                <w:sz w:val="28"/>
                <w:szCs w:val="28"/>
              </w:rPr>
              <w:t>本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排  查</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事故隐患明细：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bl>
    <w:p>
      <w:pPr>
        <w:rPr>
          <w:rFonts w:ascii="宋体" w:hAnsi="宋体" w:eastAsia="宋体" w:cs="宋体"/>
          <w:bCs/>
          <w:sz w:val="28"/>
          <w:szCs w:val="28"/>
        </w:rPr>
      </w:pPr>
      <w:r>
        <w:rPr>
          <w:rFonts w:hint="eastAsia" w:ascii="宋体" w:hAnsi="宋体" w:eastAsia="宋体" w:cs="宋体"/>
          <w:bCs/>
          <w:sz w:val="28"/>
          <w:szCs w:val="28"/>
        </w:rPr>
        <w:br w:type="page"/>
      </w:r>
    </w:p>
    <w:p>
      <w:pPr>
        <w:jc w:val="center"/>
        <w:rPr>
          <w:rFonts w:ascii="宋体" w:hAnsi="宋体" w:eastAsia="宋体" w:cs="宋体"/>
          <w:b/>
          <w:sz w:val="28"/>
          <w:szCs w:val="28"/>
        </w:rPr>
      </w:pPr>
      <w:bookmarkStart w:id="199" w:name="_Toc317_WPSOffice_Level2"/>
      <w:r>
        <w:rPr>
          <w:rFonts w:hint="eastAsia" w:ascii="宋体" w:hAnsi="宋体" w:eastAsia="宋体" w:cs="宋体"/>
          <w:b/>
          <w:sz w:val="28"/>
          <w:szCs w:val="28"/>
        </w:rPr>
        <w:t>事故隐患分析会议记录</w:t>
      </w:r>
      <w:bookmarkEnd w:id="199"/>
    </w:p>
    <w:tbl>
      <w:tblPr>
        <w:tblStyle w:val="1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2357"/>
        <w:gridCol w:w="2357"/>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日期：</w:t>
            </w:r>
          </w:p>
        </w:tc>
        <w:tc>
          <w:tcPr>
            <w:tcW w:w="7072" w:type="dxa"/>
            <w:gridSpan w:val="3"/>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地点</w:t>
            </w:r>
          </w:p>
        </w:tc>
        <w:tc>
          <w:tcPr>
            <w:tcW w:w="2357" w:type="dxa"/>
            <w:vAlign w:val="center"/>
          </w:tcPr>
          <w:p>
            <w:pPr>
              <w:jc w:val="center"/>
              <w:rPr>
                <w:rFonts w:ascii="宋体" w:hAnsi="宋体" w:eastAsia="宋体" w:cs="宋体"/>
                <w:b/>
                <w:sz w:val="28"/>
                <w:szCs w:val="28"/>
              </w:rPr>
            </w:pPr>
          </w:p>
        </w:tc>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主持人</w:t>
            </w:r>
          </w:p>
        </w:tc>
        <w:tc>
          <w:tcPr>
            <w:tcW w:w="2358" w:type="dxa"/>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参加人员签字</w:t>
            </w:r>
          </w:p>
        </w:tc>
        <w:tc>
          <w:tcPr>
            <w:tcW w:w="7072" w:type="dxa"/>
            <w:gridSpan w:val="3"/>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上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整  改</w:t>
            </w:r>
          </w:p>
          <w:p>
            <w:pPr>
              <w:jc w:val="center"/>
              <w:rPr>
                <w:rFonts w:ascii="宋体" w:hAnsi="宋体" w:eastAsia="宋体" w:cs="宋体"/>
                <w:b/>
                <w:sz w:val="28"/>
                <w:szCs w:val="28"/>
              </w:rPr>
            </w:pPr>
            <w:r>
              <w:rPr>
                <w:rFonts w:hint="eastAsia" w:ascii="宋体" w:hAnsi="宋体" w:eastAsia="宋体" w:cs="宋体"/>
                <w:b/>
                <w:sz w:val="28"/>
                <w:szCs w:val="28"/>
              </w:rPr>
              <w:t>验  证</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未整改隐患明细：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r>
              <w:rPr>
                <w:rFonts w:hint="eastAsia" w:ascii="宋体" w:hAnsi="宋体" w:eastAsia="宋体" w:cs="宋体"/>
                <w:b/>
                <w:sz w:val="28"/>
                <w:szCs w:val="28"/>
              </w:rPr>
              <w:t>本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排  查</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事故隐患明细：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bl>
    <w:p>
      <w:pPr>
        <w:rPr>
          <w:rFonts w:ascii="宋体" w:hAnsi="宋体" w:eastAsia="宋体" w:cs="宋体"/>
          <w:bCs/>
          <w:sz w:val="28"/>
          <w:szCs w:val="28"/>
        </w:rPr>
      </w:pPr>
      <w:r>
        <w:rPr>
          <w:rFonts w:hint="eastAsia" w:ascii="宋体" w:hAnsi="宋体" w:eastAsia="宋体" w:cs="宋体"/>
          <w:bCs/>
          <w:sz w:val="28"/>
          <w:szCs w:val="28"/>
        </w:rPr>
        <w:br w:type="page"/>
      </w:r>
    </w:p>
    <w:p>
      <w:pPr>
        <w:jc w:val="center"/>
        <w:rPr>
          <w:rFonts w:ascii="宋体" w:hAnsi="宋体" w:eastAsia="宋体" w:cs="宋体"/>
          <w:b/>
          <w:sz w:val="28"/>
          <w:szCs w:val="28"/>
        </w:rPr>
      </w:pPr>
      <w:bookmarkStart w:id="200" w:name="_Toc31161_WPSOffice_Level2"/>
      <w:r>
        <w:rPr>
          <w:rFonts w:hint="eastAsia" w:ascii="宋体" w:hAnsi="宋体" w:eastAsia="宋体" w:cs="宋体"/>
          <w:b/>
          <w:sz w:val="28"/>
          <w:szCs w:val="28"/>
        </w:rPr>
        <w:t>事故隐患分析会议记录</w:t>
      </w:r>
      <w:bookmarkEnd w:id="200"/>
    </w:p>
    <w:tbl>
      <w:tblPr>
        <w:tblStyle w:val="1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2357"/>
        <w:gridCol w:w="2357"/>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日期：</w:t>
            </w:r>
          </w:p>
        </w:tc>
        <w:tc>
          <w:tcPr>
            <w:tcW w:w="7072" w:type="dxa"/>
            <w:gridSpan w:val="3"/>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地点</w:t>
            </w:r>
          </w:p>
        </w:tc>
        <w:tc>
          <w:tcPr>
            <w:tcW w:w="2357" w:type="dxa"/>
            <w:vAlign w:val="center"/>
          </w:tcPr>
          <w:p>
            <w:pPr>
              <w:jc w:val="center"/>
              <w:rPr>
                <w:rFonts w:ascii="宋体" w:hAnsi="宋体" w:eastAsia="宋体" w:cs="宋体"/>
                <w:b/>
                <w:sz w:val="28"/>
                <w:szCs w:val="28"/>
              </w:rPr>
            </w:pPr>
          </w:p>
        </w:tc>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主持人</w:t>
            </w:r>
          </w:p>
        </w:tc>
        <w:tc>
          <w:tcPr>
            <w:tcW w:w="2358" w:type="dxa"/>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参加人员签字</w:t>
            </w:r>
          </w:p>
        </w:tc>
        <w:tc>
          <w:tcPr>
            <w:tcW w:w="7072" w:type="dxa"/>
            <w:gridSpan w:val="3"/>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上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整  改</w:t>
            </w:r>
          </w:p>
          <w:p>
            <w:pPr>
              <w:jc w:val="center"/>
              <w:rPr>
                <w:rFonts w:ascii="宋体" w:hAnsi="宋体" w:eastAsia="宋体" w:cs="宋体"/>
                <w:b/>
                <w:sz w:val="28"/>
                <w:szCs w:val="28"/>
              </w:rPr>
            </w:pPr>
            <w:r>
              <w:rPr>
                <w:rFonts w:hint="eastAsia" w:ascii="宋体" w:hAnsi="宋体" w:eastAsia="宋体" w:cs="宋体"/>
                <w:b/>
                <w:sz w:val="28"/>
                <w:szCs w:val="28"/>
              </w:rPr>
              <w:t>验  证</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未整改隐患明细：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r>
              <w:rPr>
                <w:rFonts w:hint="eastAsia" w:ascii="宋体" w:hAnsi="宋体" w:eastAsia="宋体" w:cs="宋体"/>
                <w:b/>
                <w:sz w:val="28"/>
                <w:szCs w:val="28"/>
              </w:rPr>
              <w:t>本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排  查</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事故隐患明细：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bl>
    <w:p>
      <w:pPr>
        <w:rPr>
          <w:rFonts w:ascii="宋体" w:hAnsi="宋体" w:eastAsia="宋体" w:cs="宋体"/>
          <w:bCs/>
          <w:sz w:val="28"/>
          <w:szCs w:val="28"/>
        </w:rPr>
      </w:pPr>
      <w:r>
        <w:rPr>
          <w:rFonts w:hint="eastAsia" w:ascii="宋体" w:hAnsi="宋体" w:eastAsia="宋体" w:cs="宋体"/>
          <w:bCs/>
          <w:sz w:val="28"/>
          <w:szCs w:val="28"/>
        </w:rPr>
        <w:br w:type="page"/>
      </w:r>
    </w:p>
    <w:p>
      <w:pPr>
        <w:jc w:val="center"/>
        <w:rPr>
          <w:rFonts w:ascii="宋体" w:hAnsi="宋体" w:eastAsia="宋体" w:cs="宋体"/>
          <w:b/>
          <w:sz w:val="28"/>
          <w:szCs w:val="28"/>
        </w:rPr>
      </w:pPr>
      <w:bookmarkStart w:id="201" w:name="_Toc16988_WPSOffice_Level2"/>
      <w:r>
        <w:rPr>
          <w:rFonts w:hint="eastAsia" w:ascii="宋体" w:hAnsi="宋体" w:eastAsia="宋体" w:cs="宋体"/>
          <w:b/>
          <w:sz w:val="28"/>
          <w:szCs w:val="28"/>
        </w:rPr>
        <w:t>事故隐患分析会议记录</w:t>
      </w:r>
      <w:bookmarkEnd w:id="201"/>
    </w:p>
    <w:tbl>
      <w:tblPr>
        <w:tblStyle w:val="1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2357"/>
        <w:gridCol w:w="2357"/>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日期：</w:t>
            </w:r>
          </w:p>
        </w:tc>
        <w:tc>
          <w:tcPr>
            <w:tcW w:w="7072" w:type="dxa"/>
            <w:gridSpan w:val="3"/>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地点</w:t>
            </w:r>
          </w:p>
        </w:tc>
        <w:tc>
          <w:tcPr>
            <w:tcW w:w="2357" w:type="dxa"/>
            <w:vAlign w:val="center"/>
          </w:tcPr>
          <w:p>
            <w:pPr>
              <w:jc w:val="center"/>
              <w:rPr>
                <w:rFonts w:ascii="宋体" w:hAnsi="宋体" w:eastAsia="宋体" w:cs="宋体"/>
                <w:b/>
                <w:sz w:val="28"/>
                <w:szCs w:val="28"/>
              </w:rPr>
            </w:pPr>
          </w:p>
        </w:tc>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主持人</w:t>
            </w:r>
          </w:p>
        </w:tc>
        <w:tc>
          <w:tcPr>
            <w:tcW w:w="2358" w:type="dxa"/>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参加人员签字</w:t>
            </w:r>
          </w:p>
        </w:tc>
        <w:tc>
          <w:tcPr>
            <w:tcW w:w="7072" w:type="dxa"/>
            <w:gridSpan w:val="3"/>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上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整  改</w:t>
            </w:r>
          </w:p>
          <w:p>
            <w:pPr>
              <w:jc w:val="center"/>
              <w:rPr>
                <w:rFonts w:ascii="宋体" w:hAnsi="宋体" w:eastAsia="宋体" w:cs="宋体"/>
                <w:b/>
                <w:sz w:val="28"/>
                <w:szCs w:val="28"/>
              </w:rPr>
            </w:pPr>
            <w:r>
              <w:rPr>
                <w:rFonts w:hint="eastAsia" w:ascii="宋体" w:hAnsi="宋体" w:eastAsia="宋体" w:cs="宋体"/>
                <w:b/>
                <w:sz w:val="28"/>
                <w:szCs w:val="28"/>
              </w:rPr>
              <w:t>验  证</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未整改隐患明细：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r>
              <w:rPr>
                <w:rFonts w:hint="eastAsia" w:ascii="宋体" w:hAnsi="宋体" w:eastAsia="宋体" w:cs="宋体"/>
                <w:b/>
                <w:sz w:val="28"/>
                <w:szCs w:val="28"/>
              </w:rPr>
              <w:t>本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排  查</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事故隐患明细：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bl>
    <w:p>
      <w:pPr>
        <w:rPr>
          <w:rFonts w:ascii="宋体" w:hAnsi="宋体" w:eastAsia="宋体" w:cs="宋体"/>
          <w:bCs/>
          <w:sz w:val="28"/>
          <w:szCs w:val="28"/>
        </w:rPr>
      </w:pPr>
    </w:p>
    <w:p>
      <w:pPr>
        <w:pStyle w:val="2"/>
        <w:jc w:val="both"/>
      </w:pPr>
      <w:r>
        <w:rPr>
          <w:rFonts w:hint="eastAsia"/>
        </w:rPr>
        <w:br w:type="page"/>
      </w:r>
    </w:p>
    <w:p/>
    <w:p>
      <w:pPr>
        <w:jc w:val="center"/>
        <w:rPr>
          <w:w w:val="66"/>
        </w:rPr>
      </w:pPr>
      <w:bookmarkStart w:id="202" w:name="_Toc2132_WPSOffice_Level1"/>
      <w:bookmarkStart w:id="203" w:name="_Toc7178_WPSOffice_Level1"/>
      <w:r>
        <w:rPr>
          <w:rFonts w:hint="eastAsia"/>
          <w:b/>
          <w:bCs/>
          <w:color w:val="FF0000"/>
          <w:w w:val="66"/>
          <w:sz w:val="72"/>
          <w:szCs w:val="72"/>
        </w:rPr>
        <w:t>XX有限公司文件</w:t>
      </w:r>
      <w:bookmarkEnd w:id="202"/>
      <w:bookmarkEnd w:id="203"/>
    </w:p>
    <w:p/>
    <w:p>
      <w:pPr>
        <w:jc w:val="center"/>
        <w:rPr>
          <w:sz w:val="28"/>
          <w:szCs w:val="28"/>
        </w:rPr>
      </w:pPr>
      <w:r>
        <w:rPr>
          <w:sz w:val="28"/>
        </w:rPr>
        <w:pict>
          <v:line id="_x0000_s3090" o:spid="_x0000_s3090" o:spt="20" style="position:absolute;left:0pt;margin-left:4.15pt;margin-top:25.95pt;height:0pt;width:441.4pt;z-index:251677696;mso-width-relative:page;mso-height-relative:page;" stroked="t" coordsize="21600,21600" o:gfxdata="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&#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vBN+vUAAAABwEAAA8AAAAAAAAAAQAgAAAAIgAAAGRy&#10;cy9kb3ducmV2LnhtbFBLAQIUABQAAAAIAIdO4kAJWhbI0AEAAFoDAAAOAAAAAAAAAAEAIAAAACMB&#10;AABkcnMvZTJvRG9jLnhtbFBLBQYAAAAABgAGAFkBAABlBQAAAAA=&#10;">
            <v:path arrowok="t"/>
            <v:fill focussize="0,0"/>
            <v:stroke weight="2.25pt" color="#FF0000"/>
            <v:imagedata o:title=""/>
            <o:lock v:ext="edit"/>
          </v:line>
        </w:pict>
      </w:r>
      <w:r>
        <w:rPr>
          <w:rFonts w:hint="eastAsia"/>
          <w:sz w:val="28"/>
        </w:rPr>
        <w:t>XX</w:t>
      </w:r>
      <w:r>
        <w:rPr>
          <w:rFonts w:hint="eastAsia"/>
          <w:sz w:val="28"/>
          <w:szCs w:val="28"/>
        </w:rPr>
        <w:t>字【</w:t>
      </w:r>
      <w:r>
        <w:rPr>
          <w:rFonts w:hint="eastAsia"/>
          <w:sz w:val="28"/>
          <w:szCs w:val="28"/>
          <w:lang w:eastAsia="zh-CN"/>
        </w:rPr>
        <w:t>202X</w:t>
      </w:r>
      <w:r>
        <w:rPr>
          <w:rFonts w:hint="eastAsia"/>
          <w:sz w:val="28"/>
          <w:szCs w:val="28"/>
        </w:rPr>
        <w:t>】第19号</w:t>
      </w:r>
    </w:p>
    <w:p/>
    <w:p>
      <w:pPr>
        <w:spacing w:line="360" w:lineRule="auto"/>
        <w:ind w:firstLine="560" w:firstLineChars="200"/>
        <w:rPr>
          <w:sz w:val="28"/>
          <w:szCs w:val="28"/>
        </w:rPr>
      </w:pPr>
    </w:p>
    <w:p>
      <w:pPr>
        <w:pStyle w:val="2"/>
      </w:pPr>
      <w:bookmarkStart w:id="204" w:name="_Toc22819_WPSOffice_Level2"/>
      <w:r>
        <w:rPr>
          <w:rFonts w:hint="eastAsia"/>
        </w:rPr>
        <w:t>关于发布隐患排查治理制度的通知</w:t>
      </w:r>
      <w:bookmarkEnd w:id="204"/>
    </w:p>
    <w:p>
      <w:pPr>
        <w:spacing w:line="480" w:lineRule="exact"/>
        <w:ind w:firstLine="560" w:firstLineChars="200"/>
        <w:rPr>
          <w:sz w:val="28"/>
          <w:szCs w:val="28"/>
        </w:rPr>
      </w:pPr>
    </w:p>
    <w:p>
      <w:pPr>
        <w:spacing w:line="360" w:lineRule="auto"/>
        <w:rPr>
          <w:sz w:val="28"/>
          <w:szCs w:val="28"/>
        </w:rPr>
      </w:pPr>
      <w:r>
        <w:rPr>
          <w:rFonts w:hint="eastAsia"/>
          <w:sz w:val="28"/>
          <w:szCs w:val="28"/>
        </w:rPr>
        <w:t>各岗位职工：</w:t>
      </w:r>
    </w:p>
    <w:p>
      <w:pPr>
        <w:spacing w:line="360" w:lineRule="auto"/>
        <w:ind w:firstLine="560" w:firstLineChars="200"/>
        <w:rPr>
          <w:sz w:val="28"/>
          <w:szCs w:val="28"/>
        </w:rPr>
      </w:pPr>
      <w:r>
        <w:rPr>
          <w:rFonts w:hint="eastAsia"/>
          <w:sz w:val="28"/>
          <w:szCs w:val="28"/>
        </w:rPr>
        <w:t>为贯彻落实山东省人民政府安全生产委员会《关于进一步加强风险分级管控与隐患排查治理“双重预防体系”建设工作的通知》鲁安发〔2017〕12号、省安委会办公室关于印发《</w:t>
      </w:r>
      <w:r>
        <w:rPr>
          <w:rFonts w:hint="eastAsia"/>
          <w:sz w:val="28"/>
          <w:szCs w:val="28"/>
          <w:lang w:eastAsia="zh-CN"/>
        </w:rPr>
        <w:t>202X</w:t>
      </w:r>
      <w:r>
        <w:rPr>
          <w:rFonts w:hint="eastAsia"/>
          <w:sz w:val="28"/>
          <w:szCs w:val="28"/>
        </w:rPr>
        <w:t>年全省安全生产风险分级管控和隐患排查治理双重预防体系建设推进工作方案》的通知（鲁安办发﹝</w:t>
      </w:r>
      <w:r>
        <w:rPr>
          <w:rFonts w:hint="eastAsia"/>
          <w:sz w:val="28"/>
          <w:szCs w:val="28"/>
          <w:lang w:eastAsia="zh-CN"/>
        </w:rPr>
        <w:t>202X</w:t>
      </w:r>
      <w:r>
        <w:rPr>
          <w:rFonts w:hint="eastAsia"/>
          <w:sz w:val="28"/>
          <w:szCs w:val="28"/>
        </w:rPr>
        <w:t>﹞29号）等相关文件要求，切实提高本公司安全管理水平，加强风险分级管控，尽快完成安全风险分级管控体系建设工作，本公司安全生产双重预防体系建设领导小组编制了《隐患排查治理制度》，各部门级各岗位职工应认真贯彻落实制度内容，全面排查事故隐患并按照要求完成事故隐患整改。</w:t>
      </w:r>
    </w:p>
    <w:p>
      <w:pPr>
        <w:spacing w:line="360" w:lineRule="auto"/>
        <w:rPr>
          <w:sz w:val="28"/>
          <w:szCs w:val="28"/>
        </w:rPr>
      </w:pPr>
    </w:p>
    <w:p>
      <w:pPr>
        <w:spacing w:line="360" w:lineRule="auto"/>
        <w:ind w:firstLine="560" w:firstLineChars="200"/>
        <w:jc w:val="right"/>
        <w:rPr>
          <w:sz w:val="28"/>
          <w:szCs w:val="28"/>
        </w:rPr>
      </w:pPr>
    </w:p>
    <w:p>
      <w:pPr>
        <w:spacing w:line="360" w:lineRule="auto"/>
        <w:ind w:firstLine="560" w:firstLineChars="200"/>
        <w:jc w:val="right"/>
        <w:rPr>
          <w:sz w:val="28"/>
          <w:szCs w:val="28"/>
        </w:rPr>
      </w:pPr>
    </w:p>
    <w:p>
      <w:pPr>
        <w:spacing w:line="360" w:lineRule="auto"/>
        <w:ind w:firstLine="560" w:firstLineChars="200"/>
        <w:jc w:val="right"/>
        <w:rPr>
          <w:sz w:val="28"/>
          <w:szCs w:val="28"/>
        </w:rPr>
      </w:pPr>
    </w:p>
    <w:p>
      <w:pPr>
        <w:spacing w:line="360" w:lineRule="auto"/>
        <w:ind w:firstLine="560" w:firstLineChars="200"/>
        <w:jc w:val="right"/>
        <w:rPr>
          <w:sz w:val="28"/>
          <w:szCs w:val="28"/>
        </w:rPr>
      </w:pPr>
    </w:p>
    <w:p>
      <w:pPr>
        <w:spacing w:line="360" w:lineRule="auto"/>
        <w:sectPr>
          <w:headerReference r:id="rId27" w:type="first"/>
          <w:headerReference r:id="rId25" w:type="default"/>
          <w:footerReference r:id="rId28" w:type="default"/>
          <w:headerReference r:id="rId26" w:type="even"/>
          <w:pgSz w:w="11906" w:h="16838"/>
          <w:pgMar w:top="1440" w:right="1133" w:bottom="1440" w:left="1560" w:header="851" w:footer="992" w:gutter="0"/>
          <w:cols w:space="720" w:num="1"/>
          <w:docGrid w:type="lines" w:linePitch="312" w:charSpace="0"/>
        </w:sectPr>
      </w:pPr>
      <w:r>
        <w:rPr>
          <w:sz w:val="28"/>
        </w:rPr>
        <w:pict>
          <v:line id="_x0000_s3089" o:spid="_x0000_s3089" o:spt="20" style="position:absolute;left:0pt;flip:y;margin-left:-6.1pt;margin-top:26.35pt;height:0.15pt;width:472.5pt;z-index:251678720;mso-width-relative:page;mso-height-relative:page;" stroked="t" coordsize="21600,21600" o:gfxdata="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N&#10;Oqr41wAAAAkBAAAPAAAAAAAAAAEAIAAAACIAAABkcnMvZG93bnJldi54bWxQSwECFAAUAAAACACH&#10;TuJAXZeX2uwBAACgAwAADgAAAAAAAAABACAAAAAmAQAAZHJzL2Uyb0RvYy54bWxQSwUGAAAAAAYA&#10;BgBZAQAAhAUAAAAA&#10;">
            <v:path arrowok="t"/>
            <v:fill focussize="0,0"/>
            <v:stroke color="#000000"/>
            <v:imagedata o:title=""/>
            <o:lock v:ext="edit"/>
          </v:line>
        </w:pict>
      </w:r>
      <w:r>
        <w:rPr>
          <w:sz w:val="28"/>
        </w:rPr>
        <w:pict>
          <v:line id="_x0000_s3088" o:spid="_x0000_s3088" o:spt="20" style="position:absolute;left:0pt;flip:y;margin-left:-4.55pt;margin-top:1pt;height:0.45pt;width:469.8pt;z-index:251679744;mso-width-relative:page;mso-height-relative:page;" stroked="t" coordsize="21600,21600" o:gfxdata="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zEEFdQAAAAGAQAADwAA&#10;AAAAAAABACAAAAAiAAAAZHJzL2Rvd25yZXYueG1sUEsBAhQAFAAAAAgAh07iQLGSGW3hAQAAlAMA&#10;AA4AAAAAAAAAAQAgAAAAIwEAAGRycy9lMm9Eb2MueG1sUEsFBgAAAAAGAAYAWQEAAHYFAAAAAA==&#10;">
            <v:path arrowok="t"/>
            <v:fill focussize="0,0"/>
            <v:stroke color="#000000"/>
            <v:imagedata o:title=""/>
            <o:lock v:ext="edit"/>
          </v:line>
        </w:pict>
      </w:r>
      <w:r>
        <w:rPr>
          <w:rFonts w:hint="eastAsia"/>
          <w:sz w:val="28"/>
        </w:rPr>
        <w:t xml:space="preserve">XX有限公司   </w:t>
      </w:r>
      <w:r>
        <w:rPr>
          <w:rFonts w:hint="eastAsia"/>
          <w:sz w:val="28"/>
          <w:szCs w:val="28"/>
        </w:rPr>
        <w:t xml:space="preserve">                     </w:t>
      </w:r>
      <w:r>
        <w:rPr>
          <w:rFonts w:hint="eastAsia"/>
          <w:sz w:val="28"/>
          <w:szCs w:val="28"/>
          <w:lang w:eastAsia="zh-CN"/>
        </w:rPr>
        <w:t>202X</w:t>
      </w:r>
      <w:r>
        <w:rPr>
          <w:rFonts w:hint="eastAsia"/>
          <w:sz w:val="28"/>
          <w:szCs w:val="28"/>
        </w:rPr>
        <w:t>年10月05日</w:t>
      </w:r>
    </w:p>
    <w:p>
      <w:pPr>
        <w:pStyle w:val="2"/>
      </w:pPr>
      <w:bookmarkStart w:id="205" w:name="_Toc28140_WPSOffice_Level2"/>
      <w:r>
        <w:rPr>
          <w:rFonts w:hint="eastAsia"/>
        </w:rPr>
        <w:t>隐患排查治理制度</w:t>
      </w:r>
      <w:bookmarkEnd w:id="190"/>
      <w:bookmarkEnd w:id="205"/>
    </w:p>
    <w:p>
      <w:pPr>
        <w:widowControl/>
        <w:pBdr>
          <w:top w:val="none" w:color="auto" w:sz="0" w:space="1"/>
          <w:left w:val="none" w:color="auto" w:sz="0" w:space="4"/>
          <w:bottom w:val="none" w:color="auto" w:sz="0" w:space="1"/>
          <w:right w:val="none" w:color="auto" w:sz="0" w:space="4"/>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宋体" w:hAnsi="宋体" w:eastAsia="宋体" w:cs="宋体"/>
          <w:b/>
          <w:kern w:val="0"/>
          <w:sz w:val="28"/>
          <w:szCs w:val="28"/>
        </w:rPr>
      </w:pPr>
      <w:bookmarkStart w:id="206" w:name="_Toc24052_WPSOffice_Level2"/>
      <w:bookmarkStart w:id="207" w:name="_Toc14745_WPSOffice_Level2"/>
      <w:bookmarkStart w:id="208" w:name="_Toc18763_WPSOffice_Level1"/>
      <w:bookmarkStart w:id="209" w:name="_Toc16935_WPSOffice_Level2"/>
      <w:bookmarkStart w:id="210" w:name="_Toc25720_WPSOffice_Level2"/>
      <w:bookmarkStart w:id="211" w:name="_Toc24637_WPSOffice_Level2"/>
      <w:bookmarkStart w:id="212" w:name="_Toc29150_WPSOffice_Level1"/>
      <w:r>
        <w:rPr>
          <w:rFonts w:hint="eastAsia" w:ascii="宋体" w:hAnsi="宋体" w:eastAsia="宋体" w:cs="宋体"/>
          <w:b/>
          <w:sz w:val="28"/>
          <w:szCs w:val="28"/>
        </w:rPr>
        <w:t>一、目的</w:t>
      </w:r>
      <w:bookmarkEnd w:id="206"/>
      <w:bookmarkEnd w:id="207"/>
      <w:bookmarkEnd w:id="208"/>
      <w:bookmarkEnd w:id="209"/>
      <w:bookmarkEnd w:id="210"/>
      <w:bookmarkEnd w:id="211"/>
      <w:bookmarkEnd w:id="212"/>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为有效遏制生产安全事故，坚持“标本兼治，重在治本”的指导思想，促进事故隐患排查治理工作的深入开展，保障员工人身和财产安全，特制定本规定。</w:t>
      </w:r>
    </w:p>
    <w:p>
      <w:pPr>
        <w:spacing w:line="360" w:lineRule="auto"/>
        <w:rPr>
          <w:rFonts w:ascii="宋体" w:hAnsi="宋体" w:eastAsia="宋体" w:cs="宋体"/>
          <w:b/>
          <w:sz w:val="28"/>
          <w:szCs w:val="28"/>
        </w:rPr>
      </w:pPr>
      <w:bookmarkStart w:id="213" w:name="_Toc18287_WPSOffice_Level2"/>
      <w:bookmarkStart w:id="214" w:name="_Toc5929_WPSOffice_Level1"/>
      <w:bookmarkStart w:id="215" w:name="_Toc12712_WPSOffice_Level2"/>
      <w:bookmarkStart w:id="216" w:name="_Toc18348_WPSOffice_Level1"/>
      <w:bookmarkStart w:id="217" w:name="_Toc5569_WPSOffice_Level2"/>
      <w:bookmarkStart w:id="218" w:name="_Toc10315_WPSOffice_Level2"/>
      <w:bookmarkStart w:id="219" w:name="_Toc25787_WPSOffice_Level2"/>
      <w:r>
        <w:rPr>
          <w:rFonts w:hint="eastAsia" w:ascii="宋体" w:hAnsi="宋体" w:eastAsia="宋体" w:cs="宋体"/>
          <w:b/>
          <w:sz w:val="28"/>
          <w:szCs w:val="28"/>
        </w:rPr>
        <w:t>二、适用范围</w:t>
      </w:r>
      <w:bookmarkEnd w:id="213"/>
      <w:bookmarkEnd w:id="214"/>
      <w:bookmarkEnd w:id="215"/>
      <w:bookmarkEnd w:id="216"/>
      <w:bookmarkEnd w:id="217"/>
      <w:bookmarkEnd w:id="218"/>
      <w:bookmarkEnd w:id="219"/>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本制度适用于本公司所有作业活动、设备设施等。</w:t>
      </w:r>
    </w:p>
    <w:p>
      <w:pPr>
        <w:spacing w:line="360" w:lineRule="auto"/>
        <w:rPr>
          <w:rFonts w:ascii="宋体" w:hAnsi="宋体" w:eastAsia="宋体" w:cs="宋体"/>
          <w:b/>
          <w:sz w:val="28"/>
          <w:szCs w:val="28"/>
        </w:rPr>
      </w:pPr>
      <w:bookmarkStart w:id="220" w:name="_Toc6029_WPSOffice_Level2"/>
      <w:bookmarkStart w:id="221" w:name="_Toc14902_WPSOffice_Level1"/>
      <w:bookmarkStart w:id="222" w:name="_Toc18503_WPSOffice_Level2"/>
      <w:bookmarkStart w:id="223" w:name="_Toc7028_WPSOffice_Level2"/>
      <w:bookmarkStart w:id="224" w:name="_Toc10705_WPSOffice_Level1"/>
      <w:bookmarkStart w:id="225" w:name="_Toc25655_WPSOffice_Level2"/>
      <w:bookmarkStart w:id="226" w:name="_Toc18771_WPSOffice_Level2"/>
      <w:r>
        <w:rPr>
          <w:rFonts w:hint="eastAsia" w:ascii="宋体" w:hAnsi="宋体" w:eastAsia="宋体" w:cs="宋体"/>
          <w:b/>
          <w:sz w:val="28"/>
          <w:szCs w:val="28"/>
        </w:rPr>
        <w:t>三、职责</w:t>
      </w:r>
      <w:bookmarkEnd w:id="220"/>
      <w:bookmarkEnd w:id="221"/>
      <w:bookmarkEnd w:id="222"/>
      <w:bookmarkEnd w:id="223"/>
      <w:bookmarkEnd w:id="224"/>
      <w:bookmarkEnd w:id="225"/>
      <w:bookmarkEnd w:id="226"/>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1、总经理是隐患排查治理工作的第一责任人。负责通过高层工作会议、安全工作会议等形式，将隐患排查治理工作纳入到日常工作的范围中；定期组织和参与检查；负责对体系建设工作情况进行调度、督导和考核；为体系建设工作提供人力、物力和财力保障；负责组织对企业重大事故隐患的评估、治理和应急防范措施的监督落实。</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2、生产副总是生产安全事故隐患排查治理工作的责任人。负责生产安全事故隐患排查治理工作的监督管理；负责将隐患排查治理工作纳入企业安全生产责任制考核；具体负责组织对企业重大事故隐患的评估、治理和应急防范措施的监督落实；确保实现“全员、全过程、全方位、全天候”的隐患治理。</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3、安全管理人员负责起草隐患排查治理体系建设工作方案和有关文件；协调和调度各专业工作组分工开展情况；负责本指南的组织实施、指导和监督检查；负责组织隐患排查工作的开展；负责制定隐患排查计划；督促各级人员按计划开展事故隐患排查治理；监督、检查事故隐患治理和措施落实情况；负责事故隐患的收集归档，并对事故隐患排查治理实施过程进行督查、考核等工作。</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4、财务部负责安全生产费用的提取，以保证隐患排查治理体系的实施与运行；监督隐患整改资金的使用和落实情况。</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5、设备、技术、电气等专业管理部门按专业职责，负责对本专业的事故隐患排查、整改指令下达、验证整改效果等工作进行督促、协调和落实；负责落实事故隐患挂牌督办工作。</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6、生产车间、生产班组是事故隐患排查治理的责任主体。具体负责所辖范围内各类事故隐患的排查治理；负责组织一般事故隐患的评估，并对自行管理的事故隐患进行整改、验证等工作；确保实现“全员、全过程、全方位、全天候”的隐患治理。</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7、一般职工通过对本岗位危险源管控措施的掌握会排查事故隐患；随时发现和处理各种隐患和事故苗头；自己不能解决的及时上报，同时采取临时性的控制措施；本岗位重大隐患得不到及时整改时，有权停止作业并向安全管理部门或企业主要负责人汇报。</w:t>
      </w:r>
    </w:p>
    <w:p>
      <w:pPr>
        <w:spacing w:line="360" w:lineRule="auto"/>
        <w:rPr>
          <w:rFonts w:ascii="宋体" w:hAnsi="宋体" w:eastAsia="宋体" w:cs="宋体"/>
          <w:b/>
          <w:sz w:val="28"/>
          <w:szCs w:val="28"/>
        </w:rPr>
      </w:pPr>
      <w:bookmarkStart w:id="227" w:name="_Toc28478_WPSOffice_Level2"/>
      <w:bookmarkStart w:id="228" w:name="_Toc26601_WPSOffice_Level2"/>
      <w:bookmarkStart w:id="229" w:name="_Toc29502_WPSOffice_Level2"/>
      <w:bookmarkStart w:id="230" w:name="_Toc30336_WPSOffice_Level2"/>
      <w:bookmarkStart w:id="231" w:name="_Toc27074_WPSOffice_Level2"/>
      <w:bookmarkStart w:id="232" w:name="_Toc23657_WPSOffice_Level1"/>
      <w:bookmarkStart w:id="233" w:name="_Toc11849_WPSOffice_Level1"/>
      <w:r>
        <w:rPr>
          <w:rFonts w:hint="eastAsia" w:ascii="宋体" w:hAnsi="宋体" w:eastAsia="宋体" w:cs="宋体"/>
          <w:b/>
          <w:sz w:val="28"/>
          <w:szCs w:val="28"/>
        </w:rPr>
        <w:t>四、程序概述</w:t>
      </w:r>
      <w:bookmarkEnd w:id="227"/>
      <w:bookmarkEnd w:id="228"/>
      <w:bookmarkEnd w:id="229"/>
      <w:bookmarkEnd w:id="230"/>
      <w:bookmarkEnd w:id="231"/>
      <w:bookmarkEnd w:id="232"/>
      <w:bookmarkEnd w:id="233"/>
    </w:p>
    <w:p>
      <w:pPr>
        <w:spacing w:line="360" w:lineRule="auto"/>
        <w:ind w:firstLine="560" w:firstLineChars="200"/>
        <w:rPr>
          <w:rFonts w:ascii="宋体" w:hAnsi="宋体" w:eastAsia="宋体" w:cs="宋体"/>
          <w:sz w:val="28"/>
          <w:szCs w:val="28"/>
        </w:rPr>
      </w:pPr>
      <w:bookmarkStart w:id="234" w:name="_Toc25257_WPSOffice_Level2"/>
      <w:bookmarkStart w:id="235" w:name="_Toc14356_WPSOffice_Level2"/>
      <w:r>
        <w:rPr>
          <w:rFonts w:hint="eastAsia" w:ascii="宋体" w:hAnsi="宋体" w:eastAsia="宋体" w:cs="宋体"/>
          <w:sz w:val="28"/>
          <w:szCs w:val="28"/>
        </w:rPr>
        <w:t>1、事故隐患的排查治理工作包括排查、通报、整改、验收。</w:t>
      </w:r>
      <w:bookmarkEnd w:id="234"/>
      <w:bookmarkEnd w:id="235"/>
      <w:r>
        <w:rPr>
          <w:rFonts w:hint="eastAsia" w:ascii="宋体" w:hAnsi="宋体" w:eastAsia="宋体" w:cs="宋体"/>
          <w:sz w:val="28"/>
          <w:szCs w:val="28"/>
        </w:rPr>
        <w:t xml:space="preserve"> </w:t>
      </w:r>
    </w:p>
    <w:p>
      <w:pPr>
        <w:spacing w:line="360" w:lineRule="auto"/>
        <w:ind w:firstLine="560" w:firstLineChars="200"/>
        <w:rPr>
          <w:rFonts w:ascii="宋体" w:hAnsi="宋体" w:eastAsia="宋体" w:cs="宋体"/>
          <w:sz w:val="28"/>
          <w:szCs w:val="28"/>
        </w:rPr>
      </w:pPr>
      <w:bookmarkStart w:id="236" w:name="_Toc1024_WPSOffice_Level2"/>
      <w:bookmarkStart w:id="237" w:name="_Toc28628_WPSOffice_Level2"/>
      <w:r>
        <w:rPr>
          <w:rFonts w:hint="eastAsia" w:ascii="宋体" w:hAnsi="宋体" w:eastAsia="宋体" w:cs="宋体"/>
          <w:sz w:val="28"/>
          <w:szCs w:val="28"/>
        </w:rPr>
        <w:t>2、隐患分类</w:t>
      </w:r>
      <w:bookmarkEnd w:id="236"/>
      <w:bookmarkEnd w:id="23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事故隐患分为基础管理类隐患与生产现场类隐患。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2.1生产现场类隐患包括以下方面存在的问题或缺陷：</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——设备设施；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——场所环境；</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——从业人员操作行为；</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——消防及应急设施；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——供配电设施；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——职业卫生防护设施；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——辅助动力系统；</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——现场其他方面。</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2.2、基础管理类隐患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基础管理类隐患包括以下方面存在的问题或缺陷：</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——生产经营单位资质证照；</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——安全生产管理机构及人员；</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——安全生产责任制；</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——安全生产管理制度；</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——教育培训；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——安全生产管理档案；</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——安全生产投入；</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——应急管理；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——职业卫生基础管理；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——相关方安全管理；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——基础管理其他方面。</w:t>
      </w:r>
    </w:p>
    <w:p>
      <w:pPr>
        <w:spacing w:line="360" w:lineRule="auto"/>
        <w:ind w:firstLine="560" w:firstLineChars="200"/>
        <w:rPr>
          <w:rFonts w:ascii="宋体" w:hAnsi="宋体" w:eastAsia="宋体" w:cs="宋体"/>
          <w:sz w:val="28"/>
          <w:szCs w:val="28"/>
        </w:rPr>
      </w:pPr>
      <w:bookmarkStart w:id="238" w:name="_Toc12165_WPSOffice_Level2"/>
      <w:bookmarkStart w:id="239" w:name="_Toc14361_WPSOffice_Level2"/>
      <w:r>
        <w:rPr>
          <w:rFonts w:hint="eastAsia" w:ascii="宋体" w:hAnsi="宋体" w:eastAsia="宋体" w:cs="宋体"/>
          <w:sz w:val="28"/>
          <w:szCs w:val="28"/>
        </w:rPr>
        <w:t>3、隐患分级</w:t>
      </w:r>
      <w:bookmarkEnd w:id="238"/>
      <w:bookmarkEnd w:id="239"/>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根据隐患整改、治理和排除的难度及其可能导致事故的后果和影响范围，分为一般事故隐患和重大事故隐患。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（1）一般事故隐患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一般事故隐患，是指危害和整改难度较小，发现后能够立即整改排除的隐患。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（2）重大事故隐患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重大事故隐患，是指危害和整改难度较大，无法立即整改排除，应当全部或者局部停产停业，并经过一定时间整改治理方能排除的隐患，或者因外部因素影响致使生产经营单位自身难以排除的隐患。符合下列条件之一的，应直接判定为重大事故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——符合DB37/T 2883-2016和DB37/T 3011-2017第5.1条列举范围的，可直接判定为重大事故隐患；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——除尘系统未采取预防和控制粉尘爆炸的措施；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——保险粉、双氧水等危险品与禁忌物料混合储存；</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——保险粉没有设置专用仓库或露天存放；</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——安装或使用燃气的场所未设置检测报警、防火防爆、泄压泄爆等安全保护装置，燃气设备、阀门、管路、法兰、焊缝有腐蚀、泄漏的；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——应当设置自动报警系统、自动喷水灭火系统、防排烟系统、应急照明系统等消防设施的生产车间或仓库，没有设置或不能正常使用；</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——整改难度很大，需全部或核心生产部分停产停业方能排除的隐患；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——其他符合有关标准、规范中明确的重大事故隐患判定标准的隐患。</w:t>
      </w:r>
    </w:p>
    <w:p>
      <w:pPr>
        <w:spacing w:line="360" w:lineRule="auto"/>
        <w:ind w:firstLine="560" w:firstLineChars="200"/>
        <w:rPr>
          <w:rFonts w:ascii="宋体" w:hAnsi="宋体" w:eastAsia="宋体" w:cs="宋体"/>
          <w:sz w:val="28"/>
          <w:szCs w:val="28"/>
        </w:rPr>
      </w:pPr>
      <w:bookmarkStart w:id="240" w:name="_Toc9352_WPSOffice_Level2"/>
      <w:bookmarkStart w:id="241" w:name="_Toc14892_WPSOffice_Level2"/>
      <w:r>
        <w:rPr>
          <w:rFonts w:hint="eastAsia" w:ascii="宋体" w:hAnsi="宋体" w:eastAsia="宋体" w:cs="宋体"/>
          <w:sz w:val="28"/>
          <w:szCs w:val="28"/>
        </w:rPr>
        <w:t>4、编制排查项目清单</w:t>
      </w:r>
      <w:bookmarkEnd w:id="240"/>
      <w:bookmarkEnd w:id="241"/>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安全管理人员根据本公司风险分级管控情况编制隐患排查清单；排查内容包括所有危险源与管控措施。</w:t>
      </w:r>
    </w:p>
    <w:p>
      <w:pPr>
        <w:numPr>
          <w:ilvl w:val="0"/>
          <w:numId w:val="15"/>
        </w:numPr>
        <w:spacing w:line="360" w:lineRule="auto"/>
        <w:ind w:firstLine="560" w:firstLineChars="200"/>
        <w:rPr>
          <w:rFonts w:ascii="宋体" w:hAnsi="宋体" w:eastAsia="宋体" w:cs="宋体"/>
          <w:sz w:val="28"/>
          <w:szCs w:val="28"/>
        </w:rPr>
      </w:pPr>
      <w:bookmarkStart w:id="242" w:name="_Toc11902_WPSOffice_Level2"/>
      <w:bookmarkStart w:id="243" w:name="_Toc25789_WPSOffice_Level2"/>
      <w:r>
        <w:rPr>
          <w:rFonts w:hint="eastAsia" w:ascii="宋体" w:hAnsi="宋体" w:eastAsia="宋体" w:cs="宋体"/>
          <w:sz w:val="28"/>
          <w:szCs w:val="28"/>
        </w:rPr>
        <w:t>制定排查计划</w:t>
      </w:r>
      <w:bookmarkEnd w:id="242"/>
      <w:bookmarkEnd w:id="24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本公司计划开展以下隐患排查：班组级隐患排查、车间级隐患排查、基础管理类隐患排查、公司级隐患排查、专业性（设备）隐患排查、季节性隐患排查、节假日隐患排查。</w:t>
      </w:r>
    </w:p>
    <w:p>
      <w:pPr>
        <w:numPr>
          <w:ilvl w:val="0"/>
          <w:numId w:val="15"/>
        </w:numPr>
        <w:spacing w:line="360" w:lineRule="auto"/>
        <w:ind w:firstLine="560" w:firstLineChars="200"/>
        <w:rPr>
          <w:rFonts w:ascii="宋体" w:hAnsi="宋体" w:eastAsia="宋体" w:cs="宋体"/>
          <w:sz w:val="28"/>
          <w:szCs w:val="28"/>
        </w:rPr>
      </w:pPr>
      <w:bookmarkStart w:id="244" w:name="_Toc20058_WPSOffice_Level2"/>
      <w:bookmarkStart w:id="245" w:name="_Toc9868_WPSOffice_Level2"/>
      <w:r>
        <w:rPr>
          <w:rFonts w:hint="eastAsia" w:ascii="宋体" w:hAnsi="宋体" w:eastAsia="宋体" w:cs="宋体"/>
          <w:sz w:val="28"/>
          <w:szCs w:val="28"/>
        </w:rPr>
        <w:t>隐患排查的实施</w:t>
      </w:r>
      <w:bookmarkEnd w:id="244"/>
      <w:bookmarkEnd w:id="245"/>
    </w:p>
    <w:p>
      <w:pPr>
        <w:spacing w:line="360" w:lineRule="auto"/>
        <w:rPr>
          <w:rFonts w:ascii="宋体" w:hAnsi="宋体" w:eastAsia="宋体" w:cs="宋体"/>
          <w:sz w:val="28"/>
          <w:szCs w:val="28"/>
        </w:rPr>
      </w:pPr>
      <w:r>
        <w:rPr>
          <w:rFonts w:hint="eastAsia" w:ascii="宋体" w:hAnsi="宋体" w:eastAsia="宋体" w:cs="宋体"/>
          <w:sz w:val="28"/>
          <w:szCs w:val="28"/>
        </w:rPr>
        <w:t>本公司及各基层单位按照下表开展隐患排查：</w:t>
      </w:r>
    </w:p>
    <w:tbl>
      <w:tblPr>
        <w:tblStyle w:val="1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2155"/>
        <w:gridCol w:w="1571"/>
        <w:gridCol w:w="1572"/>
        <w:gridCol w:w="2202"/>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序号</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排查类型</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排查周期</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责任单位</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责任人</w:t>
            </w:r>
          </w:p>
        </w:tc>
        <w:tc>
          <w:tcPr>
            <w:tcW w:w="94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1</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基础管理类</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每月</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本公司</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安全员</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2</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班组级</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每天</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各班组</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各班组长</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3</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车间级</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每周</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各车间</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各车间主任</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4</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公司级</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每月</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领导小组</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总经理</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5</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专业性</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每月</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生产部</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生产部长</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6</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季节性</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每季度</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生产部</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安全员</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7</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节假日</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放假前</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生产部</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安全员</w:t>
            </w:r>
          </w:p>
        </w:tc>
        <w:tc>
          <w:tcPr>
            <w:tcW w:w="942" w:type="dxa"/>
          </w:tcPr>
          <w:p>
            <w:pPr>
              <w:spacing w:line="360" w:lineRule="auto"/>
              <w:jc w:val="center"/>
              <w:rPr>
                <w:rFonts w:ascii="宋体" w:hAnsi="宋体" w:eastAsia="宋体" w:cs="宋体"/>
                <w:color w:val="FF0000"/>
                <w:sz w:val="28"/>
                <w:szCs w:val="28"/>
              </w:rPr>
            </w:pPr>
          </w:p>
        </w:tc>
      </w:tr>
    </w:tbl>
    <w:p>
      <w:pPr>
        <w:numPr>
          <w:ilvl w:val="0"/>
          <w:numId w:val="15"/>
        </w:numPr>
        <w:spacing w:line="360" w:lineRule="auto"/>
        <w:ind w:firstLine="560" w:firstLineChars="200"/>
        <w:rPr>
          <w:rFonts w:ascii="宋体" w:hAnsi="宋体" w:eastAsia="宋体" w:cs="宋体"/>
          <w:sz w:val="28"/>
          <w:szCs w:val="28"/>
        </w:rPr>
      </w:pPr>
      <w:bookmarkStart w:id="246" w:name="_Toc18880_WPSOffice_Level2"/>
      <w:bookmarkStart w:id="247" w:name="_Toc8841_WPSOffice_Level2"/>
      <w:r>
        <w:rPr>
          <w:rFonts w:hint="eastAsia" w:ascii="宋体" w:hAnsi="宋体" w:eastAsia="宋体" w:cs="宋体"/>
          <w:sz w:val="28"/>
          <w:szCs w:val="28"/>
        </w:rPr>
        <w:t>隐患治理</w:t>
      </w:r>
      <w:bookmarkEnd w:id="246"/>
      <w:bookmarkEnd w:id="24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安全管理人员按照隐患类型与隐患等级确定治理单位与责任人、整改期限，填写隐患通报表与隐患整改通知单。隐患整改责任单位与责任人收到隐患整改通知单后，按照要求按时完成整改。</w:t>
      </w:r>
    </w:p>
    <w:p>
      <w:pPr>
        <w:numPr>
          <w:ilvl w:val="0"/>
          <w:numId w:val="15"/>
        </w:numPr>
        <w:spacing w:line="360" w:lineRule="auto"/>
        <w:ind w:firstLine="560" w:firstLineChars="200"/>
        <w:rPr>
          <w:rFonts w:ascii="宋体" w:hAnsi="宋体" w:eastAsia="宋体" w:cs="宋体"/>
          <w:sz w:val="28"/>
          <w:szCs w:val="28"/>
        </w:rPr>
      </w:pPr>
      <w:bookmarkStart w:id="248" w:name="_Toc5761_WPSOffice_Level2"/>
      <w:bookmarkStart w:id="249" w:name="_Toc19486_WPSOffice_Level2"/>
      <w:r>
        <w:rPr>
          <w:rFonts w:hint="eastAsia" w:ascii="宋体" w:hAnsi="宋体" w:eastAsia="宋体" w:cs="宋体"/>
          <w:sz w:val="28"/>
          <w:szCs w:val="28"/>
        </w:rPr>
        <w:t>建档监控</w:t>
      </w:r>
      <w:bookmarkEnd w:id="248"/>
      <w:bookmarkEnd w:id="249"/>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隐患整改完成并验收合格后，由安全管理人员登记建档。</w:t>
      </w:r>
    </w:p>
    <w:p>
      <w:pPr>
        <w:numPr>
          <w:ilvl w:val="0"/>
          <w:numId w:val="15"/>
        </w:numPr>
        <w:spacing w:line="360" w:lineRule="auto"/>
        <w:ind w:firstLine="560" w:firstLineChars="200"/>
        <w:rPr>
          <w:rFonts w:ascii="宋体" w:hAnsi="宋体" w:eastAsia="宋体" w:cs="宋体"/>
          <w:sz w:val="28"/>
          <w:szCs w:val="28"/>
        </w:rPr>
      </w:pPr>
      <w:bookmarkStart w:id="250" w:name="_Toc4455_WPSOffice_Level2"/>
      <w:bookmarkStart w:id="251" w:name="_Toc17364_WPSOffice_Level2"/>
      <w:r>
        <w:rPr>
          <w:rFonts w:hint="eastAsia" w:ascii="宋体" w:hAnsi="宋体" w:eastAsia="宋体" w:cs="宋体"/>
          <w:sz w:val="28"/>
          <w:szCs w:val="28"/>
        </w:rPr>
        <w:t>资金专项使用</w:t>
      </w:r>
      <w:bookmarkEnd w:id="250"/>
      <w:bookmarkEnd w:id="251"/>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本公司财务部每年提取一定费用用于隐患整改，隐患整改费用不得转作他用。</w:t>
      </w:r>
    </w:p>
    <w:p>
      <w:pPr>
        <w:numPr>
          <w:ilvl w:val="0"/>
          <w:numId w:val="15"/>
        </w:numPr>
        <w:spacing w:line="360" w:lineRule="auto"/>
        <w:ind w:firstLine="560" w:firstLineChars="200"/>
        <w:rPr>
          <w:rFonts w:ascii="宋体" w:hAnsi="宋体" w:eastAsia="宋体" w:cs="宋体"/>
          <w:sz w:val="28"/>
          <w:szCs w:val="28"/>
        </w:rPr>
      </w:pPr>
      <w:bookmarkStart w:id="252" w:name="_Toc7432_WPSOffice_Level2"/>
      <w:bookmarkStart w:id="253" w:name="_Toc7712_WPSOffice_Level2"/>
      <w:r>
        <w:rPr>
          <w:rFonts w:hint="eastAsia" w:ascii="宋体" w:hAnsi="宋体" w:eastAsia="宋体" w:cs="宋体"/>
          <w:sz w:val="28"/>
          <w:szCs w:val="28"/>
        </w:rPr>
        <w:t>隐患报告和举报奖励</w:t>
      </w:r>
      <w:bookmarkEnd w:id="252"/>
      <w:bookmarkEnd w:id="25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公司职工发现隐患并上报至安全管理人员，根据隐患情况给予20-500元奖励。</w:t>
      </w:r>
    </w:p>
    <w:p>
      <w:pPr>
        <w:numPr>
          <w:ilvl w:val="0"/>
          <w:numId w:val="15"/>
        </w:numPr>
        <w:spacing w:line="360" w:lineRule="auto"/>
        <w:ind w:firstLine="560" w:firstLineChars="200"/>
        <w:rPr>
          <w:rFonts w:ascii="宋体" w:hAnsi="宋体" w:eastAsia="宋体" w:cs="宋体"/>
          <w:sz w:val="28"/>
          <w:szCs w:val="28"/>
        </w:rPr>
      </w:pPr>
      <w:bookmarkStart w:id="254" w:name="_Toc23059_WPSOffice_Level2"/>
      <w:bookmarkStart w:id="255" w:name="_Toc14885_WPSOffice_Level2"/>
      <w:r>
        <w:rPr>
          <w:rFonts w:hint="eastAsia" w:ascii="宋体" w:hAnsi="宋体" w:eastAsia="宋体" w:cs="宋体"/>
          <w:sz w:val="28"/>
          <w:szCs w:val="28"/>
        </w:rPr>
        <w:t>持续改进</w:t>
      </w:r>
      <w:bookmarkEnd w:id="254"/>
      <w:bookmarkEnd w:id="255"/>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sz w:val="28"/>
          <w:szCs w:val="28"/>
        </w:rPr>
        <w:t>本公司每年12月份对隐患排查项目清单、各类隐患排查表进行评审，根据公司实际情况更新隐患排查项目清单与各类隐患排查表。</w:t>
      </w:r>
      <w:r>
        <w:rPr>
          <w:rFonts w:hint="eastAsia" w:ascii="宋体" w:hAnsi="宋体" w:eastAsia="宋体" w:cs="宋体"/>
          <w:color w:val="000000"/>
          <w:sz w:val="28"/>
          <w:szCs w:val="28"/>
        </w:rPr>
        <w:br w:type="page"/>
      </w:r>
    </w:p>
    <w:p>
      <w:pPr>
        <w:jc w:val="center"/>
        <w:rPr>
          <w:w w:val="66"/>
        </w:rPr>
      </w:pPr>
      <w:bookmarkStart w:id="256" w:name="_Toc28877_WPSOffice_Level1"/>
      <w:bookmarkStart w:id="257" w:name="_Toc28278_WPSOffice_Level1"/>
      <w:bookmarkStart w:id="258" w:name="_Toc31673"/>
      <w:r>
        <w:rPr>
          <w:rFonts w:hint="eastAsia"/>
          <w:b/>
          <w:bCs/>
          <w:color w:val="FF0000"/>
          <w:w w:val="66"/>
          <w:sz w:val="72"/>
          <w:szCs w:val="72"/>
        </w:rPr>
        <w:t>XX有限公司文件</w:t>
      </w:r>
      <w:bookmarkEnd w:id="256"/>
      <w:bookmarkEnd w:id="257"/>
    </w:p>
    <w:p/>
    <w:p>
      <w:pPr>
        <w:jc w:val="center"/>
        <w:rPr>
          <w:sz w:val="28"/>
          <w:szCs w:val="28"/>
        </w:rPr>
      </w:pPr>
      <w:r>
        <w:rPr>
          <w:sz w:val="28"/>
        </w:rPr>
        <w:pict>
          <v:line id="_x0000_s3087" o:spid="_x0000_s3087" o:spt="20" style="position:absolute;left:0pt;margin-left:2.45pt;margin-top:25.95pt;height:0pt;width:441.4pt;z-index:251686912;mso-width-relative:page;mso-height-relative:page;" stroked="t" coordsize="21600,21600" o:gfxdata="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FwSYENUAAAAHAQAADwAAAAAAAAABACAAAAAiAAAA&#10;ZHJzL2Rvd25yZXYueG1sUEsBAhQAFAAAAAgAh07iQNXXsLHRAQAAWgMAAA4AAAAAAAAAAQAgAAAA&#10;JAEAAGRycy9lMm9Eb2MueG1sUEsFBgAAAAAGAAYAWQEAAGcFAAAAAA==&#10;">
            <v:path arrowok="t"/>
            <v:fill focussize="0,0"/>
            <v:stroke weight="2.25pt" color="#FF0000"/>
            <v:imagedata o:title=""/>
            <o:lock v:ext="edit"/>
          </v:line>
        </w:pict>
      </w:r>
      <w:r>
        <w:rPr>
          <w:rFonts w:hint="eastAsia"/>
          <w:sz w:val="28"/>
        </w:rPr>
        <w:t>XX</w:t>
      </w:r>
      <w:r>
        <w:rPr>
          <w:rFonts w:hint="eastAsia"/>
          <w:sz w:val="28"/>
          <w:szCs w:val="28"/>
        </w:rPr>
        <w:t>字【</w:t>
      </w:r>
      <w:r>
        <w:rPr>
          <w:rFonts w:hint="eastAsia"/>
          <w:sz w:val="28"/>
          <w:szCs w:val="28"/>
          <w:lang w:eastAsia="zh-CN"/>
        </w:rPr>
        <w:t>202X</w:t>
      </w:r>
      <w:r>
        <w:rPr>
          <w:rFonts w:hint="eastAsia"/>
          <w:sz w:val="28"/>
          <w:szCs w:val="28"/>
        </w:rPr>
        <w:t>】第20号</w:t>
      </w:r>
    </w:p>
    <w:p>
      <w:pPr>
        <w:pStyle w:val="2"/>
      </w:pPr>
    </w:p>
    <w:p>
      <w:pPr>
        <w:pStyle w:val="2"/>
      </w:pPr>
      <w:bookmarkStart w:id="259" w:name="_Toc22455_WPSOffice_Level2"/>
      <w:r>
        <w:rPr>
          <w:rFonts w:hint="eastAsia"/>
        </w:rPr>
        <w:t>关于发布双重预防体系奖惩制度的通知</w:t>
      </w:r>
      <w:bookmarkEnd w:id="259"/>
    </w:p>
    <w:p/>
    <w:p>
      <w:pPr>
        <w:spacing w:line="480" w:lineRule="exact"/>
        <w:rPr>
          <w:b/>
          <w:bCs/>
          <w:sz w:val="28"/>
          <w:szCs w:val="28"/>
        </w:rPr>
      </w:pPr>
      <w:r>
        <w:rPr>
          <w:rFonts w:hint="eastAsia"/>
          <w:b/>
          <w:bCs/>
          <w:sz w:val="28"/>
          <w:szCs w:val="28"/>
        </w:rPr>
        <w:t>各岗位职工：</w:t>
      </w:r>
    </w:p>
    <w:p>
      <w:pPr>
        <w:spacing w:line="440" w:lineRule="exact"/>
        <w:ind w:firstLine="560" w:firstLineChars="200"/>
        <w:rPr>
          <w:sz w:val="28"/>
          <w:szCs w:val="28"/>
        </w:rPr>
      </w:pPr>
      <w:r>
        <w:rPr>
          <w:rFonts w:hint="eastAsia"/>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w:t>
      </w:r>
      <w:r>
        <w:rPr>
          <w:rFonts w:hint="eastAsia"/>
          <w:sz w:val="28"/>
          <w:szCs w:val="28"/>
          <w:lang w:eastAsia="zh-CN"/>
        </w:rPr>
        <w:t>202X</w:t>
      </w:r>
      <w:r>
        <w:rPr>
          <w:rFonts w:hint="eastAsia"/>
          <w:sz w:val="28"/>
          <w:szCs w:val="28"/>
        </w:rPr>
        <w:t>年全省安全生产风险分级管控和隐患排查治理双重预防体系建设推进工作方案》的通知（鲁安办发﹝</w:t>
      </w:r>
      <w:r>
        <w:rPr>
          <w:rFonts w:hint="eastAsia"/>
          <w:sz w:val="28"/>
          <w:szCs w:val="28"/>
          <w:lang w:eastAsia="zh-CN"/>
        </w:rPr>
        <w:t>202X</w:t>
      </w:r>
      <w:r>
        <w:rPr>
          <w:rFonts w:hint="eastAsia"/>
          <w:sz w:val="28"/>
          <w:szCs w:val="28"/>
        </w:rPr>
        <w:t>﹞29号）、《关于深化企业安全生产标准化工作促进风险分级管控与隐患排查治理双重预防体系建设的通知》鲁安办发﹝</w:t>
      </w:r>
      <w:r>
        <w:rPr>
          <w:rFonts w:hint="eastAsia"/>
          <w:sz w:val="28"/>
          <w:szCs w:val="28"/>
          <w:lang w:eastAsia="zh-CN"/>
        </w:rPr>
        <w:t>202X</w:t>
      </w:r>
      <w:r>
        <w:rPr>
          <w:rFonts w:hint="eastAsia"/>
          <w:sz w:val="28"/>
          <w:szCs w:val="28"/>
        </w:rPr>
        <w:t>﹞33号等相关文件要求，切实提高公司安全管理水平，加强风险分级管控，确保生产安全，我公司制定了《双重预防体系奖惩制度》，现予以印发。</w:t>
      </w:r>
    </w:p>
    <w:p>
      <w:pPr>
        <w:spacing w:line="440" w:lineRule="exact"/>
        <w:ind w:left="1120" w:hanging="1120" w:hangingChars="400"/>
        <w:rPr>
          <w:sz w:val="28"/>
          <w:szCs w:val="28"/>
        </w:rPr>
      </w:pPr>
    </w:p>
    <w:p>
      <w:pPr>
        <w:spacing w:line="440" w:lineRule="exact"/>
        <w:rPr>
          <w:sz w:val="28"/>
          <w:szCs w:val="28"/>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8"/>
          <w:szCs w:val="28"/>
        </w:rPr>
      </w:pPr>
      <w:r>
        <w:rPr>
          <w:sz w:val="28"/>
        </w:rPr>
        <w:pict>
          <v:line id="_x0000_s3086" o:spid="_x0000_s3086" o:spt="20" style="position:absolute;left:0pt;flip:y;margin-left:-6.1pt;margin-top:26.45pt;height:0.05pt;width:470.15pt;z-index:251687936;mso-width-relative:page;mso-height-relative:page;" stroked="t" coordsize="21600,21600" o:gfxdata="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InoH&#10;gNcAAAAJAQAADwAAAAAAAAABACAAAAAiAAAAZHJzL2Rvd25yZXYueG1sUEsBAhQAFAAAAAgAh07i&#10;QGiaApDqAQAAnwMAAA4AAAAAAAAAAQAgAAAAJgEAAGRycy9lMm9Eb2MueG1sUEsFBgAAAAAGAAYA&#10;WQEAAIIFAAAAAA==&#10;">
            <v:path arrowok="t"/>
            <v:fill focussize="0,0"/>
            <v:stroke color="#000000"/>
            <v:imagedata o:title=""/>
            <o:lock v:ext="edit"/>
          </v:line>
        </w:pict>
      </w:r>
      <w:r>
        <w:rPr>
          <w:sz w:val="28"/>
        </w:rPr>
        <w:pict>
          <v:line id="_x0000_s3085" o:spid="_x0000_s3085" o:spt="20" style="position:absolute;left:0pt;flip:y;margin-left:-4.55pt;margin-top:1.1pt;height:0.35pt;width:467.6pt;z-index:251688960;mso-width-relative:page;mso-height-relative:page;" stroked="t" coordsize="21600,21600" o:gfxdata="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YuMcbSAAAABgEAAA8AAAAA&#10;AAAAAQAgAAAAIgAAAGRycy9kb3ducmV2LnhtbFBLAQIUABQAAAAIAIdO4kCADQun4QEAAJQDAAAO&#10;AAAAAAAAAAEAIAAAACEBAABkcnMvZTJvRG9jLnhtbFBLBQYAAAAABgAGAFkBAAB0BQAAAAA=&#10;">
            <v:path arrowok="t"/>
            <v:fill focussize="0,0"/>
            <v:stroke color="#000000"/>
            <v:imagedata o:title=""/>
            <o:lock v:ext="edit"/>
          </v:line>
        </w:pict>
      </w:r>
      <w:r>
        <w:rPr>
          <w:rFonts w:hint="eastAsia"/>
          <w:sz w:val="28"/>
        </w:rPr>
        <w:t>XX有限公司</w:t>
      </w:r>
      <w:r>
        <w:rPr>
          <w:rFonts w:hint="eastAsia"/>
          <w:sz w:val="28"/>
          <w:szCs w:val="28"/>
        </w:rPr>
        <w:t xml:space="preserve">                      </w:t>
      </w:r>
      <w:r>
        <w:rPr>
          <w:rFonts w:hint="eastAsia"/>
          <w:sz w:val="28"/>
          <w:szCs w:val="28"/>
          <w:lang w:eastAsia="zh-CN"/>
        </w:rPr>
        <w:t>202X</w:t>
      </w:r>
      <w:r>
        <w:rPr>
          <w:rFonts w:hint="eastAsia"/>
          <w:sz w:val="28"/>
          <w:szCs w:val="28"/>
        </w:rPr>
        <w:t>年10月05日印</w:t>
      </w:r>
    </w:p>
    <w:p>
      <w:pPr>
        <w:rPr>
          <w:b/>
          <w:bCs/>
          <w:color w:val="FF0000"/>
          <w:w w:val="66"/>
          <w:sz w:val="72"/>
          <w:szCs w:val="72"/>
        </w:rPr>
      </w:pPr>
    </w:p>
    <w:p>
      <w:pPr>
        <w:pStyle w:val="2"/>
      </w:pPr>
      <w:r>
        <w:br w:type="page"/>
      </w:r>
    </w:p>
    <w:p>
      <w:pPr>
        <w:pStyle w:val="2"/>
      </w:pPr>
      <w:bookmarkStart w:id="260" w:name="_Toc16787_WPSOffice_Level2"/>
      <w:r>
        <w:t>“</w:t>
      </w:r>
      <w:r>
        <w:rPr>
          <w:rFonts w:hint="eastAsia"/>
        </w:rPr>
        <w:t>双重预防体系</w:t>
      </w:r>
      <w:r>
        <w:t>”</w:t>
      </w:r>
      <w:r>
        <w:rPr>
          <w:rFonts w:hint="eastAsia"/>
        </w:rPr>
        <w:t>考核奖惩制度</w:t>
      </w:r>
      <w:bookmarkEnd w:id="258"/>
      <w:bookmarkEnd w:id="260"/>
    </w:p>
    <w:p>
      <w:pPr>
        <w:ind w:firstLine="560" w:firstLineChars="200"/>
        <w:jc w:val="left"/>
        <w:rPr>
          <w:sz w:val="28"/>
          <w:szCs w:val="28"/>
        </w:rPr>
      </w:pPr>
      <w:bookmarkStart w:id="261" w:name="_Toc9395_WPSOffice_Level2"/>
      <w:bookmarkStart w:id="262" w:name="_Toc20650_WPSOffice_Level2"/>
      <w:bookmarkStart w:id="263" w:name="_Toc14886_WPSOffice_Level2"/>
      <w:bookmarkStart w:id="264" w:name="_Toc11527_WPSOffice_Level2"/>
      <w:bookmarkStart w:id="265" w:name="_Toc2810_WPSOffice_Level2"/>
      <w:bookmarkStart w:id="266" w:name="_Toc1285_WPSOffice_Level2"/>
      <w:bookmarkStart w:id="267" w:name="_Toc13815_WPSOffice_Level2"/>
      <w:r>
        <w:rPr>
          <w:rFonts w:hint="eastAsia"/>
          <w:sz w:val="28"/>
          <w:szCs w:val="28"/>
        </w:rPr>
        <w:t xml:space="preserve">1 </w:t>
      </w:r>
      <w:bookmarkEnd w:id="261"/>
      <w:bookmarkEnd w:id="262"/>
      <w:bookmarkEnd w:id="263"/>
      <w:bookmarkEnd w:id="264"/>
      <w:r>
        <w:rPr>
          <w:rFonts w:hint="eastAsia"/>
          <w:sz w:val="28"/>
          <w:szCs w:val="28"/>
        </w:rPr>
        <w:t>1 目的</w:t>
      </w:r>
      <w:bookmarkEnd w:id="265"/>
      <w:bookmarkEnd w:id="266"/>
      <w:bookmarkEnd w:id="267"/>
      <w:r>
        <w:rPr>
          <w:rFonts w:hint="eastAsia"/>
          <w:sz w:val="28"/>
          <w:szCs w:val="28"/>
        </w:rPr>
        <w:t xml:space="preserve"> </w:t>
      </w:r>
    </w:p>
    <w:p>
      <w:pPr>
        <w:ind w:firstLine="560" w:firstLineChars="200"/>
        <w:jc w:val="left"/>
        <w:rPr>
          <w:sz w:val="28"/>
          <w:szCs w:val="28"/>
        </w:rPr>
      </w:pPr>
      <w:r>
        <w:rPr>
          <w:rFonts w:hint="eastAsia"/>
          <w:sz w:val="28"/>
          <w:szCs w:val="28"/>
        </w:rPr>
        <w:t>为认真贯彻执行安全生产方针、目标，落实安全生产责任制，确保“双重预防体系”建设的顺利进行，将“双重预防体系”建设考核与奖励、惩罚有机地结合起来，促进安全生产管理水平的全面提高，使安全生产工作规范化、科学化、制度化、标准化，特制定本制度。</w:t>
      </w:r>
    </w:p>
    <w:p>
      <w:pPr>
        <w:ind w:firstLine="560" w:firstLineChars="200"/>
        <w:jc w:val="left"/>
        <w:rPr>
          <w:sz w:val="28"/>
          <w:szCs w:val="28"/>
        </w:rPr>
      </w:pPr>
      <w:bookmarkStart w:id="268" w:name="_Toc14238_WPSOffice_Level2"/>
      <w:bookmarkStart w:id="269" w:name="_Toc2328_WPSOffice_Level2"/>
      <w:bookmarkStart w:id="270" w:name="_Toc32647_WPSOffice_Level2"/>
      <w:bookmarkStart w:id="271" w:name="_Toc8197_WPSOffice_Level2"/>
      <w:bookmarkStart w:id="272" w:name="_Toc5585_WPSOffice_Level2"/>
      <w:r>
        <w:rPr>
          <w:rFonts w:hint="eastAsia"/>
          <w:sz w:val="28"/>
          <w:szCs w:val="28"/>
        </w:rPr>
        <w:t>2 适用范围</w:t>
      </w:r>
      <w:bookmarkEnd w:id="268"/>
      <w:bookmarkEnd w:id="269"/>
      <w:bookmarkEnd w:id="270"/>
      <w:bookmarkEnd w:id="271"/>
      <w:bookmarkEnd w:id="272"/>
      <w:r>
        <w:rPr>
          <w:rFonts w:hint="eastAsia"/>
          <w:sz w:val="28"/>
          <w:szCs w:val="28"/>
        </w:rPr>
        <w:t xml:space="preserve"> </w:t>
      </w:r>
    </w:p>
    <w:p>
      <w:pPr>
        <w:ind w:firstLine="560" w:firstLineChars="200"/>
        <w:jc w:val="left"/>
        <w:rPr>
          <w:sz w:val="28"/>
          <w:szCs w:val="28"/>
        </w:rPr>
      </w:pPr>
      <w:r>
        <w:rPr>
          <w:rFonts w:hint="eastAsia"/>
          <w:sz w:val="28"/>
          <w:szCs w:val="28"/>
        </w:rPr>
        <w:t>本制度适用于本公司所有员工的“双重预防体系”建设考核奖惩管理。</w:t>
      </w:r>
    </w:p>
    <w:p>
      <w:pPr>
        <w:ind w:firstLine="560" w:firstLineChars="200"/>
        <w:jc w:val="left"/>
        <w:rPr>
          <w:sz w:val="28"/>
          <w:szCs w:val="28"/>
        </w:rPr>
      </w:pPr>
      <w:bookmarkStart w:id="273" w:name="_Toc25606_WPSOffice_Level2"/>
      <w:bookmarkStart w:id="274" w:name="_Toc24599_WPSOffice_Level2"/>
      <w:bookmarkStart w:id="275" w:name="_Toc12674_WPSOffice_Level2"/>
      <w:bookmarkStart w:id="276" w:name="_Toc9478_WPSOffice_Level2"/>
      <w:bookmarkStart w:id="277" w:name="_Toc1627_WPSOffice_Level2"/>
      <w:r>
        <w:rPr>
          <w:rFonts w:hint="eastAsia"/>
          <w:sz w:val="28"/>
          <w:szCs w:val="28"/>
        </w:rPr>
        <w:t>3 考核</w:t>
      </w:r>
      <w:bookmarkEnd w:id="273"/>
      <w:bookmarkEnd w:id="274"/>
      <w:r>
        <w:rPr>
          <w:rFonts w:hint="eastAsia"/>
          <w:sz w:val="28"/>
          <w:szCs w:val="28"/>
        </w:rPr>
        <w:t>标准</w:t>
      </w:r>
      <w:bookmarkEnd w:id="275"/>
      <w:bookmarkEnd w:id="276"/>
      <w:bookmarkEnd w:id="277"/>
      <w:r>
        <w:rPr>
          <w:rFonts w:hint="eastAsia"/>
          <w:sz w:val="28"/>
          <w:szCs w:val="28"/>
        </w:rPr>
        <w:t xml:space="preserve">  </w:t>
      </w:r>
    </w:p>
    <w:tbl>
      <w:tblPr>
        <w:tblStyle w:val="14"/>
        <w:tblW w:w="10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750"/>
        <w:gridCol w:w="1750"/>
        <w:gridCol w:w="1750"/>
        <w:gridCol w:w="1750"/>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0" w:type="dxa"/>
          </w:tcPr>
          <w:p>
            <w:pPr>
              <w:jc w:val="center"/>
              <w:rPr>
                <w:szCs w:val="21"/>
              </w:rPr>
            </w:pPr>
            <w:r>
              <w:pict>
                <v:line id="_x0000_s3084" o:spid="_x0000_s3084" o:spt="20" style="position:absolute;left:0pt;margin-left:-5.4pt;margin-top:0.75pt;height:32.15pt;width:88.65pt;z-index:251667456;mso-width-relative:page;mso-height-relative:page;" stroked="t" coordsize="21600,21600" o:gfxdata="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YOPXU1gAAAAgB&#10;AAAPAAAAAAAAAAEAIAAAACIAAABkcnMvZG93bnJldi54bWxQSwECFAAUAAAACACHTuJA/LX4n+QB&#10;AACBAwAADgAAAAAAAAABACAAAAAlAQAAZHJzL2Uyb0RvYy54bWxQSwUGAAAAAAYABgBZAQAAewUA&#10;AAAA&#10;">
                  <v:path arrowok="t"/>
                  <v:fill focussize="0,0"/>
                  <v:stroke weight="0.5pt" color="#5B9BD5" joinstyle="miter"/>
                  <v:imagedata o:title=""/>
                  <o:lock v:ext="edit"/>
                </v:line>
              </w:pict>
            </w:r>
            <w:r>
              <w:rPr>
                <w:rFonts w:hint="eastAsia"/>
                <w:szCs w:val="21"/>
              </w:rPr>
              <w:t xml:space="preserve">      考核项目</w:t>
            </w:r>
          </w:p>
          <w:p>
            <w:pPr>
              <w:rPr>
                <w:szCs w:val="21"/>
              </w:rPr>
            </w:pPr>
            <w:r>
              <w:rPr>
                <w:rFonts w:hint="eastAsia"/>
                <w:szCs w:val="21"/>
              </w:rPr>
              <w:t>得分</w:t>
            </w:r>
          </w:p>
        </w:tc>
        <w:tc>
          <w:tcPr>
            <w:tcW w:w="1750" w:type="dxa"/>
          </w:tcPr>
          <w:p>
            <w:pPr>
              <w:jc w:val="center"/>
              <w:rPr>
                <w:rFonts w:eastAsia="宋体"/>
                <w:szCs w:val="21"/>
              </w:rPr>
            </w:pPr>
            <w:r>
              <w:rPr>
                <w:rFonts w:hint="eastAsia"/>
                <w:szCs w:val="21"/>
              </w:rPr>
              <w:t>危险源辨识与评价</w:t>
            </w:r>
          </w:p>
        </w:tc>
        <w:tc>
          <w:tcPr>
            <w:tcW w:w="1750" w:type="dxa"/>
          </w:tcPr>
          <w:p>
            <w:pPr>
              <w:jc w:val="center"/>
              <w:rPr>
                <w:rFonts w:eastAsia="宋体"/>
                <w:szCs w:val="21"/>
              </w:rPr>
            </w:pPr>
            <w:r>
              <w:rPr>
                <w:rFonts w:hint="eastAsia"/>
                <w:szCs w:val="21"/>
              </w:rPr>
              <w:t>管控措施的制定</w:t>
            </w:r>
          </w:p>
        </w:tc>
        <w:tc>
          <w:tcPr>
            <w:tcW w:w="1750" w:type="dxa"/>
          </w:tcPr>
          <w:p>
            <w:pPr>
              <w:jc w:val="center"/>
              <w:rPr>
                <w:rFonts w:eastAsia="宋体"/>
                <w:szCs w:val="21"/>
              </w:rPr>
            </w:pPr>
            <w:r>
              <w:rPr>
                <w:rFonts w:hint="eastAsia"/>
                <w:szCs w:val="21"/>
              </w:rPr>
              <w:t>管控措施的落实</w:t>
            </w:r>
          </w:p>
        </w:tc>
        <w:tc>
          <w:tcPr>
            <w:tcW w:w="1750" w:type="dxa"/>
          </w:tcPr>
          <w:p>
            <w:pPr>
              <w:jc w:val="center"/>
              <w:rPr>
                <w:rFonts w:eastAsia="宋体"/>
                <w:szCs w:val="21"/>
              </w:rPr>
            </w:pPr>
            <w:r>
              <w:rPr>
                <w:rFonts w:hint="eastAsia"/>
                <w:szCs w:val="21"/>
              </w:rPr>
              <w:t>隐患排查开展情况</w:t>
            </w:r>
          </w:p>
        </w:tc>
        <w:tc>
          <w:tcPr>
            <w:tcW w:w="1750" w:type="dxa"/>
          </w:tcPr>
          <w:p>
            <w:pPr>
              <w:jc w:val="center"/>
              <w:rPr>
                <w:szCs w:val="21"/>
              </w:rPr>
            </w:pPr>
            <w:r>
              <w:rPr>
                <w:rFonts w:hint="eastAsia"/>
                <w:szCs w:val="21"/>
              </w:rPr>
              <w:t>隐患治理情况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0" w:type="dxa"/>
          </w:tcPr>
          <w:p>
            <w:pPr>
              <w:jc w:val="center"/>
              <w:rPr>
                <w:rFonts w:eastAsia="宋体"/>
                <w:szCs w:val="21"/>
              </w:rPr>
            </w:pPr>
            <w:r>
              <w:rPr>
                <w:rFonts w:hint="eastAsia"/>
                <w:szCs w:val="21"/>
              </w:rPr>
              <w:t>3</w:t>
            </w:r>
          </w:p>
        </w:tc>
        <w:tc>
          <w:tcPr>
            <w:tcW w:w="1750" w:type="dxa"/>
          </w:tcPr>
          <w:p>
            <w:pPr>
              <w:jc w:val="center"/>
              <w:rPr>
                <w:rFonts w:eastAsia="宋体"/>
                <w:szCs w:val="21"/>
              </w:rPr>
            </w:pPr>
            <w:r>
              <w:rPr>
                <w:rFonts w:hint="eastAsia"/>
                <w:szCs w:val="21"/>
              </w:rPr>
              <w:t>辨识全面，评价合理</w:t>
            </w:r>
          </w:p>
        </w:tc>
        <w:tc>
          <w:tcPr>
            <w:tcW w:w="1750" w:type="dxa"/>
          </w:tcPr>
          <w:p>
            <w:pPr>
              <w:jc w:val="center"/>
              <w:rPr>
                <w:rFonts w:eastAsia="宋体"/>
                <w:szCs w:val="21"/>
              </w:rPr>
            </w:pPr>
            <w:r>
              <w:rPr>
                <w:rFonts w:hint="eastAsia"/>
                <w:szCs w:val="21"/>
              </w:rPr>
              <w:t>管控措施制定完善</w:t>
            </w:r>
          </w:p>
        </w:tc>
        <w:tc>
          <w:tcPr>
            <w:tcW w:w="1750" w:type="dxa"/>
          </w:tcPr>
          <w:p>
            <w:pPr>
              <w:jc w:val="center"/>
              <w:rPr>
                <w:rFonts w:eastAsia="宋体"/>
                <w:szCs w:val="21"/>
              </w:rPr>
            </w:pPr>
            <w:r>
              <w:rPr>
                <w:rFonts w:hint="eastAsia"/>
                <w:szCs w:val="21"/>
              </w:rPr>
              <w:t>管控措施落实较好</w:t>
            </w:r>
          </w:p>
        </w:tc>
        <w:tc>
          <w:tcPr>
            <w:tcW w:w="1750" w:type="dxa"/>
          </w:tcPr>
          <w:p>
            <w:pPr>
              <w:jc w:val="center"/>
              <w:rPr>
                <w:rFonts w:eastAsia="宋体"/>
                <w:szCs w:val="21"/>
              </w:rPr>
            </w:pPr>
            <w:r>
              <w:rPr>
                <w:rFonts w:hint="eastAsia"/>
                <w:szCs w:val="21"/>
              </w:rPr>
              <w:t>现场隐患全部查出</w:t>
            </w:r>
          </w:p>
        </w:tc>
        <w:tc>
          <w:tcPr>
            <w:tcW w:w="1750" w:type="dxa"/>
          </w:tcPr>
          <w:p>
            <w:pPr>
              <w:jc w:val="center"/>
              <w:rPr>
                <w:rFonts w:eastAsia="宋体"/>
                <w:szCs w:val="21"/>
              </w:rPr>
            </w:pPr>
            <w:r>
              <w:rPr>
                <w:rFonts w:hint="eastAsia"/>
                <w:szCs w:val="21"/>
              </w:rPr>
              <w:t>排查出的隐患治理完善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0" w:type="dxa"/>
          </w:tcPr>
          <w:p>
            <w:pPr>
              <w:jc w:val="center"/>
              <w:rPr>
                <w:rFonts w:eastAsia="宋体"/>
                <w:szCs w:val="21"/>
              </w:rPr>
            </w:pPr>
            <w:r>
              <w:rPr>
                <w:rFonts w:hint="eastAsia"/>
                <w:szCs w:val="21"/>
              </w:rPr>
              <w:t>2</w:t>
            </w:r>
          </w:p>
        </w:tc>
        <w:tc>
          <w:tcPr>
            <w:tcW w:w="1750" w:type="dxa"/>
          </w:tcPr>
          <w:p>
            <w:pPr>
              <w:jc w:val="center"/>
              <w:rPr>
                <w:rFonts w:eastAsia="宋体"/>
                <w:szCs w:val="21"/>
              </w:rPr>
            </w:pPr>
            <w:r>
              <w:rPr>
                <w:rFonts w:hint="eastAsia"/>
                <w:szCs w:val="21"/>
              </w:rPr>
              <w:t>辨识基本完善，评价合理</w:t>
            </w:r>
          </w:p>
        </w:tc>
        <w:tc>
          <w:tcPr>
            <w:tcW w:w="1750" w:type="dxa"/>
          </w:tcPr>
          <w:p>
            <w:pPr>
              <w:jc w:val="center"/>
              <w:rPr>
                <w:rFonts w:eastAsia="宋体"/>
                <w:szCs w:val="21"/>
              </w:rPr>
            </w:pPr>
            <w:r>
              <w:rPr>
                <w:rFonts w:hint="eastAsia"/>
                <w:szCs w:val="21"/>
              </w:rPr>
              <w:t>管控措施制定较完善</w:t>
            </w:r>
          </w:p>
        </w:tc>
        <w:tc>
          <w:tcPr>
            <w:tcW w:w="1750" w:type="dxa"/>
          </w:tcPr>
          <w:p>
            <w:pPr>
              <w:jc w:val="center"/>
              <w:rPr>
                <w:rFonts w:eastAsia="宋体"/>
                <w:szCs w:val="21"/>
              </w:rPr>
            </w:pPr>
            <w:r>
              <w:rPr>
                <w:rFonts w:hint="eastAsia"/>
                <w:szCs w:val="21"/>
              </w:rPr>
              <w:t>管控措施基本落实</w:t>
            </w:r>
          </w:p>
        </w:tc>
        <w:tc>
          <w:tcPr>
            <w:tcW w:w="1750" w:type="dxa"/>
          </w:tcPr>
          <w:p>
            <w:pPr>
              <w:jc w:val="center"/>
              <w:rPr>
                <w:rFonts w:eastAsia="宋体"/>
                <w:szCs w:val="21"/>
              </w:rPr>
            </w:pPr>
            <w:r>
              <w:rPr>
                <w:rFonts w:hint="eastAsia"/>
                <w:szCs w:val="21"/>
              </w:rPr>
              <w:t>按照要求开展隐患排查</w:t>
            </w:r>
          </w:p>
        </w:tc>
        <w:tc>
          <w:tcPr>
            <w:tcW w:w="1750" w:type="dxa"/>
          </w:tcPr>
          <w:p>
            <w:pPr>
              <w:jc w:val="center"/>
              <w:rPr>
                <w:rFonts w:eastAsia="宋体"/>
                <w:szCs w:val="21"/>
              </w:rPr>
            </w:pPr>
            <w:r>
              <w:rPr>
                <w:rFonts w:hint="eastAsia"/>
                <w:szCs w:val="21"/>
              </w:rPr>
              <w:t>隐患基本整改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0" w:type="dxa"/>
          </w:tcPr>
          <w:p>
            <w:pPr>
              <w:jc w:val="center"/>
              <w:rPr>
                <w:rFonts w:eastAsia="宋体"/>
                <w:szCs w:val="21"/>
              </w:rPr>
            </w:pPr>
            <w:r>
              <w:rPr>
                <w:rFonts w:hint="eastAsia"/>
                <w:szCs w:val="21"/>
              </w:rPr>
              <w:t>1</w:t>
            </w:r>
          </w:p>
        </w:tc>
        <w:tc>
          <w:tcPr>
            <w:tcW w:w="1750" w:type="dxa"/>
          </w:tcPr>
          <w:p>
            <w:pPr>
              <w:jc w:val="center"/>
              <w:rPr>
                <w:rFonts w:eastAsia="宋体"/>
                <w:szCs w:val="21"/>
              </w:rPr>
            </w:pPr>
            <w:r>
              <w:rPr>
                <w:rFonts w:hint="eastAsia"/>
                <w:szCs w:val="21"/>
              </w:rPr>
              <w:t>辨识不全面，评价不合理</w:t>
            </w:r>
          </w:p>
        </w:tc>
        <w:tc>
          <w:tcPr>
            <w:tcW w:w="1750" w:type="dxa"/>
          </w:tcPr>
          <w:p>
            <w:pPr>
              <w:jc w:val="center"/>
              <w:rPr>
                <w:rFonts w:eastAsia="宋体"/>
                <w:szCs w:val="21"/>
              </w:rPr>
            </w:pPr>
            <w:r>
              <w:rPr>
                <w:rFonts w:hint="eastAsia"/>
                <w:szCs w:val="21"/>
              </w:rPr>
              <w:t>管控措施制定不完善</w:t>
            </w:r>
          </w:p>
        </w:tc>
        <w:tc>
          <w:tcPr>
            <w:tcW w:w="1750" w:type="dxa"/>
          </w:tcPr>
          <w:p>
            <w:pPr>
              <w:jc w:val="center"/>
              <w:rPr>
                <w:rFonts w:eastAsia="宋体"/>
                <w:szCs w:val="21"/>
              </w:rPr>
            </w:pPr>
            <w:r>
              <w:rPr>
                <w:rFonts w:hint="eastAsia"/>
                <w:szCs w:val="21"/>
              </w:rPr>
              <w:t>管控措施未落实</w:t>
            </w:r>
          </w:p>
        </w:tc>
        <w:tc>
          <w:tcPr>
            <w:tcW w:w="1750" w:type="dxa"/>
          </w:tcPr>
          <w:p>
            <w:pPr>
              <w:jc w:val="center"/>
              <w:rPr>
                <w:rFonts w:eastAsia="宋体"/>
                <w:szCs w:val="21"/>
              </w:rPr>
            </w:pPr>
            <w:r>
              <w:rPr>
                <w:rFonts w:hint="eastAsia"/>
                <w:szCs w:val="21"/>
              </w:rPr>
              <w:t>未按要求开展隐患排查</w:t>
            </w:r>
          </w:p>
        </w:tc>
        <w:tc>
          <w:tcPr>
            <w:tcW w:w="1750" w:type="dxa"/>
          </w:tcPr>
          <w:p>
            <w:pPr>
              <w:jc w:val="center"/>
              <w:rPr>
                <w:rFonts w:eastAsia="宋体"/>
                <w:szCs w:val="21"/>
              </w:rPr>
            </w:pPr>
            <w:r>
              <w:rPr>
                <w:rFonts w:hint="eastAsia"/>
                <w:szCs w:val="21"/>
              </w:rPr>
              <w:t>隐患未整改</w:t>
            </w:r>
          </w:p>
        </w:tc>
      </w:tr>
    </w:tbl>
    <w:p>
      <w:pPr>
        <w:ind w:firstLine="560" w:firstLineChars="200"/>
        <w:jc w:val="left"/>
        <w:rPr>
          <w:rFonts w:eastAsia="宋体"/>
          <w:sz w:val="28"/>
          <w:szCs w:val="28"/>
        </w:rPr>
      </w:pPr>
      <w:r>
        <w:rPr>
          <w:rFonts w:hint="eastAsia"/>
          <w:sz w:val="28"/>
          <w:szCs w:val="28"/>
        </w:rPr>
        <w:t>按照上表描述对各车间、班组进行考核，得分13分及以上为优秀，得分11分以上为合格。</w:t>
      </w:r>
    </w:p>
    <w:p>
      <w:pPr>
        <w:ind w:firstLine="560" w:firstLineChars="200"/>
        <w:jc w:val="left"/>
        <w:rPr>
          <w:sz w:val="28"/>
          <w:szCs w:val="28"/>
        </w:rPr>
      </w:pPr>
      <w:bookmarkStart w:id="278" w:name="_Toc24168_WPSOffice_Level2"/>
      <w:bookmarkStart w:id="279" w:name="_Toc28390_WPSOffice_Level2"/>
      <w:bookmarkStart w:id="280" w:name="_Toc8163_WPSOffice_Level2"/>
      <w:r>
        <w:rPr>
          <w:rFonts w:hint="eastAsia"/>
          <w:sz w:val="28"/>
          <w:szCs w:val="28"/>
        </w:rPr>
        <w:t>4 考核频次</w:t>
      </w:r>
      <w:bookmarkEnd w:id="278"/>
      <w:bookmarkEnd w:id="279"/>
      <w:bookmarkEnd w:id="280"/>
    </w:p>
    <w:p>
      <w:pPr>
        <w:ind w:firstLine="560" w:firstLineChars="200"/>
        <w:jc w:val="left"/>
        <w:rPr>
          <w:sz w:val="28"/>
          <w:szCs w:val="28"/>
        </w:rPr>
      </w:pPr>
      <w:r>
        <w:rPr>
          <w:rFonts w:hint="eastAsia"/>
          <w:sz w:val="28"/>
          <w:szCs w:val="28"/>
        </w:rPr>
        <w:t>双重预防体系建设领导小组每月对各车间、班组考核一次。</w:t>
      </w:r>
    </w:p>
    <w:p>
      <w:pPr>
        <w:ind w:firstLine="560" w:firstLineChars="200"/>
        <w:jc w:val="left"/>
        <w:rPr>
          <w:sz w:val="28"/>
          <w:szCs w:val="28"/>
        </w:rPr>
      </w:pPr>
      <w:bookmarkStart w:id="281" w:name="_Toc1915_WPSOffice_Level2"/>
      <w:bookmarkStart w:id="282" w:name="_Toc14802_WPSOffice_Level2"/>
      <w:bookmarkStart w:id="283" w:name="_Toc28201_WPSOffice_Level2"/>
      <w:r>
        <w:rPr>
          <w:rFonts w:hint="eastAsia"/>
          <w:sz w:val="28"/>
          <w:szCs w:val="28"/>
        </w:rPr>
        <w:t>5 考核方法</w:t>
      </w:r>
      <w:bookmarkEnd w:id="281"/>
      <w:bookmarkEnd w:id="282"/>
      <w:bookmarkEnd w:id="283"/>
    </w:p>
    <w:p>
      <w:pPr>
        <w:ind w:firstLine="560" w:firstLineChars="200"/>
        <w:jc w:val="left"/>
        <w:rPr>
          <w:sz w:val="28"/>
          <w:szCs w:val="28"/>
        </w:rPr>
      </w:pPr>
      <w:r>
        <w:rPr>
          <w:rFonts w:hint="eastAsia"/>
          <w:sz w:val="28"/>
          <w:szCs w:val="28"/>
        </w:rPr>
        <w:t>考核分为查现场与查资料。现场主要检查风险点告知情况，风险管控措施落实情况，隐患排查与治理情况。资料主要检查危险源辨识与风险评价记录，制定的风险管控措施；制定的隐患排查清单与隐患排查记录、隐患整改台账。</w:t>
      </w:r>
    </w:p>
    <w:p>
      <w:pPr>
        <w:ind w:firstLine="560" w:firstLineChars="200"/>
        <w:jc w:val="left"/>
        <w:rPr>
          <w:sz w:val="28"/>
          <w:szCs w:val="28"/>
        </w:rPr>
      </w:pPr>
      <w:bookmarkStart w:id="284" w:name="_Toc16721_WPSOffice_Level2"/>
      <w:bookmarkStart w:id="285" w:name="_Toc1288_WPSOffice_Level2"/>
      <w:bookmarkStart w:id="286" w:name="_Toc29003_WPSOffice_Level2"/>
      <w:r>
        <w:rPr>
          <w:rFonts w:hint="eastAsia"/>
          <w:sz w:val="28"/>
          <w:szCs w:val="28"/>
        </w:rPr>
        <w:t>6 奖惩</w:t>
      </w:r>
      <w:bookmarkEnd w:id="284"/>
      <w:bookmarkEnd w:id="285"/>
      <w:bookmarkEnd w:id="286"/>
    </w:p>
    <w:p>
      <w:pPr>
        <w:ind w:firstLine="560" w:firstLineChars="200"/>
        <w:jc w:val="left"/>
        <w:rPr>
          <w:sz w:val="28"/>
          <w:szCs w:val="28"/>
        </w:rPr>
      </w:pPr>
      <w:r>
        <w:rPr>
          <w:rFonts w:hint="eastAsia"/>
          <w:sz w:val="28"/>
          <w:szCs w:val="28"/>
        </w:rPr>
        <w:t>对考核结果为优秀的车间、班组分别予以100元、50元的现金奖励。对考核结果不合格的车间、班组分别予以100元、50元的现金惩罚。</w:t>
      </w:r>
    </w:p>
    <w:p>
      <w:pPr>
        <w:ind w:firstLine="560" w:firstLineChars="200"/>
        <w:jc w:val="left"/>
        <w:rPr>
          <w:sz w:val="28"/>
          <w:szCs w:val="28"/>
        </w:rPr>
      </w:pPr>
      <w:bookmarkStart w:id="287" w:name="_Toc12147_WPSOffice_Level2"/>
      <w:bookmarkStart w:id="288" w:name="_Toc3151_WPSOffice_Level2"/>
      <w:bookmarkStart w:id="289" w:name="_Toc15534_WPSOffice_Level2"/>
      <w:r>
        <w:rPr>
          <w:rFonts w:hint="eastAsia"/>
          <w:sz w:val="28"/>
          <w:szCs w:val="28"/>
        </w:rPr>
        <w:t>7 与工资薪酬挂钩</w:t>
      </w:r>
      <w:bookmarkEnd w:id="287"/>
      <w:bookmarkEnd w:id="288"/>
      <w:bookmarkEnd w:id="289"/>
    </w:p>
    <w:p>
      <w:pPr>
        <w:ind w:firstLine="560" w:firstLineChars="200"/>
        <w:jc w:val="left"/>
        <w:rPr>
          <w:sz w:val="28"/>
          <w:szCs w:val="28"/>
        </w:rPr>
      </w:pPr>
      <w:r>
        <w:rPr>
          <w:rFonts w:hint="eastAsia"/>
          <w:sz w:val="28"/>
          <w:szCs w:val="28"/>
        </w:rPr>
        <w:t>以每年1.1日至12.31日为一周期，在一周期内考核10次以上为优秀，并无不合格情况的车间和班组职工，在下一周期内每人每月加50元工资。在一周期内两次不合格的车间、班组，在下一周期内每人每月减50元工资。</w:t>
      </w:r>
    </w:p>
    <w:p>
      <w:pPr>
        <w:ind w:firstLine="560" w:firstLineChars="200"/>
        <w:jc w:val="left"/>
        <w:rPr>
          <w:rFonts w:eastAsia="宋体"/>
          <w:sz w:val="28"/>
          <w:szCs w:val="28"/>
        </w:rPr>
      </w:pPr>
      <w:bookmarkStart w:id="290" w:name="_Toc15056_WPSOffice_Level2"/>
      <w:bookmarkStart w:id="291" w:name="_Toc10750_WPSOffice_Level2"/>
      <w:bookmarkStart w:id="292" w:name="_Toc12872_WPSOffice_Level2"/>
      <w:r>
        <w:rPr>
          <w:rFonts w:hint="eastAsia"/>
          <w:sz w:val="28"/>
          <w:szCs w:val="28"/>
        </w:rPr>
        <w:t>8 其他规定</w:t>
      </w:r>
      <w:bookmarkEnd w:id="290"/>
      <w:bookmarkEnd w:id="291"/>
      <w:bookmarkEnd w:id="292"/>
    </w:p>
    <w:p>
      <w:pPr>
        <w:ind w:firstLine="560" w:firstLineChars="200"/>
        <w:jc w:val="left"/>
        <w:rPr>
          <w:sz w:val="28"/>
          <w:szCs w:val="28"/>
        </w:rPr>
      </w:pPr>
      <w:r>
        <w:rPr>
          <w:rFonts w:hint="eastAsia"/>
          <w:sz w:val="28"/>
          <w:szCs w:val="28"/>
        </w:rPr>
        <w:t>（1）所罚款项由被罚款人到缴纳，不得摊入生产成本。</w:t>
      </w:r>
    </w:p>
    <w:p>
      <w:pPr>
        <w:ind w:firstLine="560" w:firstLineChars="200"/>
        <w:jc w:val="left"/>
        <w:rPr>
          <w:sz w:val="28"/>
          <w:szCs w:val="28"/>
        </w:rPr>
      </w:pPr>
      <w:r>
        <w:rPr>
          <w:rFonts w:hint="eastAsia"/>
          <w:sz w:val="28"/>
          <w:szCs w:val="28"/>
        </w:rPr>
        <w:t>（2）坚持公平、公正、公开的原则，实事求是进行奖惩，并接受全员监督。</w:t>
      </w:r>
    </w:p>
    <w:p>
      <w:pPr>
        <w:ind w:firstLine="560" w:firstLineChars="200"/>
        <w:jc w:val="left"/>
        <w:rPr>
          <w:sz w:val="28"/>
          <w:szCs w:val="28"/>
        </w:rPr>
      </w:pPr>
      <w:r>
        <w:rPr>
          <w:rFonts w:hint="eastAsia"/>
          <w:sz w:val="28"/>
          <w:szCs w:val="28"/>
        </w:rPr>
        <w:t>（3）安全员负责编制、修订本制度，“双重预防体系”领导小组审核，总经理批准后实施。</w:t>
      </w:r>
    </w:p>
    <w:p>
      <w:pPr>
        <w:ind w:firstLine="560" w:firstLineChars="200"/>
        <w:jc w:val="left"/>
        <w:rPr>
          <w:sz w:val="28"/>
          <w:szCs w:val="28"/>
        </w:rPr>
      </w:pPr>
      <w:r>
        <w:rPr>
          <w:rFonts w:hint="eastAsia"/>
          <w:sz w:val="28"/>
          <w:szCs w:val="28"/>
        </w:rPr>
        <w:t>（4）对“双重预防体系”建设工作，提出合理化建议的部门和个人，每半年至少汇总一次，经相关职能部门评估后，给予200元奖励。</w:t>
      </w:r>
    </w:p>
    <w:p>
      <w:pPr>
        <w:ind w:firstLine="560" w:firstLineChars="200"/>
        <w:jc w:val="left"/>
        <w:rPr>
          <w:sz w:val="28"/>
          <w:szCs w:val="28"/>
        </w:rPr>
      </w:pPr>
      <w:r>
        <w:rPr>
          <w:rFonts w:hint="eastAsia"/>
          <w:sz w:val="28"/>
          <w:szCs w:val="28"/>
        </w:rPr>
        <w:t>（5）由于认真检查，及时发现重大事故隐患，采取有效措施，积极参与抢险救灾，避免重大火灾、爆炸、人身伤亡、装置停产、主要设备损坏以及有其它显著成绩者，奖励200元。</w:t>
      </w:r>
    </w:p>
    <w:p>
      <w:pPr>
        <w:ind w:firstLine="560" w:firstLineChars="200"/>
        <w:jc w:val="left"/>
        <w:rPr>
          <w:sz w:val="28"/>
          <w:szCs w:val="28"/>
        </w:rPr>
        <w:sectPr>
          <w:pgSz w:w="11906" w:h="16838"/>
          <w:pgMar w:top="1440" w:right="1133" w:bottom="1440" w:left="1560" w:header="851" w:footer="992" w:gutter="0"/>
          <w:cols w:space="720" w:num="1"/>
          <w:docGrid w:type="lines" w:linePitch="312" w:charSpace="0"/>
        </w:sectPr>
      </w:pPr>
      <w:r>
        <w:rPr>
          <w:rFonts w:hint="eastAsia"/>
          <w:sz w:val="28"/>
          <w:szCs w:val="28"/>
        </w:rPr>
        <w:t>（6）在发生重大火灾、爆炸事故中，临危不惧，奋勇抢救，保护公司财产和人身安全，避免事故扩大，措施得力，成绩突出者，奖励200元到5000元。</w:t>
      </w:r>
    </w:p>
    <w:p>
      <w:pPr>
        <w:jc w:val="center"/>
        <w:rPr>
          <w:b/>
          <w:bCs/>
          <w:sz w:val="36"/>
          <w:szCs w:val="36"/>
        </w:rPr>
      </w:pPr>
      <w:bookmarkStart w:id="293" w:name="_Toc13195_WPSOffice_Level2"/>
      <w:r>
        <w:rPr>
          <w:rFonts w:hint="eastAsia"/>
          <w:b/>
          <w:bCs/>
          <w:sz w:val="36"/>
          <w:szCs w:val="36"/>
        </w:rPr>
        <w:t>双重预防体系建设考核与奖惩记录</w:t>
      </w:r>
      <w:bookmarkEnd w:id="293"/>
    </w:p>
    <w:p>
      <w:pPr>
        <w:ind w:firstLine="723" w:firstLineChars="200"/>
        <w:jc w:val="center"/>
        <w:rPr>
          <w:b/>
          <w:bCs/>
          <w:sz w:val="36"/>
          <w:szCs w:val="36"/>
        </w:rPr>
      </w:pPr>
    </w:p>
    <w:tbl>
      <w:tblPr>
        <w:tblStyle w:val="14"/>
        <w:tblW w:w="141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214"/>
        <w:gridCol w:w="1423"/>
        <w:gridCol w:w="1515"/>
        <w:gridCol w:w="5011"/>
        <w:gridCol w:w="2103"/>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序号</w:t>
            </w:r>
          </w:p>
        </w:tc>
        <w:tc>
          <w:tcPr>
            <w:tcW w:w="221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被考核单位/</w:t>
            </w:r>
          </w:p>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被考核人</w:t>
            </w:r>
          </w:p>
        </w:tc>
        <w:tc>
          <w:tcPr>
            <w:tcW w:w="142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考核人</w:t>
            </w:r>
          </w:p>
        </w:tc>
        <w:tc>
          <w:tcPr>
            <w:tcW w:w="1515"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考核日期</w:t>
            </w:r>
          </w:p>
        </w:tc>
        <w:tc>
          <w:tcPr>
            <w:tcW w:w="5011"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考核结果</w:t>
            </w:r>
          </w:p>
        </w:tc>
        <w:tc>
          <w:tcPr>
            <w:tcW w:w="210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奖惩情况</w:t>
            </w:r>
          </w:p>
        </w:tc>
        <w:tc>
          <w:tcPr>
            <w:tcW w:w="104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1</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2</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3</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4</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5</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bl>
    <w:p>
      <w:pPr>
        <w:jc w:val="center"/>
        <w:rPr>
          <w:b/>
          <w:bCs/>
          <w:sz w:val="36"/>
          <w:szCs w:val="36"/>
        </w:rPr>
      </w:pPr>
      <w:r>
        <w:rPr>
          <w:rFonts w:hint="eastAsia" w:ascii="宋体" w:hAnsi="宋体" w:eastAsia="宋体" w:cs="宋体"/>
          <w:color w:val="000000"/>
          <w:sz w:val="28"/>
          <w:szCs w:val="28"/>
        </w:rPr>
        <w:br w:type="page"/>
      </w:r>
      <w:bookmarkStart w:id="294" w:name="_Toc31969_WPSOffice_Level2"/>
      <w:bookmarkStart w:id="295" w:name="_Toc8828_WPSOffice_Level2"/>
      <w:r>
        <w:rPr>
          <w:rFonts w:hint="eastAsia"/>
          <w:b/>
          <w:bCs/>
          <w:sz w:val="36"/>
          <w:szCs w:val="36"/>
        </w:rPr>
        <w:t>双重预防体系建设考核与奖惩记录</w:t>
      </w:r>
      <w:bookmarkEnd w:id="294"/>
      <w:bookmarkEnd w:id="295"/>
    </w:p>
    <w:p>
      <w:pPr>
        <w:ind w:firstLine="723" w:firstLineChars="200"/>
        <w:jc w:val="center"/>
        <w:rPr>
          <w:b/>
          <w:bCs/>
          <w:sz w:val="36"/>
          <w:szCs w:val="36"/>
        </w:rPr>
      </w:pPr>
    </w:p>
    <w:tbl>
      <w:tblPr>
        <w:tblStyle w:val="14"/>
        <w:tblW w:w="141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214"/>
        <w:gridCol w:w="1423"/>
        <w:gridCol w:w="1515"/>
        <w:gridCol w:w="5011"/>
        <w:gridCol w:w="2103"/>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序号</w:t>
            </w:r>
          </w:p>
        </w:tc>
        <w:tc>
          <w:tcPr>
            <w:tcW w:w="221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被考核单位/</w:t>
            </w:r>
          </w:p>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被考核人</w:t>
            </w:r>
          </w:p>
        </w:tc>
        <w:tc>
          <w:tcPr>
            <w:tcW w:w="142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考核人</w:t>
            </w:r>
          </w:p>
        </w:tc>
        <w:tc>
          <w:tcPr>
            <w:tcW w:w="1515"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考核日期</w:t>
            </w:r>
          </w:p>
        </w:tc>
        <w:tc>
          <w:tcPr>
            <w:tcW w:w="5011"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考核结果</w:t>
            </w:r>
          </w:p>
        </w:tc>
        <w:tc>
          <w:tcPr>
            <w:tcW w:w="210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奖惩情况</w:t>
            </w:r>
          </w:p>
        </w:tc>
        <w:tc>
          <w:tcPr>
            <w:tcW w:w="104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1</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2</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3</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4</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5</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bl>
    <w:p>
      <w:pPr>
        <w:rPr>
          <w:rFonts w:ascii="宋体" w:hAnsi="宋体" w:eastAsia="宋体" w:cs="宋体"/>
          <w:color w:val="000000"/>
          <w:sz w:val="28"/>
          <w:szCs w:val="28"/>
        </w:rPr>
      </w:pPr>
      <w:r>
        <w:rPr>
          <w:rFonts w:hint="eastAsia" w:ascii="宋体" w:hAnsi="宋体" w:eastAsia="宋体" w:cs="宋体"/>
          <w:color w:val="000000"/>
          <w:sz w:val="28"/>
          <w:szCs w:val="28"/>
        </w:rPr>
        <w:br w:type="page"/>
      </w:r>
    </w:p>
    <w:p>
      <w:pPr>
        <w:jc w:val="center"/>
        <w:rPr>
          <w:b/>
          <w:bCs/>
          <w:sz w:val="36"/>
          <w:szCs w:val="36"/>
        </w:rPr>
      </w:pPr>
      <w:bookmarkStart w:id="296" w:name="_Toc25887_WPSOffice_Level2"/>
      <w:bookmarkStart w:id="297" w:name="_Toc29351_WPSOffice_Level2"/>
      <w:r>
        <w:rPr>
          <w:rFonts w:hint="eastAsia"/>
          <w:b/>
          <w:bCs/>
          <w:sz w:val="36"/>
          <w:szCs w:val="36"/>
        </w:rPr>
        <w:t>双重预防体系建设考核与奖惩记录</w:t>
      </w:r>
      <w:bookmarkEnd w:id="296"/>
      <w:bookmarkEnd w:id="297"/>
    </w:p>
    <w:p>
      <w:pPr>
        <w:ind w:firstLine="723" w:firstLineChars="200"/>
        <w:jc w:val="center"/>
        <w:rPr>
          <w:b/>
          <w:bCs/>
          <w:sz w:val="36"/>
          <w:szCs w:val="36"/>
        </w:rPr>
      </w:pPr>
    </w:p>
    <w:tbl>
      <w:tblPr>
        <w:tblStyle w:val="14"/>
        <w:tblW w:w="141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214"/>
        <w:gridCol w:w="1423"/>
        <w:gridCol w:w="1515"/>
        <w:gridCol w:w="5011"/>
        <w:gridCol w:w="2103"/>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序号</w:t>
            </w:r>
          </w:p>
        </w:tc>
        <w:tc>
          <w:tcPr>
            <w:tcW w:w="221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被考核单位/</w:t>
            </w:r>
          </w:p>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被考核人</w:t>
            </w:r>
          </w:p>
        </w:tc>
        <w:tc>
          <w:tcPr>
            <w:tcW w:w="142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考核人</w:t>
            </w:r>
          </w:p>
        </w:tc>
        <w:tc>
          <w:tcPr>
            <w:tcW w:w="1515"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考核日期</w:t>
            </w:r>
          </w:p>
        </w:tc>
        <w:tc>
          <w:tcPr>
            <w:tcW w:w="5011"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考核结果</w:t>
            </w:r>
          </w:p>
        </w:tc>
        <w:tc>
          <w:tcPr>
            <w:tcW w:w="210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奖惩情况</w:t>
            </w:r>
          </w:p>
        </w:tc>
        <w:tc>
          <w:tcPr>
            <w:tcW w:w="104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1</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2</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3</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4</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5</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bl>
    <w:p>
      <w:pPr>
        <w:rPr>
          <w:rFonts w:ascii="宋体" w:hAnsi="宋体" w:eastAsia="宋体" w:cs="宋体"/>
          <w:color w:val="000000"/>
          <w:sz w:val="28"/>
          <w:szCs w:val="28"/>
        </w:rPr>
        <w:sectPr>
          <w:pgSz w:w="16838" w:h="11906" w:orient="landscape"/>
          <w:pgMar w:top="1560" w:right="1440" w:bottom="1133" w:left="1440" w:header="851" w:footer="992" w:gutter="0"/>
          <w:cols w:space="720" w:num="1"/>
          <w:docGrid w:type="lines" w:linePitch="312" w:charSpace="0"/>
        </w:sectPr>
      </w:pPr>
      <w:r>
        <w:rPr>
          <w:rFonts w:hint="eastAsia" w:ascii="宋体" w:hAnsi="宋体" w:eastAsia="宋体" w:cs="宋体"/>
          <w:color w:val="000000"/>
          <w:sz w:val="28"/>
          <w:szCs w:val="28"/>
        </w:rPr>
        <w:br w:type="page"/>
      </w:r>
    </w:p>
    <w:p>
      <w:pPr>
        <w:adjustRightInd w:val="0"/>
        <w:snapToGrid w:val="0"/>
        <w:spacing w:line="360" w:lineRule="auto"/>
        <w:jc w:val="center"/>
        <w:rPr>
          <w:rFonts w:ascii="宋体" w:hAnsi="宋体"/>
          <w:b/>
          <w:bCs/>
          <w:sz w:val="36"/>
          <w:szCs w:val="36"/>
        </w:rPr>
      </w:pPr>
    </w:p>
    <w:p>
      <w:pPr>
        <w:pStyle w:val="2"/>
      </w:pPr>
      <w:bookmarkStart w:id="298" w:name="_Toc11781"/>
      <w:bookmarkStart w:id="299" w:name="_Toc2976_WPSOffice_Level2"/>
      <w:r>
        <w:rPr>
          <w:rFonts w:hint="eastAsia"/>
        </w:rPr>
        <w:t>安全风险分级管控作业指导书</w:t>
      </w:r>
      <w:bookmarkEnd w:id="298"/>
      <w:bookmarkEnd w:id="299"/>
    </w:p>
    <w:p>
      <w:pPr>
        <w:adjustRightInd w:val="0"/>
        <w:snapToGrid w:val="0"/>
        <w:spacing w:line="360" w:lineRule="auto"/>
        <w:jc w:val="center"/>
        <w:rPr>
          <w:rFonts w:ascii="宋体" w:hAnsi="宋体"/>
          <w:b/>
          <w:bCs/>
          <w:sz w:val="36"/>
          <w:szCs w:val="36"/>
        </w:rPr>
      </w:pPr>
    </w:p>
    <w:p>
      <w:pPr>
        <w:pStyle w:val="3"/>
        <w:spacing w:before="156" w:after="156"/>
        <w:rPr>
          <w:bCs/>
        </w:rPr>
      </w:pPr>
      <w:bookmarkStart w:id="300" w:name="_Toc30820_WPSOffice_Level2"/>
      <w:bookmarkStart w:id="301" w:name="_Toc11779"/>
      <w:bookmarkStart w:id="302" w:name="_Toc8014"/>
      <w:bookmarkStart w:id="303" w:name="_Toc11543_WPSOffice_Level2"/>
      <w:bookmarkStart w:id="304" w:name="_Toc1725_WPSOffice_Level2"/>
      <w:bookmarkStart w:id="305" w:name="_Toc11219_WPSOffice_Level2"/>
      <w:bookmarkStart w:id="306" w:name="_Toc6682_WPSOffice_Level2"/>
      <w:bookmarkStart w:id="307" w:name="_Toc17149_WPSOffice_Level2"/>
      <w:r>
        <w:rPr>
          <w:rFonts w:hint="eastAsia"/>
        </w:rPr>
        <w:t>1.适用范围</w:t>
      </w:r>
      <w:bookmarkEnd w:id="300"/>
      <w:bookmarkEnd w:id="301"/>
      <w:bookmarkEnd w:id="302"/>
      <w:bookmarkEnd w:id="303"/>
      <w:bookmarkEnd w:id="304"/>
      <w:bookmarkEnd w:id="305"/>
      <w:bookmarkEnd w:id="306"/>
      <w:bookmarkEnd w:id="307"/>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本方案规定了本公司风险分级管控体系建设的术语和定义、基本程序、风险识别评价、档案记录、分级管控效果、持续改进等内容。</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本方案适用于本公司范围内的</w:t>
      </w:r>
      <w:r>
        <w:rPr>
          <w:rFonts w:hint="eastAsia" w:ascii="宋体" w:hAnsi="宋体" w:eastAsia="宋体" w:cs="宋体"/>
          <w:color w:val="000000"/>
          <w:sz w:val="28"/>
          <w:szCs w:val="28"/>
        </w:rPr>
        <w:t>风险识别、评价、分级、管控</w:t>
      </w:r>
      <w:r>
        <w:rPr>
          <w:rFonts w:hint="eastAsia" w:ascii="宋体" w:hAnsi="宋体" w:eastAsia="宋体" w:cs="宋体"/>
          <w:sz w:val="28"/>
          <w:szCs w:val="28"/>
        </w:rPr>
        <w:t>工作。</w:t>
      </w:r>
    </w:p>
    <w:p>
      <w:pPr>
        <w:pStyle w:val="3"/>
        <w:spacing w:before="156" w:after="156"/>
      </w:pPr>
      <w:bookmarkStart w:id="308" w:name="_Toc15989_WPSOffice_Level2"/>
      <w:bookmarkStart w:id="309" w:name="_Toc31229_WPSOffice_Level2"/>
      <w:bookmarkStart w:id="310" w:name="_Toc25176_WPSOffice_Level2"/>
      <w:bookmarkStart w:id="311" w:name="_Toc5467"/>
      <w:bookmarkStart w:id="312" w:name="_Toc20800_WPSOffice_Level2"/>
      <w:bookmarkStart w:id="313" w:name="_Toc4680"/>
      <w:bookmarkStart w:id="314" w:name="_Toc17498_WPSOffice_Level2"/>
      <w:bookmarkStart w:id="315" w:name="_Toc4464_WPSOffice_Level2"/>
      <w:r>
        <w:rPr>
          <w:rFonts w:hint="eastAsia"/>
        </w:rPr>
        <w:t>2.规范性引用文件</w:t>
      </w:r>
      <w:bookmarkEnd w:id="308"/>
      <w:bookmarkEnd w:id="309"/>
      <w:bookmarkEnd w:id="310"/>
      <w:bookmarkEnd w:id="311"/>
      <w:bookmarkEnd w:id="312"/>
      <w:bookmarkEnd w:id="313"/>
      <w:bookmarkEnd w:id="314"/>
      <w:bookmarkEnd w:id="315"/>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《中华人民共和共安全生产法》（主席令第13号）</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《山东省安全生产条例》（山东省人大常委会公告第168号）</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《山东省落实生产经营单位安全生产主体责任规定（修改稿）》（山东省人民政府令</w:t>
      </w:r>
      <w:r>
        <w:rPr>
          <w:rFonts w:hint="eastAsia" w:ascii="宋体" w:hAnsi="宋体" w:eastAsia="宋体" w:cs="宋体"/>
          <w:sz w:val="28"/>
          <w:szCs w:val="28"/>
          <w:lang w:eastAsia="zh-CN"/>
        </w:rPr>
        <w:t>202X</w:t>
      </w:r>
      <w:r>
        <w:rPr>
          <w:rFonts w:hint="eastAsia" w:ascii="宋体" w:hAnsi="宋体" w:eastAsia="宋体" w:cs="宋体"/>
          <w:sz w:val="28"/>
          <w:szCs w:val="28"/>
        </w:rPr>
        <w:t>年第311号）</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《企业职工伤亡事故分类标准》（GB6441-86）</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《生产过程危险和有害因素分类与代码》（GB/T13861-2009）</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《山东省安全生产风险分级管控体系通则》（DB37/T2882-2016)</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w:t>
      </w:r>
      <w:bookmarkStart w:id="316" w:name="StandardName"/>
      <w:r>
        <w:rPr>
          <w:rFonts w:hint="eastAsia" w:ascii="宋体" w:hAnsi="宋体" w:eastAsia="宋体" w:cs="宋体"/>
          <w:sz w:val="28"/>
          <w:szCs w:val="28"/>
        </w:rPr>
        <w:t>工贸企业安全生产风险分级管控体系细则</w:t>
      </w:r>
      <w:bookmarkEnd w:id="316"/>
      <w:r>
        <w:rPr>
          <w:rFonts w:hint="eastAsia" w:ascii="宋体" w:hAnsi="宋体" w:eastAsia="宋体" w:cs="宋体"/>
          <w:sz w:val="28"/>
          <w:szCs w:val="28"/>
        </w:rPr>
        <w:t>》（DB37/T2974-2017）</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其他安全生产相关法规、标准、相关政策以及安全生产管理制度等。</w:t>
      </w:r>
    </w:p>
    <w:p>
      <w:pPr>
        <w:pStyle w:val="3"/>
        <w:spacing w:before="156" w:after="156"/>
      </w:pPr>
      <w:bookmarkStart w:id="317" w:name="_Toc9151_WPSOffice_Level2"/>
      <w:bookmarkStart w:id="318" w:name="_Toc27596"/>
      <w:bookmarkStart w:id="319" w:name="_Toc29355_WPSOffice_Level2"/>
      <w:bookmarkStart w:id="320" w:name="_Toc20966_WPSOffice_Level2"/>
      <w:bookmarkStart w:id="321" w:name="_Toc30136_WPSOffice_Level2"/>
      <w:bookmarkStart w:id="322" w:name="_Toc12390_WPSOffice_Level2"/>
      <w:bookmarkStart w:id="323" w:name="_Toc21706"/>
      <w:bookmarkStart w:id="324" w:name="_Toc12956_WPSOffice_Level2"/>
      <w:r>
        <w:rPr>
          <w:rFonts w:hint="eastAsia"/>
        </w:rPr>
        <w:t>3.术语和定义</w:t>
      </w:r>
      <w:bookmarkEnd w:id="317"/>
      <w:bookmarkEnd w:id="318"/>
      <w:bookmarkEnd w:id="319"/>
      <w:bookmarkEnd w:id="320"/>
      <w:bookmarkEnd w:id="321"/>
      <w:bookmarkEnd w:id="322"/>
      <w:bookmarkEnd w:id="323"/>
      <w:bookmarkEnd w:id="324"/>
    </w:p>
    <w:p>
      <w:pPr>
        <w:pStyle w:val="3"/>
        <w:spacing w:before="156" w:after="156"/>
      </w:pPr>
      <w:bookmarkStart w:id="325" w:name="_Toc28775"/>
      <w:bookmarkStart w:id="326" w:name="_Toc316"/>
      <w:r>
        <w:rPr>
          <w:rFonts w:hint="eastAsia"/>
        </w:rPr>
        <w:t>3.1风险</w:t>
      </w:r>
      <w:bookmarkEnd w:id="325"/>
      <w:bookmarkEnd w:id="32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发生危险事件或危害暴露的可能性，与随之引发的人身伤害或健康损害的严重性的组合。</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风险＝可能性×严重性。</w:t>
      </w:r>
    </w:p>
    <w:p>
      <w:pPr>
        <w:pStyle w:val="3"/>
        <w:spacing w:before="156" w:after="156"/>
      </w:pPr>
      <w:bookmarkStart w:id="327" w:name="_Toc5075"/>
      <w:bookmarkStart w:id="328" w:name="_Toc31763"/>
      <w:r>
        <w:rPr>
          <w:rFonts w:hint="eastAsia"/>
        </w:rPr>
        <w:t>3.2危险源</w:t>
      </w:r>
      <w:bookmarkEnd w:id="327"/>
      <w:bookmarkEnd w:id="32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可能导致人员伤害和（或）健康损害的根源、状态或行为，或它们的组合。</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危险源的构成：</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--根源：具有能量或产生、释放能量的物理实体。如机械设备、电气设备、压力容器等等。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--行为：决策人员、管理人员以及从业人员的决策行为、管理行为以及作业行为。</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--状态：包括物的状态和作业环境的状态。</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风险是危险源的属性，危险源是风险的载体。</w:t>
      </w:r>
    </w:p>
    <w:p>
      <w:pPr>
        <w:pStyle w:val="3"/>
        <w:spacing w:before="156" w:after="156"/>
      </w:pPr>
      <w:bookmarkStart w:id="329" w:name="_Toc2502"/>
      <w:bookmarkStart w:id="330" w:name="_Toc10166"/>
      <w:r>
        <w:rPr>
          <w:rFonts w:hint="eastAsia"/>
        </w:rPr>
        <w:t>3.3风险点</w:t>
      </w:r>
      <w:bookmarkEnd w:id="329"/>
      <w:bookmarkEnd w:id="330"/>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风险伴随的设施、部位、场所和区域，以及在设施、部位、场所和区域实施的伴随风险的作业活动，或它们的组合。</w:t>
      </w:r>
    </w:p>
    <w:p>
      <w:pPr>
        <w:pStyle w:val="3"/>
        <w:spacing w:before="156" w:after="156"/>
      </w:pPr>
      <w:bookmarkStart w:id="331" w:name="_Toc22975"/>
      <w:bookmarkStart w:id="332" w:name="_Toc5879"/>
      <w:r>
        <w:rPr>
          <w:rFonts w:hint="eastAsia"/>
        </w:rPr>
        <w:t>3.4风险辨识</w:t>
      </w:r>
      <w:bookmarkEnd w:id="331"/>
      <w:bookmarkEnd w:id="332"/>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风险辨识是识别组织整个范围内所有存在的风险并确定其特性的过程。</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危险源辨识是识别危险源的存在并确定其特性的过程。</w:t>
      </w:r>
    </w:p>
    <w:p>
      <w:pPr>
        <w:pStyle w:val="3"/>
        <w:spacing w:before="156" w:after="156"/>
      </w:pPr>
      <w:bookmarkStart w:id="333" w:name="_Toc31161"/>
      <w:bookmarkStart w:id="334" w:name="_Toc32509"/>
      <w:r>
        <w:rPr>
          <w:rFonts w:hint="eastAsia"/>
        </w:rPr>
        <w:t>3.5风险评价</w:t>
      </w:r>
      <w:bookmarkEnd w:id="333"/>
      <w:bookmarkEnd w:id="334"/>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对危险源导致的风险进行评估、对现有控制措施的充分性加以考虑以及对风险是否可接受予以确定的过程。</w:t>
      </w:r>
    </w:p>
    <w:p>
      <w:pPr>
        <w:pStyle w:val="3"/>
        <w:spacing w:before="156" w:after="156"/>
      </w:pPr>
      <w:bookmarkStart w:id="335" w:name="_Toc10467"/>
      <w:bookmarkStart w:id="336" w:name="_Toc27368"/>
      <w:r>
        <w:rPr>
          <w:rFonts w:hint="eastAsia"/>
        </w:rPr>
        <w:t>3.6风险分级</w:t>
      </w:r>
      <w:bookmarkEnd w:id="335"/>
      <w:bookmarkEnd w:id="33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采用科学方法对危险源所伴随的风险进行定量或定性评价，对评价结果进行划分等级。（根据有关文件及标准，我省风险定为“</w:t>
      </w:r>
      <w:r>
        <w:rPr>
          <w:rFonts w:hint="eastAsia" w:ascii="宋体" w:hAnsi="宋体" w:eastAsia="宋体" w:cs="宋体"/>
          <w:sz w:val="28"/>
          <w:szCs w:val="28"/>
          <w:shd w:val="clear" w:color="auto" w:fill="FF0000"/>
        </w:rPr>
        <w:t>红</w:t>
      </w:r>
      <w:r>
        <w:rPr>
          <w:rFonts w:hint="eastAsia" w:ascii="宋体" w:hAnsi="宋体" w:eastAsia="宋体" w:cs="宋体"/>
          <w:sz w:val="28"/>
          <w:szCs w:val="28"/>
        </w:rPr>
        <w:t>、</w:t>
      </w:r>
      <w:r>
        <w:rPr>
          <w:rFonts w:hint="eastAsia" w:ascii="宋体" w:hAnsi="宋体" w:eastAsia="宋体" w:cs="宋体"/>
          <w:sz w:val="28"/>
          <w:szCs w:val="28"/>
          <w:shd w:val="clear" w:color="auto" w:fill="A83A1C"/>
        </w:rPr>
        <w:t>橙</w:t>
      </w:r>
      <w:r>
        <w:rPr>
          <w:rFonts w:hint="eastAsia" w:ascii="宋体" w:hAnsi="宋体" w:eastAsia="宋体" w:cs="宋体"/>
          <w:sz w:val="28"/>
          <w:szCs w:val="28"/>
        </w:rPr>
        <w:t>、</w:t>
      </w:r>
      <w:r>
        <w:rPr>
          <w:rFonts w:hint="eastAsia" w:ascii="宋体" w:hAnsi="宋体" w:eastAsia="宋体" w:cs="宋体"/>
          <w:sz w:val="28"/>
          <w:szCs w:val="28"/>
          <w:shd w:val="clear" w:color="auto" w:fill="FFFF00"/>
        </w:rPr>
        <w:t>黄</w:t>
      </w:r>
      <w:r>
        <w:rPr>
          <w:rFonts w:hint="eastAsia" w:ascii="宋体" w:hAnsi="宋体" w:eastAsia="宋体" w:cs="宋体"/>
          <w:sz w:val="28"/>
          <w:szCs w:val="28"/>
        </w:rPr>
        <w:t>、</w:t>
      </w:r>
      <w:r>
        <w:rPr>
          <w:rFonts w:hint="eastAsia" w:ascii="宋体" w:hAnsi="宋体" w:eastAsia="宋体" w:cs="宋体"/>
          <w:sz w:val="28"/>
          <w:szCs w:val="28"/>
          <w:shd w:val="clear" w:color="auto" w:fill="0070C0"/>
        </w:rPr>
        <w:t>蓝</w:t>
      </w:r>
      <w:r>
        <w:rPr>
          <w:rFonts w:hint="eastAsia" w:ascii="宋体" w:hAnsi="宋体" w:eastAsia="宋体" w:cs="宋体"/>
          <w:sz w:val="28"/>
          <w:szCs w:val="28"/>
        </w:rPr>
        <w:t>四级。）</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shd w:val="clear" w:color="auto" w:fill="0070C0"/>
        </w:rPr>
        <w:t>蓝色风险</w:t>
      </w:r>
      <w:r>
        <w:rPr>
          <w:rFonts w:hint="eastAsia" w:ascii="宋体" w:hAnsi="宋体" w:eastAsia="宋体" w:cs="宋体"/>
          <w:sz w:val="28"/>
          <w:szCs w:val="28"/>
        </w:rPr>
        <w:t>\4级风险：低风险，可以接受（或可容许的）。车间、科室应引起关注。</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shd w:val="clear" w:color="auto" w:fill="FFFF00"/>
        </w:rPr>
        <w:t>黄色风险</w:t>
      </w:r>
      <w:r>
        <w:rPr>
          <w:rFonts w:hint="eastAsia" w:ascii="宋体" w:hAnsi="宋体" w:eastAsia="宋体" w:cs="宋体"/>
          <w:sz w:val="28"/>
          <w:szCs w:val="28"/>
        </w:rPr>
        <w:t>\3级风险：一般风险，需要控制整改。公司、部室（车间上级单位）应引起关注。</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shd w:val="clear" w:color="auto" w:fill="A83A1C"/>
        </w:rPr>
        <w:t>橙色风险</w:t>
      </w:r>
      <w:r>
        <w:rPr>
          <w:rFonts w:hint="eastAsia" w:ascii="宋体" w:hAnsi="宋体" w:eastAsia="宋体" w:cs="宋体"/>
          <w:sz w:val="28"/>
          <w:szCs w:val="28"/>
        </w:rPr>
        <w:t>\2级风险：较大风险，必须制定措施进行控制管理。公司对重大及以上风险危害因素应重点控制管理。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shd w:val="clear" w:color="auto" w:fill="FF0000"/>
        </w:rPr>
        <w:t>红色风险</w:t>
      </w:r>
      <w:r>
        <w:rPr>
          <w:rFonts w:hint="eastAsia" w:ascii="宋体" w:hAnsi="宋体" w:eastAsia="宋体" w:cs="宋体"/>
          <w:sz w:val="28"/>
          <w:szCs w:val="28"/>
        </w:rPr>
        <w:t>\1级风险：重大风险，极其危险，必须立即整改，不能继续作业。</w:t>
      </w:r>
    </w:p>
    <w:p>
      <w:pPr>
        <w:pStyle w:val="3"/>
        <w:spacing w:before="156" w:after="156"/>
      </w:pPr>
      <w:bookmarkStart w:id="337" w:name="_Toc25000"/>
      <w:bookmarkStart w:id="338" w:name="_Toc6782"/>
      <w:r>
        <w:rPr>
          <w:rFonts w:hint="eastAsia"/>
        </w:rPr>
        <w:t>3.7风险管控</w:t>
      </w:r>
      <w:bookmarkEnd w:id="337"/>
      <w:bookmarkEnd w:id="33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根据风险评估结果及经营运行情况等，确定不可接受的风险，制定并落实控制措施，将风险尤其是重大风险控制在可以接受的程度。</w:t>
      </w:r>
      <w:bookmarkStart w:id="339" w:name="_Toc475106662"/>
      <w:bookmarkStart w:id="340" w:name="_Toc475539129"/>
      <w:r>
        <w:rPr>
          <w:rFonts w:hint="eastAsia" w:ascii="宋体" w:hAnsi="宋体" w:eastAsia="宋体" w:cs="宋体"/>
          <w:sz w:val="28"/>
          <w:szCs w:val="28"/>
        </w:rPr>
        <w:t>风险控制措施应考虑可行性、可靠性、先进性、安全性、经济合理性、经营运行情况及可靠的技术保证。</w:t>
      </w:r>
      <w:bookmarkEnd w:id="339"/>
      <w:bookmarkEnd w:id="340"/>
      <w:bookmarkStart w:id="341" w:name="_Toc475106663"/>
      <w:bookmarkStart w:id="342" w:name="_Toc475539130"/>
      <w:r>
        <w:rPr>
          <w:rFonts w:hint="eastAsia" w:ascii="宋体" w:hAnsi="宋体" w:eastAsia="宋体" w:cs="宋体"/>
          <w:sz w:val="28"/>
          <w:szCs w:val="28"/>
        </w:rPr>
        <w:t>风险控制措施应从工程技术（或工程控制）措施、管理措施、培训教育、个体防护、应急处置等方面识别并评估现有控制措施的有效性。现有控制措施不足以控制此项风险，应提出建议或改进的控制措施。</w:t>
      </w:r>
      <w:bookmarkEnd w:id="341"/>
      <w:bookmarkEnd w:id="342"/>
      <w:bookmarkStart w:id="343" w:name="_Toc475539134"/>
      <w:bookmarkStart w:id="344" w:name="_Toc475106667"/>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风险控制措施应在实施前针对以下内容进行评审（DB37/T 2882—2016第6.5.2.2）：</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 xml:space="preserve">——措施的可行性和有效性； </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——是否使风险降低至可接受风险；</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 xml:space="preserve">——是否产生新的危险源或危险有害因素； </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——是否已选定最佳的解决方案</w:t>
      </w:r>
      <w:bookmarkEnd w:id="343"/>
      <w:bookmarkEnd w:id="344"/>
      <w:r>
        <w:rPr>
          <w:rFonts w:hint="eastAsia" w:ascii="宋体" w:hAnsi="宋体" w:eastAsia="宋体" w:cs="宋体"/>
          <w:color w:val="000000"/>
          <w:sz w:val="28"/>
          <w:szCs w:val="28"/>
        </w:rPr>
        <w:t>。</w:t>
      </w:r>
    </w:p>
    <w:p>
      <w:pPr>
        <w:pStyle w:val="3"/>
        <w:spacing w:before="156" w:after="156"/>
      </w:pPr>
      <w:bookmarkStart w:id="345" w:name="_Toc825"/>
      <w:bookmarkStart w:id="346" w:name="_Toc6765"/>
      <w:r>
        <w:rPr>
          <w:rFonts w:hint="eastAsia"/>
        </w:rPr>
        <w:t>3.8风险信息</w:t>
      </w:r>
      <w:bookmarkEnd w:id="345"/>
      <w:bookmarkEnd w:id="34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是指包括危险源名称、类型、存在位置、当前状态以及伴随风险大小、等级、所需管控措施等一系列信息的综合。</w:t>
      </w:r>
    </w:p>
    <w:p>
      <w:pPr>
        <w:pStyle w:val="3"/>
        <w:spacing w:before="156" w:after="156"/>
      </w:pPr>
      <w:bookmarkStart w:id="347" w:name="_Toc11796"/>
      <w:bookmarkStart w:id="348" w:name="_Toc25918"/>
      <w:r>
        <w:rPr>
          <w:rFonts w:hint="eastAsia"/>
        </w:rPr>
        <w:t>3.9重大风险</w:t>
      </w:r>
      <w:bookmarkEnd w:id="347"/>
      <w:bookmarkEnd w:id="34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是指具有发生事故的极大可能性或发生事故后产生严重后果，或者二者的结合的风险。</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 xml:space="preserve">需通过工程技术措施和（或）技术改造才能控制的风险，应制定控制该类风险的目标，并为实现目标制定方案。 </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属于经常性或周期性工作中的不可接受风险，不需要通过工程技术措施，但需要制定新的文件（程序或作业文件）或修订原来的文件,文件中应明确规定对该种风险的有效控制措施，并在实践中落实这些措施。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对于某些重大风险，可同时采取以上两项措施。（DB37/T 2882—2016第6.5.3）</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不同级别的风险要结合实际采取一种或多种措施进行控制，直至风险可以接受</w:t>
      </w:r>
    </w:p>
    <w:p>
      <w:pPr>
        <w:pStyle w:val="3"/>
        <w:spacing w:before="156" w:after="156"/>
      </w:pPr>
      <w:bookmarkStart w:id="349" w:name="_Toc26499"/>
      <w:bookmarkStart w:id="350" w:name="_Toc9077"/>
      <w:r>
        <w:rPr>
          <w:rFonts w:hint="eastAsia"/>
        </w:rPr>
        <w:t>4基本要求</w:t>
      </w:r>
      <w:bookmarkEnd w:id="349"/>
      <w:bookmarkEnd w:id="350"/>
    </w:p>
    <w:p>
      <w:pPr>
        <w:pStyle w:val="3"/>
        <w:spacing w:before="156" w:after="156"/>
      </w:pPr>
      <w:bookmarkStart w:id="351" w:name="_Toc23536"/>
      <w:bookmarkStart w:id="352" w:name="_Toc15868"/>
      <w:r>
        <w:rPr>
          <w:rFonts w:hint="eastAsia"/>
        </w:rPr>
        <w:t>4.1成立组织机构</w:t>
      </w:r>
      <w:bookmarkEnd w:id="351"/>
      <w:bookmarkEnd w:id="352"/>
    </w:p>
    <w:p>
      <w:pPr>
        <w:pStyle w:val="4"/>
      </w:pPr>
      <w:bookmarkStart w:id="353" w:name="_Toc15962"/>
      <w:bookmarkStart w:id="354" w:name="_Toc13946"/>
      <w:r>
        <w:rPr>
          <w:rFonts w:hint="eastAsia"/>
        </w:rPr>
        <w:t>4.1.1主管部门</w:t>
      </w:r>
      <w:bookmarkEnd w:id="353"/>
      <w:bookmarkEnd w:id="354"/>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本公司危险源辨识、风险评价和分级管控的主管部门为本公司双重预防体系办公室。</w:t>
      </w:r>
    </w:p>
    <w:p>
      <w:pPr>
        <w:pStyle w:val="4"/>
      </w:pPr>
      <w:bookmarkStart w:id="355" w:name="_Toc18356"/>
      <w:bookmarkStart w:id="356" w:name="_Toc1402"/>
      <w:r>
        <w:rPr>
          <w:rFonts w:hint="eastAsia"/>
        </w:rPr>
        <w:t>4.1.2风险分级管控体系建设领导小组成员</w:t>
      </w:r>
      <w:bookmarkEnd w:id="355"/>
      <w:bookmarkEnd w:id="35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组  长：XX</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副组长：XX</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成  员：XX、XX、XX</w:t>
      </w:r>
    </w:p>
    <w:p>
      <w:pPr>
        <w:pStyle w:val="4"/>
      </w:pPr>
      <w:bookmarkStart w:id="357" w:name="_Toc6294"/>
      <w:bookmarkStart w:id="358" w:name="_Toc28467"/>
      <w:r>
        <w:rPr>
          <w:rFonts w:hint="eastAsia"/>
        </w:rPr>
        <w:t>4.2职责</w:t>
      </w:r>
      <w:bookmarkEnd w:id="357"/>
      <w:bookmarkEnd w:id="358"/>
    </w:p>
    <w:p>
      <w:pPr>
        <w:spacing w:line="360" w:lineRule="auto"/>
        <w:ind w:left="1124" w:hanging="1124" w:hangingChars="400"/>
        <w:rPr>
          <w:sz w:val="28"/>
          <w:szCs w:val="28"/>
        </w:rPr>
      </w:pPr>
      <w:bookmarkStart w:id="359" w:name="_Toc31282"/>
      <w:r>
        <w:rPr>
          <w:rFonts w:hint="eastAsia"/>
          <w:b/>
          <w:bCs/>
          <w:sz w:val="28"/>
          <w:szCs w:val="28"/>
        </w:rPr>
        <w:t>组长职责：</w:t>
      </w:r>
      <w:r>
        <w:rPr>
          <w:rFonts w:hint="eastAsia"/>
          <w:sz w:val="28"/>
          <w:szCs w:val="28"/>
        </w:rPr>
        <w:t>全面负责组织风险分级管控工作，为该项工作的开展提供必要的人力、物力、财力支持，统一思想，提高全员意识，提供组织保障，督促各岗位人员做好分管范围内的风险分级管控工作。负责隐患排查治理体系工作部署；负责隐患治理监督。</w:t>
      </w:r>
    </w:p>
    <w:p>
      <w:pPr>
        <w:spacing w:line="360" w:lineRule="auto"/>
        <w:ind w:left="1124" w:hanging="1124" w:hangingChars="400"/>
        <w:rPr>
          <w:sz w:val="28"/>
          <w:szCs w:val="28"/>
        </w:rPr>
      </w:pPr>
      <w:r>
        <w:rPr>
          <w:rFonts w:hint="eastAsia"/>
          <w:b/>
          <w:bCs/>
          <w:sz w:val="28"/>
          <w:szCs w:val="28"/>
        </w:rPr>
        <w:t>副组长职责：</w:t>
      </w:r>
      <w:r>
        <w:rPr>
          <w:rFonts w:hint="eastAsia"/>
          <w:sz w:val="28"/>
          <w:szCs w:val="28"/>
        </w:rPr>
        <w:t>负责危险源辨识、风险评估及管控工作统一部署协调；方案的编制与制度建设的审核，并组织实施，并监督职责履行情况。负责隐患排查治理工作具体调度；负责隐患治理监督管理。</w:t>
      </w:r>
    </w:p>
    <w:p>
      <w:pPr>
        <w:spacing w:line="360" w:lineRule="auto"/>
        <w:ind w:left="1124" w:hanging="1124" w:hangingChars="400"/>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负责本部门风险点识别、风险分级及风险评价；负责风险管控措施的制定与实施。负责各车间隐患排查的组织实施；负责隐患治理。</w:t>
      </w:r>
    </w:p>
    <w:p>
      <w:pPr>
        <w:spacing w:line="360" w:lineRule="auto"/>
        <w:ind w:left="1124" w:hanging="1124" w:hangingChars="400"/>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pPr>
        <w:spacing w:line="360" w:lineRule="auto"/>
        <w:ind w:left="1124" w:hanging="1124" w:hangingChars="400"/>
        <w:rPr>
          <w:sz w:val="28"/>
          <w:szCs w:val="28"/>
        </w:rPr>
      </w:pPr>
      <w:r>
        <w:rPr>
          <w:rFonts w:hint="eastAsia"/>
          <w:b/>
          <w:bCs/>
          <w:sz w:val="28"/>
          <w:szCs w:val="28"/>
        </w:rPr>
        <w:t>车间主任职责：</w:t>
      </w:r>
      <w:r>
        <w:rPr>
          <w:rFonts w:hint="eastAsia"/>
          <w:sz w:val="28"/>
          <w:szCs w:val="28"/>
        </w:rPr>
        <w:t>负责本车间风险点识别、风险分级及风险评价；负责风险管控措施的制定与实施。负责本车间车间级隐患排查；负责本车间隐患整改。</w:t>
      </w:r>
    </w:p>
    <w:p>
      <w:pPr>
        <w:spacing w:line="360" w:lineRule="auto"/>
        <w:ind w:left="1124" w:hanging="1124" w:hangingChars="400"/>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pPr>
        <w:spacing w:line="360" w:lineRule="auto"/>
        <w:rPr>
          <w:sz w:val="28"/>
          <w:szCs w:val="28"/>
        </w:rPr>
      </w:pPr>
      <w:r>
        <w:rPr>
          <w:rFonts w:hint="eastAsia"/>
          <w:b/>
          <w:bCs/>
          <w:sz w:val="28"/>
          <w:szCs w:val="28"/>
        </w:rPr>
        <w:t>一般职工职责：</w:t>
      </w:r>
      <w:r>
        <w:rPr>
          <w:rFonts w:hint="eastAsia"/>
          <w:sz w:val="28"/>
          <w:szCs w:val="28"/>
        </w:rPr>
        <w:t>参加双重预防体系建设培训；对本岗位进行风险辨识与评价；参与管控措施的制定；参与本岗位安全检查及治理。</w:t>
      </w:r>
    </w:p>
    <w:p>
      <w:pPr>
        <w:spacing w:line="360" w:lineRule="auto"/>
        <w:ind w:left="1124" w:hanging="1124" w:hangingChars="400"/>
        <w:rPr>
          <w:sz w:val="28"/>
          <w:szCs w:val="28"/>
        </w:rPr>
      </w:pPr>
      <w:r>
        <w:rPr>
          <w:rFonts w:hint="eastAsia"/>
          <w:b/>
          <w:bCs/>
          <w:sz w:val="28"/>
          <w:szCs w:val="28"/>
        </w:rPr>
        <w:t>双重预防体系办公室职责：</w:t>
      </w:r>
      <w:r>
        <w:rPr>
          <w:rFonts w:hint="eastAsia"/>
          <w:sz w:val="28"/>
          <w:szCs w:val="28"/>
        </w:rPr>
        <w:t>主要负责起草体系建设工作方案和有关体系文件，协调和调度各单位工作组分工开展情况；负责实施指南的组织实施、指导和监督检查；负责组织对全公司风险结果评审；负责对较大风险及其控制措施的汇总、协调、监督评估；负责将体系建设工作纳入安全生产责任制考核，确保实现“全员、全过程、全方位、全天候”的风险管控；负责职责范围内的危险源辨识、风险评价和控制措施的确定、协调指导和监督检查；负责职责范围内的风险监督管理；各生产单位负责本单位的危险源辨识、风险评价和控制措施的确定及落实并及时更新。</w:t>
      </w:r>
    </w:p>
    <w:bookmarkEnd w:id="359"/>
    <w:p>
      <w:pPr>
        <w:pStyle w:val="3"/>
        <w:spacing w:before="156" w:after="156"/>
      </w:pPr>
      <w:bookmarkStart w:id="360" w:name="_Toc8741"/>
      <w:bookmarkStart w:id="361" w:name="_Toc19518"/>
      <w:r>
        <w:rPr>
          <w:rFonts w:hint="eastAsia"/>
        </w:rPr>
        <w:t>4.3实施全员培训</w:t>
      </w:r>
      <w:bookmarkEnd w:id="360"/>
      <w:bookmarkEnd w:id="361"/>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计划10月5日开展风险分级管控与隐患排查治理双重预防体系建设全员培训，其中上午为双重预防体系建设领导小组成员及各岗位负责人培训，培训时间4学时；下午为各基层单位职工培训，培训时间4学时；培训内容为危险源辨识、风险评价的方法。</w:t>
      </w:r>
    </w:p>
    <w:p>
      <w:pPr>
        <w:pStyle w:val="3"/>
        <w:spacing w:before="156" w:after="156"/>
      </w:pPr>
      <w:bookmarkStart w:id="362" w:name="_Toc13395"/>
      <w:bookmarkStart w:id="363" w:name="_Toc10793"/>
      <w:r>
        <w:rPr>
          <w:rFonts w:hint="eastAsia"/>
        </w:rPr>
        <w:t>4.4编写体系文件</w:t>
      </w:r>
      <w:bookmarkEnd w:id="362"/>
      <w:bookmarkEnd w:id="36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体系文件内容包括风险管控制度、危险源辨识、风险评价作业指导书、风险点清单、作业活动清单、设备设施清单、工作危害分析（JHA）评价记录、安全检查表分析（SCL）评价记录、风险分级管控清单、危险源统计表等有关记录文件</w:t>
      </w:r>
      <w:bookmarkStart w:id="364" w:name="_Toc475539107"/>
      <w:bookmarkStart w:id="365" w:name="_Toc472345258"/>
      <w:bookmarkStart w:id="366" w:name="_Toc475106640"/>
      <w:r>
        <w:rPr>
          <w:rFonts w:hint="eastAsia" w:ascii="宋体" w:hAnsi="宋体" w:eastAsia="宋体" w:cs="宋体"/>
          <w:sz w:val="28"/>
          <w:szCs w:val="28"/>
        </w:rPr>
        <w:t>。</w:t>
      </w:r>
      <w:bookmarkEnd w:id="364"/>
      <w:bookmarkEnd w:id="365"/>
      <w:bookmarkEnd w:id="36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br w:type="page"/>
      </w:r>
    </w:p>
    <w:p>
      <w:pPr>
        <w:pStyle w:val="3"/>
        <w:spacing w:before="156" w:after="156"/>
      </w:pPr>
      <w:bookmarkStart w:id="367" w:name="_Toc6665"/>
      <w:bookmarkStart w:id="368" w:name="_Toc4211"/>
      <w:r>
        <w:rPr>
          <w:rFonts w:hint="eastAsia"/>
        </w:rPr>
        <w:t>5</w:t>
      </w:r>
      <w:bookmarkEnd w:id="367"/>
      <w:bookmarkEnd w:id="368"/>
      <w:r>
        <w:rPr>
          <w:rFonts w:hint="eastAsia"/>
        </w:rPr>
        <w:t>工作程序和内容</w:t>
      </w:r>
    </w:p>
    <w:p>
      <w:pPr>
        <w:pStyle w:val="3"/>
        <w:spacing w:before="156" w:after="156"/>
      </w:pPr>
      <w:bookmarkStart w:id="369" w:name="_Toc5470"/>
      <w:bookmarkStart w:id="370" w:name="_Toc483486509"/>
      <w:bookmarkStart w:id="371" w:name="_Toc468797564"/>
      <w:bookmarkStart w:id="372" w:name="_Toc475106647"/>
      <w:bookmarkStart w:id="373" w:name="_Toc479171740"/>
      <w:bookmarkStart w:id="374" w:name="_Toc23893"/>
      <w:bookmarkStart w:id="375" w:name="_Toc472345265"/>
      <w:bookmarkStart w:id="376" w:name="_Toc479257276"/>
      <w:bookmarkStart w:id="377" w:name="_Toc475539114"/>
      <w:bookmarkStart w:id="378" w:name="_Toc483486599"/>
      <w:bookmarkStart w:id="379" w:name="_Toc468959288"/>
      <w:bookmarkStart w:id="380" w:name="_Toc468956172"/>
      <w:r>
        <w:rPr>
          <w:rFonts w:hint="eastAsia"/>
        </w:rPr>
        <w:t>5.1风险点确定</w:t>
      </w:r>
      <w:bookmarkEnd w:id="369"/>
      <w:bookmarkEnd w:id="370"/>
      <w:bookmarkEnd w:id="371"/>
      <w:bookmarkEnd w:id="372"/>
      <w:bookmarkEnd w:id="373"/>
      <w:bookmarkEnd w:id="374"/>
      <w:bookmarkEnd w:id="375"/>
      <w:bookmarkEnd w:id="376"/>
      <w:bookmarkEnd w:id="377"/>
      <w:bookmarkEnd w:id="378"/>
      <w:bookmarkEnd w:id="379"/>
      <w:bookmarkEnd w:id="380"/>
    </w:p>
    <w:p>
      <w:pPr>
        <w:pStyle w:val="4"/>
      </w:pPr>
      <w:bookmarkStart w:id="381" w:name="_Toc475539115"/>
      <w:bookmarkStart w:id="382" w:name="_Toc475106648"/>
      <w:bookmarkStart w:id="383" w:name="_Toc483486600"/>
      <w:bookmarkStart w:id="384" w:name="_Toc483486510"/>
      <w:bookmarkStart w:id="385" w:name="_Toc30581"/>
      <w:bookmarkStart w:id="386" w:name="_Toc479257277"/>
      <w:bookmarkStart w:id="387" w:name="_Toc6807"/>
      <w:r>
        <w:rPr>
          <w:rFonts w:hint="eastAsia"/>
        </w:rPr>
        <w:t>5.1.1风险点划分原则</w:t>
      </w:r>
      <w:bookmarkEnd w:id="381"/>
      <w:bookmarkEnd w:id="382"/>
      <w:bookmarkEnd w:id="383"/>
      <w:bookmarkEnd w:id="384"/>
      <w:bookmarkEnd w:id="385"/>
      <w:bookmarkEnd w:id="386"/>
      <w:bookmarkEnd w:id="38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根据DB37/T 2974-2017第5.1.1要求及行业特点，可以按设施、部位、场所、区域、操作及作业活动等进行单元划分。一般可作如下划分：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（1）设施、部位、场所、区域</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企业可按照生产车间设备设施、区域或场所、公辅设施等功能分区进行划分。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--设备设施：浸泡槽、板框压滤机等设备；</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--区域或场所：粗加工车间、精加工车间等；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--公辅设施：配电设备等。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--操作及作业活动</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对操作及作业活动等风险点的划分，应当涵盖生产经营全过程所有常规和非常规状态的作业活动，风险等级高、可能导致严重后果的作业活动应作为风险点。</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如：浸泡作业、絮凝作业等；</w:t>
      </w:r>
    </w:p>
    <w:p>
      <w:pPr>
        <w:pStyle w:val="4"/>
      </w:pPr>
      <w:bookmarkStart w:id="388" w:name="_Toc475106649"/>
      <w:bookmarkStart w:id="389" w:name="_Toc30235"/>
      <w:bookmarkStart w:id="390" w:name="_Toc483486601"/>
      <w:bookmarkStart w:id="391" w:name="_Toc479257278"/>
      <w:bookmarkStart w:id="392" w:name="_Toc24595"/>
      <w:bookmarkStart w:id="393" w:name="_Toc475539116"/>
      <w:bookmarkStart w:id="394" w:name="_Toc483486511"/>
      <w:r>
        <w:rPr>
          <w:rFonts w:hint="eastAsia"/>
        </w:rPr>
        <w:t>5.1.2风险点排查</w:t>
      </w:r>
      <w:bookmarkEnd w:id="388"/>
      <w:bookmarkEnd w:id="389"/>
      <w:bookmarkEnd w:id="390"/>
      <w:bookmarkEnd w:id="391"/>
      <w:bookmarkEnd w:id="392"/>
      <w:bookmarkEnd w:id="393"/>
      <w:bookmarkEnd w:id="394"/>
    </w:p>
    <w:p>
      <w:pPr>
        <w:spacing w:line="360" w:lineRule="auto"/>
        <w:ind w:firstLine="560" w:firstLineChars="200"/>
        <w:rPr>
          <w:rFonts w:ascii="宋体" w:hAnsi="宋体" w:eastAsia="宋体" w:cs="宋体"/>
          <w:sz w:val="28"/>
          <w:szCs w:val="28"/>
        </w:rPr>
      </w:pPr>
      <w:bookmarkStart w:id="395" w:name="_Toc465774042"/>
      <w:bookmarkStart w:id="396" w:name="_Toc466564032"/>
      <w:r>
        <w:rPr>
          <w:rFonts w:hint="eastAsia" w:ascii="宋体" w:hAnsi="宋体" w:eastAsia="宋体" w:cs="宋体"/>
          <w:sz w:val="28"/>
          <w:szCs w:val="28"/>
        </w:rPr>
        <w:t>（1）风险点排查的内容</w:t>
      </w:r>
      <w:bookmarkEnd w:id="395"/>
      <w:bookmarkEnd w:id="39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按照风险点划分原则，在本单位生产活动区域内对生产经营全过程进行风险点排查，确定包括风险点名称、类型、区域位置、可能发生的事故类型及后果等内容的基本信息，建立作业活动清单和设备设施清单。</w:t>
      </w:r>
    </w:p>
    <w:p>
      <w:pPr>
        <w:spacing w:line="360" w:lineRule="auto"/>
        <w:ind w:firstLine="560" w:firstLineChars="200"/>
        <w:rPr>
          <w:rFonts w:ascii="宋体" w:hAnsi="宋体" w:eastAsia="宋体" w:cs="宋体"/>
          <w:sz w:val="28"/>
          <w:szCs w:val="28"/>
        </w:rPr>
      </w:pPr>
      <w:bookmarkStart w:id="397" w:name="_Toc465774043"/>
      <w:bookmarkStart w:id="398" w:name="_Toc466564033"/>
      <w:r>
        <w:rPr>
          <w:rFonts w:hint="eastAsia" w:ascii="宋体" w:hAnsi="宋体" w:eastAsia="宋体" w:cs="宋体"/>
          <w:sz w:val="28"/>
          <w:szCs w:val="28"/>
        </w:rPr>
        <w:t>（2）风险点排查的方法</w:t>
      </w:r>
      <w:bookmarkEnd w:id="397"/>
      <w:bookmarkEnd w:id="39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风险点排查应按生产（工作）流程的阶段、场所、装置、设施、作业活动或上述几种方法的结合等进行。</w:t>
      </w:r>
    </w:p>
    <w:p>
      <w:pPr>
        <w:pStyle w:val="3"/>
        <w:spacing w:before="156" w:after="156"/>
      </w:pPr>
      <w:bookmarkStart w:id="399" w:name="_Toc475106650"/>
      <w:bookmarkStart w:id="400" w:name="_Toc8138"/>
      <w:bookmarkStart w:id="401" w:name="_Toc479257279"/>
      <w:bookmarkStart w:id="402" w:name="_Toc472345266"/>
      <w:bookmarkStart w:id="403" w:name="_Toc468956173"/>
      <w:bookmarkStart w:id="404" w:name="_Toc25882"/>
      <w:bookmarkStart w:id="405" w:name="_Toc479171741"/>
      <w:bookmarkStart w:id="406" w:name="_Toc475539117"/>
      <w:bookmarkStart w:id="407" w:name="_Toc483486602"/>
      <w:bookmarkStart w:id="408" w:name="_Toc468797565"/>
      <w:bookmarkStart w:id="409" w:name="_Toc468959289"/>
      <w:bookmarkStart w:id="410" w:name="_Toc483486512"/>
      <w:r>
        <w:rPr>
          <w:rFonts w:hint="eastAsia"/>
        </w:rPr>
        <w:t>5.2危险源辨识</w:t>
      </w:r>
      <w:bookmarkEnd w:id="399"/>
      <w:bookmarkEnd w:id="400"/>
      <w:bookmarkEnd w:id="401"/>
      <w:bookmarkEnd w:id="402"/>
      <w:bookmarkEnd w:id="403"/>
      <w:bookmarkEnd w:id="404"/>
      <w:bookmarkEnd w:id="405"/>
      <w:bookmarkEnd w:id="406"/>
      <w:bookmarkEnd w:id="407"/>
      <w:bookmarkEnd w:id="408"/>
      <w:bookmarkEnd w:id="409"/>
      <w:bookmarkEnd w:id="410"/>
    </w:p>
    <w:p>
      <w:pPr>
        <w:pStyle w:val="4"/>
      </w:pPr>
      <w:bookmarkStart w:id="411" w:name="_Toc475106651"/>
      <w:bookmarkStart w:id="412" w:name="_Toc22610"/>
      <w:bookmarkStart w:id="413" w:name="_Toc483486513"/>
      <w:bookmarkStart w:id="414" w:name="_Toc479257280"/>
      <w:bookmarkStart w:id="415" w:name="_Toc483486603"/>
      <w:bookmarkStart w:id="416" w:name="_Toc475539118"/>
      <w:bookmarkStart w:id="417" w:name="_Toc2621"/>
      <w:r>
        <w:rPr>
          <w:rFonts w:hint="eastAsia"/>
        </w:rPr>
        <w:t>5.2.1辨识</w:t>
      </w:r>
      <w:bookmarkEnd w:id="411"/>
      <w:bookmarkEnd w:id="412"/>
      <w:bookmarkEnd w:id="413"/>
      <w:bookmarkEnd w:id="414"/>
      <w:bookmarkEnd w:id="415"/>
      <w:bookmarkEnd w:id="416"/>
      <w:r>
        <w:rPr>
          <w:rFonts w:hint="eastAsia"/>
        </w:rPr>
        <w:t>方法</w:t>
      </w:r>
      <w:bookmarkEnd w:id="417"/>
    </w:p>
    <w:p>
      <w:pPr>
        <w:spacing w:line="360" w:lineRule="auto"/>
        <w:ind w:firstLine="560" w:firstLineChars="200"/>
        <w:rPr>
          <w:rFonts w:ascii="宋体" w:hAnsi="宋体" w:eastAsia="宋体" w:cs="宋体"/>
          <w:sz w:val="28"/>
          <w:szCs w:val="28"/>
        </w:rPr>
      </w:pPr>
      <w:bookmarkStart w:id="418" w:name="_Toc475539119"/>
      <w:bookmarkStart w:id="419" w:name="_Toc475106652"/>
      <w:r>
        <w:rPr>
          <w:rFonts w:hint="eastAsia" w:ascii="宋体" w:hAnsi="宋体" w:eastAsia="宋体" w:cs="宋体"/>
          <w:sz w:val="28"/>
          <w:szCs w:val="28"/>
        </w:rPr>
        <w:t>（1）危</w:t>
      </w:r>
      <w:bookmarkEnd w:id="418"/>
      <w:bookmarkEnd w:id="419"/>
      <w:bookmarkStart w:id="420" w:name="_Toc470695956"/>
      <w:r>
        <w:rPr>
          <w:rFonts w:hint="eastAsia" w:ascii="宋体" w:hAnsi="宋体" w:eastAsia="宋体" w:cs="宋体"/>
          <w:sz w:val="28"/>
          <w:szCs w:val="28"/>
        </w:rPr>
        <w:t>生产过程中的危险源辨识宜采用工作危害分析法（JHA）。即：针对每个作业活动中的每个作业步骤或作业内容，识别出与此步骤或内容有关的危险源，建立工作危害分析评价记录。</w:t>
      </w:r>
      <w:bookmarkEnd w:id="420"/>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（2）针对设备设施等宜采用安全检查表法（SCL法）进行危险源辨识，建立安全检查表分析评价记录。</w:t>
      </w:r>
    </w:p>
    <w:p>
      <w:pPr>
        <w:pStyle w:val="4"/>
      </w:pPr>
      <w:bookmarkStart w:id="421" w:name="_Toc27556"/>
      <w:bookmarkStart w:id="422" w:name="_Toc475539120"/>
      <w:bookmarkStart w:id="423" w:name="_Toc475106653"/>
      <w:bookmarkStart w:id="424" w:name="_Toc3880"/>
      <w:bookmarkStart w:id="425" w:name="_Toc483486514"/>
      <w:bookmarkStart w:id="426" w:name="_Toc483486604"/>
      <w:bookmarkStart w:id="427" w:name="_Toc479257281"/>
      <w:r>
        <w:rPr>
          <w:rFonts w:hint="eastAsia"/>
        </w:rPr>
        <w:t>5.2.2辨识范围</w:t>
      </w:r>
      <w:bookmarkEnd w:id="421"/>
      <w:bookmarkEnd w:id="422"/>
      <w:bookmarkEnd w:id="423"/>
      <w:bookmarkEnd w:id="424"/>
      <w:bookmarkEnd w:id="425"/>
      <w:bookmarkEnd w:id="426"/>
      <w:bookmarkEnd w:id="42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--规划、设计（重点是新、改、扩建项目）和建设、投产、运行等阶段（如厂区的平面布局、建筑物、构筑物布置、安全距离、施工现场、设备调试、试生产等）。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--常规和非常规作业活动（如日常的操作行为和设备故障后的检维修等）。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--事故及潜在的紧急情况（如已经发生过的事故或虽未发生但一发生将产生不良后果的情况，事故应急救援设施）。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--所有进入作业场所人员的活动（如外部人员参观或外来单位进入厂区的作业）。</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--原材料、产品的运输和使用过程（如物料的燃爆性，原料的装卸等）。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--作业场所的设施、设备、车辆、安全防护用品（如生产设备装置、电气设备等）。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--工艺、设备、管理、人员等变更（如工艺参数的改变、设备的改变或改进、管理上的新要求、新员工上岗等）。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--丢弃、废弃、拆除与处置（如设备设施回收、拆除、处置等）。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--气候、地质及环境影响等（如厂址地形、自然灾害、周围环境、气象条件、资源交通、抢险救灾支持等）。</w:t>
      </w:r>
      <w:bookmarkStart w:id="428" w:name="_Toc449973096"/>
    </w:p>
    <w:p>
      <w:pPr>
        <w:pStyle w:val="4"/>
      </w:pPr>
      <w:bookmarkStart w:id="429" w:name="_Toc475539121"/>
      <w:bookmarkStart w:id="430" w:name="_Toc8046"/>
      <w:bookmarkStart w:id="431" w:name="_Toc483486605"/>
      <w:bookmarkStart w:id="432" w:name="_Toc483486515"/>
      <w:bookmarkStart w:id="433" w:name="_Toc479257282"/>
      <w:bookmarkStart w:id="434" w:name="_Toc475106654"/>
      <w:bookmarkStart w:id="435" w:name="_Toc13065"/>
      <w:r>
        <w:rPr>
          <w:rFonts w:hint="eastAsia"/>
        </w:rPr>
        <w:t>5.2.3危险源辨识</w:t>
      </w:r>
      <w:bookmarkEnd w:id="428"/>
      <w:bookmarkEnd w:id="429"/>
      <w:bookmarkEnd w:id="430"/>
      <w:bookmarkEnd w:id="431"/>
      <w:bookmarkEnd w:id="432"/>
      <w:bookmarkEnd w:id="433"/>
      <w:bookmarkEnd w:id="434"/>
      <w:bookmarkEnd w:id="435"/>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（1）危险源辨识的基本要求</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企业对所有岗位全部员工进行危险源辨识方法的培训，按照确定的辨识范围组织全员“自上而下”得有序地开展危险源辨识，辨识时应充分考虑人的因素、物的因素、环境因素、管理因素，重点考虑较大危险因素。对初步形成的危险源辨识结果进行评审、补充、修订。</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（2）作业活动危险源辨识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运用工作危害分析法（JHA）开展危险源辨识时：</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--依照作业活动清单，对每一项作业活动进行细分，识别出作业活动的具体作业步骤或内容。</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--逐条对作业活动具体步骤，辨识出不符合标准的情况及可能造成的事故类型和后果。</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（3）设备设施危险源辨识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运用安全检查表法（SCL）开展危险源辨识时：</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--依照设备设施清单，将根源性危险源存在部位作为检查项目。</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--检查标准就是防止能量意外释放，辨识出不符合标准的情况及可能造成的事故类型和后果。</w:t>
      </w:r>
      <w:bookmarkStart w:id="436" w:name="_Toc449973097"/>
    </w:p>
    <w:bookmarkEnd w:id="436"/>
    <w:p>
      <w:pPr>
        <w:pStyle w:val="3"/>
        <w:spacing w:before="156" w:after="156"/>
      </w:pPr>
      <w:bookmarkStart w:id="437" w:name="_Toc468956174"/>
      <w:bookmarkStart w:id="438" w:name="_Toc475539124"/>
      <w:bookmarkStart w:id="439" w:name="_Toc26137"/>
      <w:bookmarkStart w:id="440" w:name="_Toc479171743"/>
      <w:bookmarkStart w:id="441" w:name="_Toc468959290"/>
      <w:bookmarkStart w:id="442" w:name="_Toc475106657"/>
      <w:bookmarkStart w:id="443" w:name="_Toc468797566"/>
      <w:bookmarkStart w:id="444" w:name="_Toc483486607"/>
      <w:bookmarkStart w:id="445" w:name="_Toc483486517"/>
      <w:bookmarkStart w:id="446" w:name="_Toc23742"/>
      <w:bookmarkStart w:id="447" w:name="_Toc472345267"/>
      <w:bookmarkStart w:id="448" w:name="_Toc479257284"/>
      <w:bookmarkStart w:id="449" w:name="_Toc483486606"/>
      <w:bookmarkStart w:id="450" w:name="_Toc479171742"/>
      <w:bookmarkStart w:id="451" w:name="_Toc479257283"/>
      <w:bookmarkStart w:id="452" w:name="_Toc475539123"/>
      <w:bookmarkStart w:id="453" w:name="_Toc475106656"/>
      <w:bookmarkStart w:id="454" w:name="_Toc28971"/>
      <w:bookmarkStart w:id="455" w:name="_Toc483486516"/>
      <w:r>
        <w:rPr>
          <w:rFonts w:hint="eastAsia"/>
        </w:rPr>
        <w:t>5.3风险评价</w:t>
      </w:r>
      <w:bookmarkEnd w:id="437"/>
      <w:bookmarkEnd w:id="438"/>
      <w:bookmarkEnd w:id="439"/>
      <w:bookmarkEnd w:id="440"/>
      <w:bookmarkEnd w:id="441"/>
      <w:bookmarkEnd w:id="442"/>
      <w:bookmarkEnd w:id="443"/>
      <w:bookmarkEnd w:id="444"/>
      <w:bookmarkEnd w:id="445"/>
      <w:bookmarkEnd w:id="446"/>
      <w:bookmarkEnd w:id="447"/>
      <w:bookmarkEnd w:id="448"/>
    </w:p>
    <w:p>
      <w:pPr>
        <w:pStyle w:val="4"/>
      </w:pPr>
      <w:bookmarkStart w:id="456" w:name="_Toc483486608"/>
      <w:bookmarkStart w:id="457" w:name="_Toc475106658"/>
      <w:bookmarkStart w:id="458" w:name="_Toc14516"/>
      <w:bookmarkStart w:id="459" w:name="_Toc475539125"/>
      <w:bookmarkStart w:id="460" w:name="_Toc479257285"/>
      <w:bookmarkStart w:id="461" w:name="_Toc23167"/>
      <w:bookmarkStart w:id="462" w:name="_Toc483486518"/>
      <w:r>
        <w:rPr>
          <w:rFonts w:hint="eastAsia"/>
        </w:rPr>
        <w:t>5.3.1风险评价方法</w:t>
      </w:r>
      <w:bookmarkEnd w:id="456"/>
      <w:bookmarkEnd w:id="457"/>
      <w:bookmarkEnd w:id="458"/>
      <w:bookmarkEnd w:id="459"/>
      <w:bookmarkEnd w:id="460"/>
      <w:bookmarkEnd w:id="461"/>
      <w:bookmarkEnd w:id="462"/>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本公司采用作业条件危险性分析法（LEC）对风险进行定性、定量评价，根据评价结果按从严从高的原则判定评价级别。</w:t>
      </w:r>
    </w:p>
    <w:p>
      <w:pPr>
        <w:spacing w:line="360" w:lineRule="auto"/>
        <w:rPr>
          <w:rFonts w:ascii="宋体" w:hAnsi="宋体" w:eastAsia="宋体" w:cs="宋体"/>
          <w:b/>
          <w:bCs/>
          <w:sz w:val="28"/>
          <w:szCs w:val="28"/>
        </w:rPr>
      </w:pPr>
      <w:bookmarkStart w:id="463" w:name="_Toc483473010"/>
      <w:bookmarkStart w:id="464" w:name="_Toc468797563"/>
      <w:bookmarkStart w:id="465" w:name="_Toc470188645"/>
      <w:bookmarkStart w:id="466" w:name="_Toc475021513"/>
      <w:bookmarkStart w:id="467" w:name="_Toc468959287"/>
      <w:bookmarkStart w:id="468" w:name="_Toc479317592"/>
      <w:bookmarkStart w:id="469" w:name="_Toc475086851"/>
      <w:bookmarkStart w:id="470" w:name="_Toc468956171"/>
      <w:bookmarkStart w:id="471" w:name="_Toc466060655"/>
      <w:r>
        <w:rPr>
          <w:rFonts w:hint="eastAsia" w:ascii="宋体" w:hAnsi="宋体" w:eastAsia="宋体" w:cs="宋体"/>
          <w:b/>
          <w:bCs/>
          <w:sz w:val="28"/>
          <w:szCs w:val="28"/>
        </w:rPr>
        <w:t>5.3.2风险评价准则</w:t>
      </w:r>
      <w:bookmarkEnd w:id="463"/>
      <w:bookmarkEnd w:id="464"/>
      <w:bookmarkEnd w:id="465"/>
      <w:bookmarkEnd w:id="466"/>
      <w:bookmarkEnd w:id="467"/>
      <w:bookmarkEnd w:id="468"/>
      <w:bookmarkEnd w:id="469"/>
      <w:bookmarkEnd w:id="470"/>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在对风险点和各类危险源进行风险评价时，应结合自身可接受风险实际，制定事故（事件）发生的可能性、严重性、频次、风险值的取值标准（参见附录C）和评价级别，进行风险评价。风险判定准则的制定应充分考虑以下要求：</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-有关安全生产法律、法规；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-设计规范、技术标准；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-本单位的安全管理、技术标准；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-本单位的安全生产方针和目标等；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-相关方的投诉。</w:t>
      </w:r>
    </w:p>
    <w:p>
      <w:pPr>
        <w:spacing w:line="360" w:lineRule="auto"/>
        <w:rPr>
          <w:rFonts w:ascii="宋体" w:hAnsi="宋体" w:eastAsia="宋体" w:cs="宋体"/>
          <w:b/>
          <w:bCs/>
          <w:sz w:val="28"/>
          <w:szCs w:val="28"/>
        </w:rPr>
      </w:pPr>
      <w:bookmarkStart w:id="472" w:name="_Toc483473011"/>
      <w:bookmarkStart w:id="473" w:name="_Toc479317593"/>
      <w:r>
        <w:rPr>
          <w:rFonts w:hint="eastAsia" w:ascii="宋体" w:hAnsi="宋体" w:eastAsia="宋体" w:cs="宋体"/>
          <w:b/>
          <w:bCs/>
          <w:sz w:val="28"/>
          <w:szCs w:val="28"/>
        </w:rPr>
        <w:t>5.3.3风险评价与分级</w:t>
      </w:r>
      <w:bookmarkEnd w:id="472"/>
      <w:bookmarkEnd w:id="47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确定的评价方法与风险判定准则进行风险评价，判定风险等级。风险等级判定应遵循从严从高的原则，将各评价级别划分为重大风险、较大风险、一般风险和低风险等风险级别，分别用“红橙黄蓝”四种颜色表示，评价出其他级数评价级别的企业在进行风险分级划分时参照以下原则，结合自身可接受风险实际进行划分。风险等级划分如下表：</w:t>
      </w:r>
    </w:p>
    <w:p>
      <w:pPr>
        <w:spacing w:line="360" w:lineRule="auto"/>
        <w:ind w:firstLine="560" w:firstLineChars="200"/>
        <w:jc w:val="center"/>
        <w:rPr>
          <w:rFonts w:ascii="宋体" w:hAnsi="宋体" w:eastAsia="宋体" w:cs="宋体"/>
          <w:sz w:val="28"/>
          <w:szCs w:val="28"/>
        </w:rPr>
      </w:pPr>
      <w:r>
        <w:rPr>
          <w:rFonts w:hint="eastAsia" w:ascii="宋体" w:hAnsi="宋体" w:eastAsia="宋体" w:cs="宋体"/>
          <w:sz w:val="28"/>
          <w:szCs w:val="28"/>
        </w:rPr>
        <w:br w:type="page"/>
      </w:r>
    </w:p>
    <w:p>
      <w:pPr>
        <w:spacing w:line="360" w:lineRule="auto"/>
        <w:ind w:firstLine="560" w:firstLineChars="200"/>
        <w:jc w:val="center"/>
        <w:rPr>
          <w:rFonts w:ascii="宋体" w:hAnsi="宋体" w:eastAsia="宋体" w:cs="宋体"/>
          <w:sz w:val="28"/>
          <w:szCs w:val="28"/>
        </w:rPr>
      </w:pPr>
      <w:r>
        <w:rPr>
          <w:rFonts w:hint="eastAsia" w:ascii="宋体" w:hAnsi="宋体" w:eastAsia="宋体" w:cs="宋体"/>
          <w:sz w:val="28"/>
          <w:szCs w:val="28"/>
        </w:rPr>
        <w:t>风险等级划分表</w:t>
      </w:r>
    </w:p>
    <w:tbl>
      <w:tblPr>
        <w:tblStyle w:val="13"/>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1028"/>
        <w:gridCol w:w="1030"/>
        <w:gridCol w:w="2190"/>
        <w:gridCol w:w="4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7"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评价级别</w:t>
            </w:r>
          </w:p>
        </w:tc>
        <w:tc>
          <w:tcPr>
            <w:tcW w:w="1028"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颜色</w:t>
            </w:r>
          </w:p>
        </w:tc>
        <w:tc>
          <w:tcPr>
            <w:tcW w:w="1030"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风险等级</w:t>
            </w:r>
          </w:p>
        </w:tc>
        <w:tc>
          <w:tcPr>
            <w:tcW w:w="2190"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管控层级</w:t>
            </w:r>
          </w:p>
        </w:tc>
        <w:tc>
          <w:tcPr>
            <w:tcW w:w="4295"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整改要求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7"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一级</w:t>
            </w:r>
          </w:p>
        </w:tc>
        <w:tc>
          <w:tcPr>
            <w:tcW w:w="1028" w:type="dxa"/>
            <w:vAlign w:val="center"/>
          </w:tcPr>
          <w:p>
            <w:pPr>
              <w:pStyle w:val="18"/>
              <w:widowControl w:val="0"/>
              <w:ind w:firstLine="0" w:firstLineChars="0"/>
              <w:jc w:val="center"/>
              <w:rPr>
                <w:rFonts w:hAnsi="宋体"/>
                <w:bCs/>
                <w:sz w:val="18"/>
                <w:szCs w:val="18"/>
              </w:rPr>
            </w:pPr>
            <w:r>
              <w:rPr>
                <w:rFonts w:hint="eastAsia" w:hAnsi="宋体"/>
                <w:bCs/>
                <w:sz w:val="18"/>
                <w:szCs w:val="18"/>
              </w:rPr>
              <w:t>红色</w:t>
            </w:r>
          </w:p>
        </w:tc>
        <w:tc>
          <w:tcPr>
            <w:tcW w:w="1030" w:type="dxa"/>
            <w:vAlign w:val="center"/>
          </w:tcPr>
          <w:p>
            <w:pPr>
              <w:pStyle w:val="18"/>
              <w:widowControl w:val="0"/>
              <w:ind w:firstLine="0" w:firstLineChars="0"/>
              <w:jc w:val="center"/>
              <w:rPr>
                <w:rFonts w:hAnsi="宋体"/>
                <w:sz w:val="18"/>
                <w:szCs w:val="18"/>
              </w:rPr>
            </w:pPr>
            <w:r>
              <w:rPr>
                <w:rFonts w:hint="eastAsia" w:hAnsi="宋体"/>
                <w:sz w:val="18"/>
                <w:szCs w:val="18"/>
              </w:rPr>
              <w:t>重大风险</w:t>
            </w:r>
          </w:p>
        </w:tc>
        <w:tc>
          <w:tcPr>
            <w:tcW w:w="2190" w:type="dxa"/>
            <w:vMerge w:val="restart"/>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公司（厂）级、部门（车间）级、班组（岗位）级</w:t>
            </w:r>
          </w:p>
        </w:tc>
        <w:tc>
          <w:tcPr>
            <w:tcW w:w="4295"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应立即整改，视具体情况决定是否停产整改，需要停产整改的，只有当风险降至可接受后，才能开始或继续工作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7"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二级</w:t>
            </w:r>
          </w:p>
        </w:tc>
        <w:tc>
          <w:tcPr>
            <w:tcW w:w="1028" w:type="dxa"/>
            <w:vAlign w:val="center"/>
          </w:tcPr>
          <w:p>
            <w:pPr>
              <w:pStyle w:val="18"/>
              <w:widowControl w:val="0"/>
              <w:ind w:firstLine="0" w:firstLineChars="0"/>
              <w:jc w:val="center"/>
              <w:rPr>
                <w:rFonts w:hAnsi="宋体"/>
                <w:bCs/>
                <w:sz w:val="18"/>
                <w:szCs w:val="18"/>
              </w:rPr>
            </w:pPr>
            <w:r>
              <w:rPr>
                <w:rFonts w:hint="eastAsia" w:hAnsi="宋体"/>
                <w:bCs/>
                <w:sz w:val="18"/>
                <w:szCs w:val="18"/>
              </w:rPr>
              <w:t>橙色</w:t>
            </w:r>
          </w:p>
        </w:tc>
        <w:tc>
          <w:tcPr>
            <w:tcW w:w="1030" w:type="dxa"/>
            <w:vAlign w:val="center"/>
          </w:tcPr>
          <w:p>
            <w:pPr>
              <w:pStyle w:val="18"/>
              <w:widowControl w:val="0"/>
              <w:ind w:firstLine="0" w:firstLineChars="0"/>
              <w:jc w:val="center"/>
              <w:rPr>
                <w:rFonts w:hAnsi="宋体"/>
                <w:sz w:val="18"/>
                <w:szCs w:val="18"/>
              </w:rPr>
            </w:pPr>
            <w:r>
              <w:rPr>
                <w:rFonts w:hint="eastAsia" w:hAnsi="宋体"/>
                <w:sz w:val="18"/>
                <w:szCs w:val="18"/>
              </w:rPr>
              <w:t>较大风险</w:t>
            </w:r>
          </w:p>
        </w:tc>
        <w:tc>
          <w:tcPr>
            <w:tcW w:w="2190" w:type="dxa"/>
            <w:vMerge w:val="continue"/>
            <w:vAlign w:val="center"/>
          </w:tcPr>
          <w:p>
            <w:pPr>
              <w:pStyle w:val="18"/>
              <w:widowControl w:val="0"/>
              <w:ind w:firstLine="0" w:firstLineChars="0"/>
              <w:jc w:val="center"/>
              <w:rPr>
                <w:rFonts w:hAnsi="宋体"/>
                <w:color w:val="000000"/>
                <w:sz w:val="18"/>
                <w:szCs w:val="18"/>
              </w:rPr>
            </w:pPr>
          </w:p>
        </w:tc>
        <w:tc>
          <w:tcPr>
            <w:tcW w:w="4295"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应制定建议改进措施进行控制管理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7"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三级</w:t>
            </w:r>
          </w:p>
        </w:tc>
        <w:tc>
          <w:tcPr>
            <w:tcW w:w="1028" w:type="dxa"/>
            <w:vAlign w:val="center"/>
          </w:tcPr>
          <w:p>
            <w:pPr>
              <w:pStyle w:val="18"/>
              <w:widowControl w:val="0"/>
              <w:ind w:firstLine="0" w:firstLineChars="0"/>
              <w:jc w:val="center"/>
              <w:rPr>
                <w:rFonts w:hAnsi="宋体"/>
                <w:bCs/>
                <w:sz w:val="18"/>
                <w:szCs w:val="18"/>
              </w:rPr>
            </w:pPr>
            <w:r>
              <w:rPr>
                <w:rFonts w:hint="eastAsia" w:hAnsi="宋体"/>
                <w:bCs/>
                <w:sz w:val="18"/>
                <w:szCs w:val="18"/>
              </w:rPr>
              <w:t>黄色</w:t>
            </w:r>
          </w:p>
        </w:tc>
        <w:tc>
          <w:tcPr>
            <w:tcW w:w="1030" w:type="dxa"/>
            <w:vAlign w:val="center"/>
          </w:tcPr>
          <w:p>
            <w:pPr>
              <w:pStyle w:val="18"/>
              <w:widowControl w:val="0"/>
              <w:ind w:firstLine="0" w:firstLineChars="0"/>
              <w:jc w:val="center"/>
              <w:rPr>
                <w:rFonts w:hAnsi="宋体"/>
                <w:sz w:val="18"/>
                <w:szCs w:val="18"/>
              </w:rPr>
            </w:pPr>
            <w:r>
              <w:rPr>
                <w:rFonts w:hint="eastAsia" w:hAnsi="宋体"/>
                <w:sz w:val="18"/>
                <w:szCs w:val="18"/>
              </w:rPr>
              <w:t>一般风险</w:t>
            </w:r>
          </w:p>
        </w:tc>
        <w:tc>
          <w:tcPr>
            <w:tcW w:w="2190"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部室（车间）级、班组（岗位）级</w:t>
            </w:r>
          </w:p>
        </w:tc>
        <w:tc>
          <w:tcPr>
            <w:tcW w:w="4295"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需要控制整改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7"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四级</w:t>
            </w:r>
          </w:p>
        </w:tc>
        <w:tc>
          <w:tcPr>
            <w:tcW w:w="1028" w:type="dxa"/>
            <w:vAlign w:val="center"/>
          </w:tcPr>
          <w:p>
            <w:pPr>
              <w:pStyle w:val="18"/>
              <w:widowControl w:val="0"/>
              <w:ind w:firstLine="0" w:firstLineChars="0"/>
              <w:jc w:val="center"/>
              <w:rPr>
                <w:rFonts w:hAnsi="宋体"/>
                <w:bCs/>
                <w:sz w:val="18"/>
                <w:szCs w:val="18"/>
              </w:rPr>
            </w:pPr>
            <w:r>
              <w:rPr>
                <w:rFonts w:hint="eastAsia" w:hAnsi="宋体"/>
                <w:bCs/>
                <w:sz w:val="18"/>
                <w:szCs w:val="18"/>
              </w:rPr>
              <w:t>蓝色</w:t>
            </w:r>
          </w:p>
        </w:tc>
        <w:tc>
          <w:tcPr>
            <w:tcW w:w="1030" w:type="dxa"/>
            <w:vAlign w:val="center"/>
          </w:tcPr>
          <w:p>
            <w:pPr>
              <w:pStyle w:val="18"/>
              <w:widowControl w:val="0"/>
              <w:ind w:firstLine="0" w:firstLineChars="0"/>
              <w:jc w:val="center"/>
              <w:rPr>
                <w:rFonts w:hAnsi="宋体"/>
                <w:sz w:val="18"/>
                <w:szCs w:val="18"/>
              </w:rPr>
            </w:pPr>
            <w:r>
              <w:rPr>
                <w:rFonts w:hint="eastAsia" w:hAnsi="宋体"/>
                <w:sz w:val="18"/>
                <w:szCs w:val="18"/>
              </w:rPr>
              <w:t>低风险</w:t>
            </w:r>
          </w:p>
        </w:tc>
        <w:tc>
          <w:tcPr>
            <w:tcW w:w="2190"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班组（岗位）级</w:t>
            </w:r>
          </w:p>
        </w:tc>
        <w:tc>
          <w:tcPr>
            <w:tcW w:w="4295"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定期检查</w:t>
            </w:r>
          </w:p>
        </w:tc>
      </w:tr>
      <w:bookmarkEnd w:id="471"/>
    </w:tbl>
    <w:p>
      <w:pPr>
        <w:spacing w:line="360" w:lineRule="auto"/>
        <w:rPr>
          <w:rFonts w:ascii="宋体" w:hAnsi="宋体" w:eastAsia="宋体" w:cs="宋体"/>
          <w:b/>
          <w:bCs/>
          <w:sz w:val="28"/>
          <w:szCs w:val="28"/>
        </w:rPr>
      </w:pPr>
      <w:bookmarkStart w:id="474" w:name="_Toc483473012"/>
      <w:bookmarkStart w:id="475" w:name="_Toc479317594"/>
      <w:bookmarkStart w:id="476" w:name="_Toc475086852"/>
      <w:bookmarkStart w:id="477" w:name="_Toc475021514"/>
      <w:r>
        <w:rPr>
          <w:rFonts w:hint="eastAsia" w:ascii="宋体" w:hAnsi="宋体" w:eastAsia="宋体" w:cs="宋体"/>
          <w:b/>
          <w:bCs/>
          <w:sz w:val="28"/>
          <w:szCs w:val="28"/>
        </w:rPr>
        <w:t>5.3.4确定重大风险</w:t>
      </w:r>
      <w:bookmarkEnd w:id="474"/>
      <w:bookmarkEnd w:id="475"/>
      <w:bookmarkEnd w:id="476"/>
      <w:bookmarkEnd w:id="47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以下情形为重大风险：</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-违反法律、法规及国家标准中强制性条款的；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-发生过死亡、重伤、重大财产损失事故，或三次及以上轻伤、一般财产损失事故，且现在发生事故的条件依然存在的；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-涉及危险化学品重大危险源的；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-具有中毒、爆炸、火灾等危险的场所，作业人员在10人及以上的；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-经风险评价确定为最高级别风险的</w:t>
      </w:r>
      <w:bookmarkStart w:id="478" w:name="_Toc470695970"/>
      <w:r>
        <w:rPr>
          <w:rFonts w:hint="eastAsia" w:ascii="宋体" w:hAnsi="宋体" w:eastAsia="宋体" w:cs="宋体"/>
          <w:sz w:val="28"/>
          <w:szCs w:val="28"/>
        </w:rPr>
        <w:t>。</w:t>
      </w:r>
    </w:p>
    <w:p>
      <w:pPr>
        <w:spacing w:line="360" w:lineRule="auto"/>
        <w:rPr>
          <w:rFonts w:ascii="宋体" w:hAnsi="宋体" w:eastAsia="宋体" w:cs="宋体"/>
          <w:b/>
          <w:bCs/>
          <w:sz w:val="28"/>
          <w:szCs w:val="28"/>
        </w:rPr>
      </w:pPr>
      <w:bookmarkStart w:id="479" w:name="_Toc483473013"/>
      <w:bookmarkStart w:id="480" w:name="_Toc475021515"/>
      <w:bookmarkStart w:id="481" w:name="_Toc475086853"/>
      <w:bookmarkStart w:id="482" w:name="_Toc479317595"/>
      <w:r>
        <w:rPr>
          <w:rFonts w:hint="eastAsia" w:ascii="宋体" w:hAnsi="宋体" w:eastAsia="宋体" w:cs="宋体"/>
          <w:b/>
          <w:bCs/>
          <w:sz w:val="28"/>
          <w:szCs w:val="28"/>
        </w:rPr>
        <w:t>5.3.5风险点级别确定</w:t>
      </w:r>
      <w:bookmarkEnd w:id="478"/>
      <w:bookmarkEnd w:id="479"/>
      <w:bookmarkEnd w:id="480"/>
      <w:bookmarkEnd w:id="481"/>
      <w:bookmarkEnd w:id="482"/>
    </w:p>
    <w:p>
      <w:pPr>
        <w:spacing w:line="360" w:lineRule="auto"/>
        <w:ind w:firstLine="560" w:firstLineChars="200"/>
      </w:pPr>
      <w:r>
        <w:rPr>
          <w:rFonts w:hint="eastAsia" w:ascii="宋体" w:hAnsi="宋体" w:eastAsia="宋体" w:cs="宋体"/>
          <w:sz w:val="28"/>
          <w:szCs w:val="28"/>
        </w:rPr>
        <w:t>按照风险点中各危险源评价出的最高风险级别作为该风险点的级别。</w:t>
      </w:r>
    </w:p>
    <w:p>
      <w:pPr>
        <w:pStyle w:val="3"/>
        <w:spacing w:before="156" w:after="156"/>
      </w:pPr>
      <w:bookmarkStart w:id="483" w:name="_Toc20310"/>
      <w:r>
        <w:rPr>
          <w:rFonts w:hint="eastAsia"/>
        </w:rPr>
        <w:t>5.4风险控制措施</w:t>
      </w:r>
      <w:bookmarkEnd w:id="449"/>
      <w:bookmarkEnd w:id="450"/>
      <w:bookmarkEnd w:id="451"/>
      <w:bookmarkEnd w:id="452"/>
      <w:bookmarkEnd w:id="453"/>
      <w:bookmarkEnd w:id="454"/>
      <w:bookmarkEnd w:id="455"/>
      <w:r>
        <w:rPr>
          <w:rFonts w:hint="eastAsia"/>
        </w:rPr>
        <w:t>的制定与实施</w:t>
      </w:r>
      <w:bookmarkEnd w:id="48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（1）依制定风险控制措施时应从工程技术措施、管理措施、培训教育措施、个体防护措施、应急处置措施这五类中进行选择。</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w:t>
      </w:r>
      <w:bookmarkStart w:id="484" w:name="_Toc513540097"/>
      <w:bookmarkStart w:id="485" w:name="_Toc513540048"/>
      <w:r>
        <w:rPr>
          <w:rFonts w:hint="eastAsia" w:ascii="宋体" w:hAnsi="宋体" w:eastAsia="宋体" w:cs="宋体"/>
          <w:sz w:val="28"/>
          <w:szCs w:val="28"/>
        </w:rPr>
        <w:t>工程技术措施包括：</w:t>
      </w:r>
      <w:bookmarkEnd w:id="484"/>
      <w:bookmarkEnd w:id="485"/>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--消除或减弱危害是通过对装置、设备设施、工艺等的设计来消除危险源，如采用机械提升装置以清除手举或提重物这一危险行为等；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--替代是能过用低危害物质替代或降低系统能量，如较低的动力、电流、电压、温度等；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--封闭是对产生或导致危害的设施或场所进行密闭；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--隔离是通过隔离带、栅栏、警戒绳等把人与危险区域隔开，采用隔声罩以降低噪声等；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--移开或改变方向，如危险的位置。</w:t>
      </w:r>
    </w:p>
    <w:p>
      <w:pPr>
        <w:spacing w:line="360" w:lineRule="auto"/>
        <w:ind w:firstLine="560" w:firstLineChars="200"/>
        <w:rPr>
          <w:rFonts w:ascii="宋体" w:hAnsi="宋体" w:eastAsia="宋体" w:cs="宋体"/>
          <w:sz w:val="28"/>
          <w:szCs w:val="28"/>
        </w:rPr>
      </w:pPr>
      <w:bookmarkStart w:id="486" w:name="_Toc513540049"/>
      <w:bookmarkStart w:id="487" w:name="_Toc513540098"/>
      <w:r>
        <w:rPr>
          <w:rFonts w:hint="eastAsia" w:ascii="宋体" w:hAnsi="宋体" w:eastAsia="宋体" w:cs="宋体"/>
          <w:sz w:val="28"/>
          <w:szCs w:val="28"/>
        </w:rPr>
        <w:t>（3）管理措施包括：</w:t>
      </w:r>
      <w:bookmarkEnd w:id="486"/>
      <w:bookmarkEnd w:id="48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--制定实施作业程序、安全许可、安全操作规程等；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--减少暴露时间（如异常温度或有害环境）；</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--监测监控；</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--警报和警示信号；</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--安全互助体系；</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--风险转移（共担）。</w:t>
      </w:r>
    </w:p>
    <w:p>
      <w:pPr>
        <w:spacing w:line="360" w:lineRule="auto"/>
        <w:ind w:firstLine="560" w:firstLineChars="200"/>
        <w:rPr>
          <w:rFonts w:ascii="宋体" w:hAnsi="宋体" w:eastAsia="宋体" w:cs="宋体"/>
          <w:sz w:val="28"/>
          <w:szCs w:val="28"/>
        </w:rPr>
      </w:pPr>
      <w:bookmarkStart w:id="488" w:name="_Toc513540099"/>
      <w:bookmarkStart w:id="489" w:name="_Toc513540050"/>
      <w:r>
        <w:rPr>
          <w:rFonts w:hint="eastAsia" w:ascii="宋体" w:hAnsi="宋体" w:eastAsia="宋体" w:cs="宋体"/>
          <w:sz w:val="28"/>
          <w:szCs w:val="28"/>
        </w:rPr>
        <w:t>（4）培训教育措施包括：</w:t>
      </w:r>
      <w:bookmarkEnd w:id="488"/>
      <w:bookmarkEnd w:id="489"/>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--员工入厂三级培训；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--转岗、复岗培训；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--新材料、新工艺、新技术、新设备培训；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--每年再培训；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--安全管理人员及特种作业人员继续教育；</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--其他方面的培训。</w:t>
      </w:r>
    </w:p>
    <w:p>
      <w:pPr>
        <w:spacing w:line="360" w:lineRule="auto"/>
        <w:ind w:firstLine="560" w:firstLineChars="200"/>
        <w:rPr>
          <w:rFonts w:ascii="宋体" w:hAnsi="宋体" w:eastAsia="宋体" w:cs="宋体"/>
          <w:sz w:val="28"/>
          <w:szCs w:val="28"/>
        </w:rPr>
      </w:pPr>
      <w:bookmarkStart w:id="490" w:name="_Toc513540051"/>
      <w:bookmarkStart w:id="491" w:name="_Toc513540100"/>
      <w:r>
        <w:rPr>
          <w:rFonts w:hint="eastAsia" w:ascii="宋体" w:hAnsi="宋体" w:eastAsia="宋体" w:cs="宋体"/>
          <w:sz w:val="28"/>
          <w:szCs w:val="28"/>
        </w:rPr>
        <w:t>（5）个体防护措施包括：</w:t>
      </w:r>
      <w:bookmarkEnd w:id="490"/>
      <w:bookmarkEnd w:id="491"/>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--个体防护用品包括：防尘口罩、耐酸碱手套、耐酸碱胶靴、安全手套、防护服、防护耳塞、防护眼镜、防护手套、呼吸器、安全绝缘穿戴或用具等；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--当工程控制措施不能消除或减弱危险有害因素时，均应采取防护措施；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--当处置异常或紧急情况时，应考虑佩戴防护用品；</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--当发生变更，但风险控制措施还没有及时到位时，应考虑佩戴防护用品。</w:t>
      </w:r>
    </w:p>
    <w:p>
      <w:pPr>
        <w:spacing w:line="360" w:lineRule="auto"/>
        <w:ind w:firstLine="560" w:firstLineChars="200"/>
        <w:rPr>
          <w:rFonts w:ascii="宋体" w:hAnsi="宋体" w:eastAsia="宋体" w:cs="宋体"/>
          <w:sz w:val="28"/>
          <w:szCs w:val="28"/>
        </w:rPr>
      </w:pPr>
      <w:bookmarkStart w:id="492" w:name="_Toc513540101"/>
      <w:bookmarkStart w:id="493" w:name="_Toc513540052"/>
      <w:r>
        <w:rPr>
          <w:rFonts w:hint="eastAsia" w:ascii="宋体" w:hAnsi="宋体" w:eastAsia="宋体" w:cs="宋体"/>
          <w:sz w:val="28"/>
          <w:szCs w:val="28"/>
        </w:rPr>
        <w:t>（6）应急措施包括：</w:t>
      </w:r>
      <w:bookmarkEnd w:id="492"/>
      <w:bookmarkEnd w:id="49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--紧急情况分析、应急方案、现场处置方案的制定、应急物资的准备；</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--通过应急演练、培训等措施，确认和提高相关人员的应急能力，以防止和减少安全不良后果。</w:t>
      </w:r>
    </w:p>
    <w:p>
      <w:pPr>
        <w:spacing w:line="360" w:lineRule="auto"/>
        <w:ind w:firstLine="560" w:firstLineChars="200"/>
        <w:rPr>
          <w:rFonts w:ascii="宋体" w:hAnsi="宋体" w:eastAsia="宋体" w:cs="宋体"/>
          <w:sz w:val="28"/>
          <w:szCs w:val="28"/>
        </w:rPr>
      </w:pPr>
      <w:bookmarkStart w:id="494" w:name="_Toc513540102"/>
      <w:bookmarkStart w:id="495" w:name="_Toc513540053"/>
      <w:r>
        <w:rPr>
          <w:rFonts w:hint="eastAsia" w:ascii="宋体" w:hAnsi="宋体" w:eastAsia="宋体" w:cs="宋体"/>
          <w:sz w:val="28"/>
          <w:szCs w:val="28"/>
        </w:rPr>
        <w:t>（7）风险控制措施实施</w:t>
      </w:r>
      <w:bookmarkEnd w:id="494"/>
      <w:bookmarkEnd w:id="495"/>
      <w:r>
        <w:rPr>
          <w:rFonts w:hint="eastAsia" w:ascii="宋体" w:hAnsi="宋体" w:eastAsia="宋体" w:cs="宋体"/>
          <w:sz w:val="28"/>
          <w:szCs w:val="28"/>
        </w:rPr>
        <w:t>：不同级别的风险要结合实际采取一种或多种可行性有效性措施进行控制，对于评价出的不可接受风险，应制定补充建议措施并实施，直至风险可以接受。</w:t>
      </w:r>
    </w:p>
    <w:p>
      <w:pPr>
        <w:pStyle w:val="3"/>
        <w:spacing w:before="156" w:after="156"/>
      </w:pPr>
      <w:bookmarkStart w:id="496" w:name="_Toc453934491"/>
      <w:bookmarkStart w:id="497" w:name="_Toc468959292"/>
      <w:bookmarkStart w:id="498" w:name="_Toc468956176"/>
      <w:bookmarkStart w:id="499" w:name="_Toc475106668"/>
      <w:bookmarkStart w:id="500" w:name="_Toc475539135"/>
      <w:bookmarkStart w:id="501" w:name="_Toc472345269"/>
      <w:bookmarkStart w:id="502" w:name="_Toc468797568"/>
      <w:bookmarkStart w:id="503" w:name="_Toc483486610"/>
      <w:bookmarkStart w:id="504" w:name="_Toc479171744"/>
      <w:bookmarkStart w:id="505" w:name="_Toc483486520"/>
      <w:bookmarkStart w:id="506" w:name="_Toc6482"/>
      <w:bookmarkStart w:id="507" w:name="_Toc2532"/>
      <w:bookmarkStart w:id="508" w:name="_Toc479257287"/>
      <w:r>
        <w:rPr>
          <w:rFonts w:hint="eastAsia"/>
        </w:rPr>
        <w:t>5.5风险</w:t>
      </w:r>
      <w:bookmarkEnd w:id="496"/>
      <w:r>
        <w:rPr>
          <w:rFonts w:hint="eastAsia"/>
        </w:rPr>
        <w:t>分级</w:t>
      </w:r>
      <w:bookmarkEnd w:id="497"/>
      <w:bookmarkEnd w:id="498"/>
      <w:bookmarkEnd w:id="499"/>
      <w:bookmarkEnd w:id="500"/>
      <w:bookmarkEnd w:id="501"/>
      <w:bookmarkEnd w:id="502"/>
      <w:r>
        <w:rPr>
          <w:rFonts w:hint="eastAsia"/>
        </w:rPr>
        <w:t>管控</w:t>
      </w:r>
      <w:bookmarkEnd w:id="503"/>
      <w:bookmarkEnd w:id="504"/>
      <w:bookmarkEnd w:id="505"/>
      <w:bookmarkEnd w:id="506"/>
      <w:bookmarkEnd w:id="507"/>
      <w:bookmarkEnd w:id="508"/>
    </w:p>
    <w:p>
      <w:pPr>
        <w:spacing w:line="360" w:lineRule="auto"/>
        <w:rPr>
          <w:rFonts w:ascii="宋体" w:hAnsi="宋体" w:eastAsia="宋体" w:cs="宋体"/>
          <w:b/>
          <w:bCs/>
          <w:sz w:val="28"/>
          <w:szCs w:val="28"/>
        </w:rPr>
      </w:pPr>
      <w:bookmarkStart w:id="509" w:name="_Toc479317598"/>
      <w:bookmarkStart w:id="510" w:name="_Toc470695984"/>
      <w:bookmarkStart w:id="511" w:name="_Toc475021519"/>
      <w:bookmarkStart w:id="512" w:name="_Toc475086857"/>
      <w:bookmarkStart w:id="513" w:name="_Toc483473016"/>
      <w:r>
        <w:rPr>
          <w:rFonts w:hint="eastAsia" w:ascii="宋体" w:hAnsi="宋体" w:eastAsia="宋体" w:cs="宋体"/>
          <w:b/>
          <w:bCs/>
          <w:sz w:val="28"/>
          <w:szCs w:val="28"/>
        </w:rPr>
        <w:t>5.5.1风险分级管控的要求</w:t>
      </w:r>
      <w:bookmarkEnd w:id="509"/>
      <w:bookmarkEnd w:id="510"/>
      <w:bookmarkEnd w:id="511"/>
      <w:bookmarkEnd w:id="512"/>
      <w:bookmarkEnd w:id="51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风险分级管控应遵循风险越高管控层级越高的原则，上一级负责管控的风险，下一级必须同时负责管控，并逐级落实具体措施。对于操作难度大、技术含量高、风险等级高、可能导致严重后果的作业活动应重点进行管控。</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根据风险分级管控的基本原则和企业组织机构设置情况，合理确定各级风险的管控层级，一般分为公司（厂）级、部室（车间级）、班组和岗位级，也可结合本单位机构设置情况，对风险管控层级进行增加或合并。</w:t>
      </w:r>
    </w:p>
    <w:p>
      <w:pPr>
        <w:spacing w:line="360" w:lineRule="auto"/>
        <w:rPr>
          <w:rFonts w:ascii="宋体" w:hAnsi="宋体" w:eastAsia="宋体" w:cs="宋体"/>
          <w:b/>
          <w:bCs/>
          <w:sz w:val="28"/>
          <w:szCs w:val="28"/>
        </w:rPr>
      </w:pPr>
      <w:bookmarkStart w:id="514" w:name="_Toc475086858"/>
      <w:bookmarkStart w:id="515" w:name="_Toc483473017"/>
      <w:bookmarkStart w:id="516" w:name="_Toc479317599"/>
      <w:bookmarkStart w:id="517" w:name="_Toc475021520"/>
      <w:bookmarkStart w:id="518" w:name="_Toc470695985"/>
      <w:r>
        <w:rPr>
          <w:rFonts w:hint="eastAsia" w:ascii="宋体" w:hAnsi="宋体" w:eastAsia="宋体" w:cs="宋体"/>
          <w:b/>
          <w:bCs/>
          <w:sz w:val="28"/>
          <w:szCs w:val="28"/>
        </w:rPr>
        <w:t>5.5.2编制风险分级管控清单</w:t>
      </w:r>
      <w:bookmarkEnd w:id="514"/>
      <w:bookmarkEnd w:id="515"/>
      <w:bookmarkEnd w:id="516"/>
      <w:bookmarkEnd w:id="517"/>
      <w:bookmarkEnd w:id="51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在每一轮危险源辨识和风险评价后，编制包括全部风险点各类风险信息的风险分级管控清单，并按规定及时更新。</w:t>
      </w:r>
    </w:p>
    <w:p>
      <w:pPr>
        <w:spacing w:line="360" w:lineRule="auto"/>
        <w:rPr>
          <w:rFonts w:ascii="宋体" w:hAnsi="宋体" w:eastAsia="宋体" w:cs="宋体"/>
          <w:b/>
          <w:bCs/>
          <w:sz w:val="28"/>
          <w:szCs w:val="28"/>
        </w:rPr>
      </w:pPr>
      <w:bookmarkStart w:id="519" w:name="_Toc475021521"/>
      <w:bookmarkStart w:id="520" w:name="_Toc483473018"/>
      <w:bookmarkStart w:id="521" w:name="_Toc479317600"/>
      <w:bookmarkStart w:id="522" w:name="_Toc475086859"/>
      <w:r>
        <w:rPr>
          <w:rFonts w:hint="eastAsia" w:ascii="宋体" w:hAnsi="宋体" w:eastAsia="宋体" w:cs="宋体"/>
          <w:b/>
          <w:bCs/>
          <w:sz w:val="28"/>
          <w:szCs w:val="28"/>
        </w:rPr>
        <w:t>5.5.3风险告知</w:t>
      </w:r>
      <w:bookmarkEnd w:id="519"/>
      <w:bookmarkEnd w:id="520"/>
      <w:bookmarkEnd w:id="521"/>
      <w:bookmarkEnd w:id="522"/>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建立安全风险公告制度，在醒目位置和重点区域分别设置安全风险及职业健康公告栏。</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--岗位安全风险告知牌，标明主要安全风险、可能引发事故隐患类别、事故后果、管控措施、应急措施及报告方式等内容。</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--岗位职业健康告知牌，标明标明主要岗位作业活动过程中存在职业危害因素、评价级别、风险等级、导致的职业病或健康损伤、应采取的管控及相应的管理级别等。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对存在较大危险因素的工作场所和岗位，要设置明显警示标志。对风险分级管控清中存在的风险点、危险源及应采取的措施通过培训方式告知各岗位人员及相关方，使其掌握规避风险的措施并落实到位。</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br w:type="page"/>
      </w:r>
    </w:p>
    <w:p>
      <w:pPr>
        <w:pStyle w:val="3"/>
        <w:spacing w:before="156" w:after="156"/>
      </w:pPr>
      <w:bookmarkStart w:id="523" w:name="_Toc472345272"/>
      <w:bookmarkStart w:id="524" w:name="_Toc479257292"/>
      <w:bookmarkStart w:id="525" w:name="_Toc479171745"/>
      <w:bookmarkStart w:id="526" w:name="_Toc24250"/>
      <w:bookmarkStart w:id="527" w:name="_Toc475106674"/>
      <w:bookmarkStart w:id="528" w:name="_Toc483486526"/>
      <w:bookmarkStart w:id="529" w:name="_Toc475539141"/>
      <w:bookmarkStart w:id="530" w:name="_Toc483486616"/>
      <w:bookmarkStart w:id="531" w:name="_Toc10598"/>
      <w:r>
        <w:rPr>
          <w:rFonts w:hint="eastAsia"/>
        </w:rPr>
        <w:t>6</w:t>
      </w:r>
      <w:bookmarkEnd w:id="523"/>
      <w:bookmarkEnd w:id="524"/>
      <w:bookmarkEnd w:id="525"/>
      <w:bookmarkEnd w:id="526"/>
      <w:bookmarkEnd w:id="527"/>
      <w:bookmarkEnd w:id="528"/>
      <w:bookmarkEnd w:id="529"/>
      <w:bookmarkEnd w:id="530"/>
      <w:r>
        <w:rPr>
          <w:rFonts w:hint="eastAsia"/>
        </w:rPr>
        <w:t>文件管理</w:t>
      </w:r>
      <w:bookmarkEnd w:id="531"/>
    </w:p>
    <w:p>
      <w:pPr>
        <w:spacing w:line="360" w:lineRule="auto"/>
        <w:ind w:firstLine="560" w:firstLineChars="200"/>
        <w:rPr>
          <w:rFonts w:ascii="宋体" w:hAnsi="宋体" w:eastAsia="宋体" w:cs="宋体"/>
          <w:sz w:val="28"/>
          <w:szCs w:val="28"/>
        </w:rPr>
      </w:pPr>
      <w:bookmarkStart w:id="532" w:name="_Toc479171747"/>
      <w:bookmarkStart w:id="533" w:name="_Toc453934493"/>
      <w:r>
        <w:rPr>
          <w:rFonts w:hint="eastAsia" w:ascii="宋体" w:hAnsi="宋体" w:eastAsia="宋体" w:cs="宋体"/>
          <w:sz w:val="28"/>
          <w:szCs w:val="28"/>
        </w:rPr>
        <w:t>公司应完整保存体现风险分级管控过程的记录资料，并分类建档管理。应包括风险分级管控制度、风险点统计表、危险源辨识与风险评价记录，以及风险分级管控清单、危险源统计表等内容的文件化成果；涉及重大、较大风险时，其辨识、评价过程记录，风险控制措施及其实施和改进记录等，应单独建档管理。</w:t>
      </w:r>
      <w:bookmarkEnd w:id="532"/>
    </w:p>
    <w:p>
      <w:pPr>
        <w:pStyle w:val="3"/>
        <w:spacing w:before="156" w:after="156"/>
      </w:pPr>
      <w:bookmarkStart w:id="534" w:name="_Toc464049473"/>
      <w:bookmarkStart w:id="535" w:name="_Toc464048159"/>
      <w:bookmarkStart w:id="536" w:name="_Toc468797570"/>
      <w:bookmarkStart w:id="537" w:name="_Toc472345275"/>
      <w:bookmarkStart w:id="538" w:name="_Toc475539144"/>
      <w:bookmarkStart w:id="539" w:name="_Toc23076"/>
      <w:bookmarkStart w:id="540" w:name="_Toc10239"/>
      <w:bookmarkStart w:id="541" w:name="_Toc483486619"/>
      <w:bookmarkStart w:id="542" w:name="_Toc468956178"/>
      <w:bookmarkStart w:id="543" w:name="_Toc479171750"/>
      <w:bookmarkStart w:id="544" w:name="_Toc479257295"/>
      <w:bookmarkStart w:id="545" w:name="_Toc468959294"/>
      <w:bookmarkStart w:id="546" w:name="_Toc29185"/>
      <w:bookmarkStart w:id="547" w:name="_Toc475106677"/>
      <w:bookmarkStart w:id="548" w:name="_Toc483486529"/>
      <w:r>
        <w:rPr>
          <w:rFonts w:hint="eastAsia"/>
        </w:rPr>
        <w:t>7分级管控的</w:t>
      </w:r>
      <w:bookmarkEnd w:id="534"/>
      <w:bookmarkEnd w:id="535"/>
      <w:r>
        <w:rPr>
          <w:rFonts w:hint="eastAsia"/>
        </w:rPr>
        <w:t>效果</w:t>
      </w:r>
      <w:bookmarkEnd w:id="536"/>
      <w:bookmarkEnd w:id="537"/>
      <w:bookmarkEnd w:id="538"/>
      <w:bookmarkEnd w:id="539"/>
      <w:bookmarkEnd w:id="540"/>
      <w:bookmarkEnd w:id="541"/>
      <w:bookmarkEnd w:id="542"/>
      <w:bookmarkEnd w:id="543"/>
      <w:bookmarkEnd w:id="544"/>
      <w:bookmarkEnd w:id="545"/>
      <w:bookmarkEnd w:id="546"/>
      <w:bookmarkEnd w:id="547"/>
      <w:bookmarkEnd w:id="54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通过风险分级管控体系建设，至少达到以下效果：</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——通过开展危险源辨识和风险评价，能充分的明确企业安全管控的重点，原有的风险管控措施得到改进；</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——通过体系建设，能充分认识到安全管理工作的重要性，并能掌握到科学的、规范的、有效的安全管理方法；</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——重大风险场所、部位得到了明确，安全警示标识得到保持和完善；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——重大风险部位作业和属于重大风险的作业，得到了全过程的、有效的安全管控，建立完善了专人监护制度，确保安全风险处于可控状态；</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——全体员熟知工作过程中安全风险控制措施，确保全员受到教育，安全技能和应急处置能力得到进一步的提高；</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——保证风险控制措施持续有效的制度得到改进和完善，风险管控能力得到加强；</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——根据改进的风险控制措施，完善隐患排查项目清单，使隐患排查工作更有针对性。</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br w:type="page"/>
      </w:r>
    </w:p>
    <w:bookmarkEnd w:id="533"/>
    <w:p>
      <w:pPr>
        <w:pStyle w:val="3"/>
        <w:numPr>
          <w:ilvl w:val="0"/>
          <w:numId w:val="17"/>
        </w:numPr>
        <w:spacing w:before="156" w:after="156"/>
      </w:pPr>
      <w:bookmarkStart w:id="549" w:name="_Toc479257296"/>
      <w:bookmarkStart w:id="550" w:name="_Toc29930"/>
      <w:bookmarkStart w:id="551" w:name="_Toc483486620"/>
      <w:bookmarkStart w:id="552" w:name="_Toc475539145"/>
      <w:bookmarkStart w:id="553" w:name="_Toc468959295"/>
      <w:bookmarkStart w:id="554" w:name="_Toc15521_WPSOffice_Level2"/>
      <w:bookmarkStart w:id="555" w:name="_Toc9184"/>
      <w:bookmarkStart w:id="556" w:name="_Toc468956179"/>
      <w:bookmarkStart w:id="557" w:name="_Toc472345276"/>
      <w:bookmarkStart w:id="558" w:name="_Toc468797571"/>
      <w:bookmarkStart w:id="559" w:name="_Toc483486530"/>
      <w:bookmarkStart w:id="560" w:name="_Toc475106678"/>
      <w:bookmarkStart w:id="561" w:name="_Toc479171751"/>
      <w:r>
        <w:rPr>
          <w:rFonts w:hint="eastAsia"/>
        </w:rPr>
        <w:t>信息化管理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将排查出的风险管控相关信息录入风险分级管控体系信息平台中，并保障正常运行。</w:t>
      </w:r>
    </w:p>
    <w:p>
      <w:pPr>
        <w:pStyle w:val="3"/>
        <w:spacing w:before="156" w:after="156"/>
      </w:pPr>
      <w:r>
        <w:rPr>
          <w:rFonts w:hint="eastAsia"/>
        </w:rPr>
        <w:t>9.持续改进</w:t>
      </w:r>
      <w:bookmarkEnd w:id="549"/>
      <w:bookmarkEnd w:id="550"/>
      <w:bookmarkEnd w:id="551"/>
      <w:bookmarkEnd w:id="552"/>
      <w:bookmarkEnd w:id="553"/>
      <w:bookmarkEnd w:id="554"/>
      <w:bookmarkEnd w:id="555"/>
      <w:bookmarkEnd w:id="556"/>
      <w:bookmarkEnd w:id="557"/>
      <w:bookmarkEnd w:id="558"/>
      <w:bookmarkEnd w:id="559"/>
      <w:bookmarkEnd w:id="560"/>
      <w:bookmarkEnd w:id="561"/>
    </w:p>
    <w:p>
      <w:pPr>
        <w:pStyle w:val="3"/>
        <w:spacing w:before="156" w:after="156"/>
      </w:pPr>
      <w:bookmarkStart w:id="562" w:name="_Toc29815"/>
      <w:bookmarkStart w:id="563" w:name="_Toc13490"/>
      <w:r>
        <w:rPr>
          <w:rFonts w:hint="eastAsia"/>
        </w:rPr>
        <w:t>9.1 评审</w:t>
      </w:r>
      <w:bookmarkEnd w:id="562"/>
      <w:bookmarkEnd w:id="56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本公司每年至少对风险分级管控体系进行一次系统性评审；并对评审结果进行公示和公布。</w:t>
      </w:r>
    </w:p>
    <w:p>
      <w:pPr>
        <w:pStyle w:val="3"/>
        <w:spacing w:before="156" w:after="156"/>
      </w:pPr>
      <w:bookmarkStart w:id="564" w:name="_Toc416"/>
      <w:bookmarkStart w:id="565" w:name="_Toc16784"/>
      <w:r>
        <w:rPr>
          <w:rFonts w:hint="eastAsia"/>
        </w:rPr>
        <w:t>9.2 更新</w:t>
      </w:r>
      <w:bookmarkEnd w:id="564"/>
      <w:bookmarkEnd w:id="565"/>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本公司根据以下情况变化对风险管控的影响，及时针对变化范围开展风险分析，及时更新风险 信息：</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——法规、标准等增减、修订变化所引起风险程度的改变；</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 xml:space="preserve">——发生事故后，有对事故、事件或其他信息的新认识，对相关危险源的再评价； </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——组织机构发生重大调整；</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——风险程度变化后，需要对风险控制措施的调整；</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——根据非常规作业活动、新增功能性区域、装置或设施以及其他变更情况等适时开展危险源辨识和风险评价。</w:t>
      </w:r>
    </w:p>
    <w:p>
      <w:pPr>
        <w:pStyle w:val="3"/>
        <w:spacing w:before="156" w:after="156"/>
      </w:pPr>
      <w:bookmarkStart w:id="566" w:name="_Toc15093"/>
      <w:bookmarkStart w:id="567" w:name="_Toc86"/>
      <w:r>
        <w:rPr>
          <w:rFonts w:hint="eastAsia"/>
        </w:rPr>
        <w:t>9.3 沟通</w:t>
      </w:r>
      <w:bookmarkEnd w:id="566"/>
      <w:bookmarkEnd w:id="56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建立不同职能和层级间的内部沟通和用于与相关方的外部风险管控沟通体系，及时有效传递 风险信息，树立内外部风险管控信心，提高风险管控效果和效率。重大风险信息更新后应及时组织相关人员进行培训。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br w:type="page"/>
      </w:r>
    </w:p>
    <w:p>
      <w:pPr>
        <w:pStyle w:val="21"/>
        <w:outlineLvl w:val="1"/>
      </w:pPr>
      <w:bookmarkStart w:id="568" w:name="_Toc26786"/>
      <w:bookmarkStart w:id="569" w:name="_Toc8425"/>
      <w:r>
        <w:br w:type="textWrapping"/>
      </w:r>
      <w:bookmarkStart w:id="570" w:name="_Toc22889_WPSOffice_Level1"/>
      <w:bookmarkStart w:id="571" w:name="_Toc17340_WPSOffice_Level1"/>
      <w:bookmarkStart w:id="572" w:name="_Toc10209_WPSOffice_Level2"/>
      <w:bookmarkStart w:id="573" w:name="_Toc27060_WPSOffice_Level1"/>
      <w:bookmarkStart w:id="574" w:name="_Toc23360_WPSOffice_Level1"/>
      <w:bookmarkStart w:id="575" w:name="_Toc23548_WPSOffice_Level1"/>
      <w:bookmarkStart w:id="576" w:name="_Toc483486531"/>
      <w:bookmarkStart w:id="577" w:name="_Toc18620_WPSOffice_Level1"/>
      <w:bookmarkStart w:id="578" w:name="_Toc483486621"/>
      <w:r>
        <w:rPr>
          <w:rFonts w:hint="eastAsia"/>
        </w:rPr>
        <w:t>（资料性附录）</w:t>
      </w:r>
      <w:r>
        <w:br w:type="textWrapping"/>
      </w:r>
      <w:r>
        <w:rPr>
          <w:rFonts w:hint="eastAsia"/>
        </w:rPr>
        <w:t>分析记录表</w:t>
      </w:r>
      <w:bookmarkEnd w:id="568"/>
      <w:bookmarkEnd w:id="569"/>
      <w:bookmarkEnd w:id="570"/>
      <w:bookmarkEnd w:id="571"/>
      <w:bookmarkEnd w:id="572"/>
      <w:bookmarkEnd w:id="573"/>
      <w:bookmarkEnd w:id="574"/>
      <w:bookmarkEnd w:id="575"/>
      <w:bookmarkEnd w:id="576"/>
      <w:bookmarkEnd w:id="577"/>
      <w:bookmarkEnd w:id="578"/>
    </w:p>
    <w:p>
      <w:pPr>
        <w:pStyle w:val="22"/>
        <w:spacing w:before="312" w:after="312"/>
      </w:pPr>
      <w:bookmarkStart w:id="579" w:name="_Toc22238_WPSOffice_Level2"/>
      <w:bookmarkStart w:id="580" w:name="_Toc479175343"/>
      <w:bookmarkStart w:id="581" w:name="_Toc479171756"/>
      <w:bookmarkStart w:id="582" w:name="_Toc5763_WPSOffice_Level2"/>
      <w:bookmarkStart w:id="583" w:name="_Toc16733_WPSOffice_Level2"/>
      <w:bookmarkStart w:id="584" w:name="_Toc31012"/>
      <w:bookmarkStart w:id="585" w:name="_Toc62_WPSOffice_Level2"/>
      <w:bookmarkStart w:id="586" w:name="_Toc29538"/>
      <w:bookmarkStart w:id="587" w:name="_Toc6198_WPSOffice_Level2"/>
      <w:bookmarkStart w:id="588" w:name="_Toc479257301"/>
      <w:bookmarkStart w:id="589" w:name="_Toc5328_WPSOffice_Level2"/>
      <w:r>
        <w:rPr>
          <w:rFonts w:hint="eastAsia"/>
        </w:rPr>
        <w:t>作业活动清单</w:t>
      </w:r>
      <w:bookmarkEnd w:id="579"/>
      <w:bookmarkEnd w:id="580"/>
      <w:bookmarkEnd w:id="581"/>
      <w:bookmarkEnd w:id="582"/>
      <w:bookmarkEnd w:id="583"/>
      <w:bookmarkEnd w:id="584"/>
      <w:bookmarkEnd w:id="585"/>
      <w:bookmarkEnd w:id="586"/>
      <w:bookmarkEnd w:id="587"/>
      <w:bookmarkEnd w:id="588"/>
      <w:bookmarkEnd w:id="589"/>
    </w:p>
    <w:p>
      <w:pPr>
        <w:tabs>
          <w:tab w:val="left" w:pos="3119"/>
        </w:tabs>
        <w:spacing w:line="0" w:lineRule="atLeast"/>
        <w:ind w:firstLine="360" w:firstLineChars="200"/>
        <w:rPr>
          <w:rFonts w:ascii="宋体" w:hAnsi="宋体"/>
          <w:sz w:val="18"/>
          <w:szCs w:val="18"/>
        </w:rPr>
      </w:pPr>
      <w:r>
        <w:rPr>
          <w:rStyle w:val="23"/>
          <w:rFonts w:hint="eastAsia"/>
        </w:rPr>
        <w:t>（记录受控号）单位</w:t>
      </w:r>
      <w:r>
        <w:rPr>
          <w:rStyle w:val="23"/>
        </w:rPr>
        <w:t>:</w:t>
      </w:r>
      <w:r>
        <w:rPr>
          <w:rStyle w:val="23"/>
          <w:rFonts w:hint="eastAsia"/>
        </w:rPr>
        <w:t xml:space="preserve"> </w:t>
      </w:r>
      <w:r>
        <w:rPr>
          <w:rFonts w:hint="eastAsia" w:ascii="宋体" w:hAnsi="宋体" w:cs="仿宋_GB2312"/>
          <w:sz w:val="18"/>
          <w:szCs w:val="18"/>
        </w:rPr>
        <w:t xml:space="preserve">                                                    No：</w:t>
      </w:r>
    </w:p>
    <w:tbl>
      <w:tblPr>
        <w:tblStyle w:val="13"/>
        <w:tblW w:w="8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1377"/>
        <w:gridCol w:w="1826"/>
        <w:gridCol w:w="1658"/>
        <w:gridCol w:w="1238"/>
        <w:gridCol w:w="1493"/>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09" w:type="dxa"/>
            <w:vAlign w:val="center"/>
          </w:tcPr>
          <w:p>
            <w:pPr>
              <w:spacing w:line="0" w:lineRule="atLeast"/>
              <w:jc w:val="center"/>
              <w:rPr>
                <w:rFonts w:ascii="宋体" w:hAnsi="宋体"/>
                <w:bCs/>
                <w:sz w:val="18"/>
                <w:szCs w:val="18"/>
              </w:rPr>
            </w:pPr>
            <w:r>
              <w:rPr>
                <w:rFonts w:hint="eastAsia" w:ascii="宋体" w:hAnsi="宋体" w:cs="仿宋_GB2312"/>
                <w:bCs/>
                <w:sz w:val="18"/>
                <w:szCs w:val="18"/>
              </w:rPr>
              <w:t>序号</w:t>
            </w:r>
          </w:p>
        </w:tc>
        <w:tc>
          <w:tcPr>
            <w:tcW w:w="1377" w:type="dxa"/>
            <w:vAlign w:val="center"/>
          </w:tcPr>
          <w:p>
            <w:pPr>
              <w:spacing w:line="0" w:lineRule="atLeast"/>
              <w:jc w:val="center"/>
              <w:rPr>
                <w:rFonts w:ascii="宋体" w:hAnsi="宋体" w:cs="仿宋_GB2312"/>
                <w:bCs/>
                <w:sz w:val="18"/>
                <w:szCs w:val="18"/>
              </w:rPr>
            </w:pPr>
            <w:r>
              <w:rPr>
                <w:rFonts w:hint="eastAsia" w:ascii="宋体" w:hAnsi="宋体" w:cs="仿宋_GB2312"/>
                <w:bCs/>
                <w:sz w:val="18"/>
                <w:szCs w:val="18"/>
              </w:rPr>
              <w:t>作业活动名称</w:t>
            </w:r>
          </w:p>
        </w:tc>
        <w:tc>
          <w:tcPr>
            <w:tcW w:w="1826" w:type="dxa"/>
            <w:vAlign w:val="center"/>
          </w:tcPr>
          <w:p>
            <w:pPr>
              <w:spacing w:line="0" w:lineRule="atLeast"/>
              <w:jc w:val="center"/>
              <w:rPr>
                <w:rFonts w:ascii="宋体" w:hAnsi="宋体"/>
                <w:bCs/>
                <w:sz w:val="18"/>
                <w:szCs w:val="18"/>
              </w:rPr>
            </w:pPr>
            <w:r>
              <w:rPr>
                <w:rFonts w:hint="eastAsia" w:ascii="宋体" w:hAnsi="宋体" w:cs="仿宋_GB2312"/>
                <w:bCs/>
                <w:sz w:val="18"/>
                <w:szCs w:val="18"/>
              </w:rPr>
              <w:t>作业活动内容</w:t>
            </w:r>
          </w:p>
        </w:tc>
        <w:tc>
          <w:tcPr>
            <w:tcW w:w="1658" w:type="dxa"/>
            <w:vAlign w:val="center"/>
          </w:tcPr>
          <w:p>
            <w:pPr>
              <w:spacing w:line="0" w:lineRule="atLeast"/>
              <w:jc w:val="center"/>
              <w:rPr>
                <w:rFonts w:ascii="宋体" w:hAnsi="宋体" w:cs="仿宋_GB2312"/>
                <w:bCs/>
                <w:sz w:val="18"/>
                <w:szCs w:val="18"/>
              </w:rPr>
            </w:pPr>
            <w:r>
              <w:rPr>
                <w:rFonts w:hint="eastAsia" w:ascii="宋体" w:hAnsi="宋体" w:cs="仿宋_GB2312"/>
                <w:bCs/>
                <w:sz w:val="18"/>
                <w:szCs w:val="18"/>
              </w:rPr>
              <w:t>岗位</w:t>
            </w:r>
            <w:r>
              <w:rPr>
                <w:rFonts w:ascii="宋体" w:hAnsi="宋体" w:cs="仿宋_GB2312"/>
                <w:bCs/>
                <w:sz w:val="18"/>
                <w:szCs w:val="18"/>
              </w:rPr>
              <w:t>/</w:t>
            </w:r>
            <w:r>
              <w:rPr>
                <w:rFonts w:hint="eastAsia" w:ascii="宋体" w:hAnsi="宋体" w:cs="仿宋_GB2312"/>
                <w:bCs/>
                <w:sz w:val="18"/>
                <w:szCs w:val="18"/>
              </w:rPr>
              <w:t>地点</w:t>
            </w:r>
          </w:p>
        </w:tc>
        <w:tc>
          <w:tcPr>
            <w:tcW w:w="1238" w:type="dxa"/>
            <w:vAlign w:val="center"/>
          </w:tcPr>
          <w:p>
            <w:pPr>
              <w:spacing w:line="0" w:lineRule="atLeast"/>
              <w:jc w:val="center"/>
              <w:rPr>
                <w:rFonts w:ascii="宋体" w:hAnsi="宋体"/>
                <w:bCs/>
                <w:sz w:val="18"/>
                <w:szCs w:val="18"/>
              </w:rPr>
            </w:pPr>
            <w:r>
              <w:rPr>
                <w:rFonts w:hint="eastAsia" w:ascii="宋体" w:hAnsi="宋体"/>
                <w:bCs/>
                <w:sz w:val="18"/>
                <w:szCs w:val="18"/>
              </w:rPr>
              <w:t>实施单位</w:t>
            </w:r>
          </w:p>
        </w:tc>
        <w:tc>
          <w:tcPr>
            <w:tcW w:w="1493" w:type="dxa"/>
            <w:vAlign w:val="center"/>
          </w:tcPr>
          <w:p>
            <w:pPr>
              <w:spacing w:line="0" w:lineRule="atLeast"/>
              <w:jc w:val="center"/>
              <w:rPr>
                <w:rFonts w:ascii="宋体" w:hAnsi="宋体"/>
                <w:bCs/>
                <w:sz w:val="18"/>
                <w:szCs w:val="18"/>
              </w:rPr>
            </w:pPr>
            <w:r>
              <w:rPr>
                <w:rFonts w:hint="eastAsia" w:ascii="宋体" w:hAnsi="宋体" w:cs="仿宋_GB2312"/>
                <w:bCs/>
                <w:sz w:val="18"/>
                <w:szCs w:val="18"/>
              </w:rPr>
              <w:t>活动频率</w:t>
            </w:r>
          </w:p>
        </w:tc>
        <w:tc>
          <w:tcPr>
            <w:tcW w:w="669" w:type="dxa"/>
            <w:vAlign w:val="center"/>
          </w:tcPr>
          <w:p>
            <w:pPr>
              <w:spacing w:line="0" w:lineRule="atLeast"/>
              <w:jc w:val="center"/>
              <w:rPr>
                <w:rFonts w:ascii="宋体" w:hAnsi="宋体"/>
                <w:bCs/>
                <w:sz w:val="18"/>
                <w:szCs w:val="18"/>
              </w:rPr>
            </w:pPr>
            <w:r>
              <w:rPr>
                <w:rFonts w:hint="eastAsia" w:ascii="宋体" w:hAnsi="宋体" w:cs="仿宋_GB2312"/>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09" w:type="dxa"/>
            <w:vAlign w:val="center"/>
          </w:tcPr>
          <w:p>
            <w:pPr>
              <w:spacing w:line="0" w:lineRule="atLeast"/>
              <w:jc w:val="center"/>
              <w:rPr>
                <w:rFonts w:ascii="宋体" w:hAnsi="宋体" w:cs="仿宋_GB2312"/>
                <w:sz w:val="18"/>
                <w:szCs w:val="18"/>
              </w:rPr>
            </w:pPr>
          </w:p>
        </w:tc>
        <w:tc>
          <w:tcPr>
            <w:tcW w:w="1377" w:type="dxa"/>
            <w:vAlign w:val="center"/>
          </w:tcPr>
          <w:p>
            <w:pPr>
              <w:spacing w:line="0" w:lineRule="atLeast"/>
              <w:jc w:val="center"/>
              <w:rPr>
                <w:rFonts w:ascii="宋体" w:hAnsi="宋体" w:cs="仿宋_GB2312"/>
                <w:sz w:val="18"/>
                <w:szCs w:val="18"/>
              </w:rPr>
            </w:pPr>
          </w:p>
        </w:tc>
        <w:tc>
          <w:tcPr>
            <w:tcW w:w="1826" w:type="dxa"/>
            <w:vAlign w:val="center"/>
          </w:tcPr>
          <w:p>
            <w:pPr>
              <w:spacing w:line="0" w:lineRule="atLeast"/>
              <w:jc w:val="center"/>
              <w:rPr>
                <w:rFonts w:ascii="宋体" w:hAnsi="宋体" w:cs="仿宋_GB2312"/>
                <w:sz w:val="18"/>
                <w:szCs w:val="18"/>
              </w:rPr>
            </w:pPr>
          </w:p>
        </w:tc>
        <w:tc>
          <w:tcPr>
            <w:tcW w:w="1658" w:type="dxa"/>
          </w:tcPr>
          <w:p>
            <w:pPr>
              <w:spacing w:line="0" w:lineRule="atLeast"/>
              <w:jc w:val="center"/>
              <w:rPr>
                <w:rFonts w:ascii="宋体" w:hAnsi="宋体" w:cs="仿宋_GB2312"/>
                <w:sz w:val="18"/>
                <w:szCs w:val="18"/>
              </w:rPr>
            </w:pPr>
          </w:p>
        </w:tc>
        <w:tc>
          <w:tcPr>
            <w:tcW w:w="1238" w:type="dxa"/>
            <w:vAlign w:val="center"/>
          </w:tcPr>
          <w:p>
            <w:pPr>
              <w:spacing w:line="0" w:lineRule="atLeast"/>
              <w:jc w:val="center"/>
              <w:rPr>
                <w:rFonts w:ascii="宋体" w:hAnsi="宋体" w:cs="仿宋_GB2312"/>
                <w:sz w:val="18"/>
                <w:szCs w:val="18"/>
              </w:rPr>
            </w:pPr>
          </w:p>
        </w:tc>
        <w:tc>
          <w:tcPr>
            <w:tcW w:w="1493" w:type="dxa"/>
            <w:vAlign w:val="center"/>
          </w:tcPr>
          <w:p>
            <w:pPr>
              <w:spacing w:line="0" w:lineRule="atLeast"/>
              <w:jc w:val="center"/>
              <w:rPr>
                <w:rFonts w:ascii="宋体" w:hAnsi="宋体" w:cs="仿宋_GB2312"/>
                <w:sz w:val="18"/>
                <w:szCs w:val="18"/>
              </w:rPr>
            </w:pPr>
          </w:p>
        </w:tc>
        <w:tc>
          <w:tcPr>
            <w:tcW w:w="669" w:type="dxa"/>
            <w:vAlign w:val="center"/>
          </w:tcPr>
          <w:p>
            <w:pPr>
              <w:spacing w:line="0" w:lineRule="atLeast"/>
              <w:jc w:val="center"/>
              <w:rPr>
                <w:rFonts w:ascii="宋体" w:hAnsi="宋体" w:cs="仿宋_GB2312"/>
                <w:sz w:val="18"/>
                <w:szCs w:val="18"/>
              </w:rPr>
            </w:pPr>
          </w:p>
        </w:tc>
      </w:tr>
    </w:tbl>
    <w:p>
      <w:pPr>
        <w:pStyle w:val="5"/>
        <w:ind w:firstLine="360"/>
      </w:pPr>
      <w:r>
        <w:rPr>
          <w:rFonts w:hint="eastAsia"/>
        </w:rPr>
        <w:t>填表人：        填表日期：      年   月   日     审核人：        审核日期：      年   月   日</w:t>
      </w:r>
    </w:p>
    <w:p>
      <w:pPr>
        <w:pStyle w:val="5"/>
        <w:ind w:firstLine="360"/>
      </w:pPr>
      <w:r>
        <w:rPr>
          <w:rFonts w:hint="eastAsia"/>
        </w:rPr>
        <w:t>（活动频率：频繁进行、特定时间进行、定期进行。）</w:t>
      </w:r>
    </w:p>
    <w:p>
      <w:pPr>
        <w:pStyle w:val="22"/>
        <w:spacing w:before="312" w:after="312"/>
      </w:pPr>
      <w:bookmarkStart w:id="590" w:name="_Toc479257302"/>
      <w:bookmarkStart w:id="591" w:name="_Toc479171757"/>
      <w:bookmarkStart w:id="592" w:name="_Toc1314_WPSOffice_Level2"/>
      <w:bookmarkStart w:id="593" w:name="_Toc18298_WPSOffice_Level2"/>
      <w:bookmarkStart w:id="594" w:name="_Toc23994_WPSOffice_Level2"/>
      <w:bookmarkStart w:id="595" w:name="_Toc13157_WPSOffice_Level2"/>
      <w:bookmarkStart w:id="596" w:name="_Toc479175344"/>
      <w:bookmarkStart w:id="597" w:name="_Toc22415_WPSOffice_Level2"/>
      <w:bookmarkStart w:id="598" w:name="_Toc13616"/>
      <w:bookmarkStart w:id="599" w:name="_Toc16245_WPSOffice_Level2"/>
      <w:bookmarkStart w:id="600" w:name="_Toc27791"/>
      <w:r>
        <w:rPr>
          <w:rFonts w:hint="eastAsia"/>
        </w:rPr>
        <w:t>设备设施清单</w:t>
      </w:r>
      <w:bookmarkEnd w:id="590"/>
      <w:bookmarkEnd w:id="591"/>
      <w:bookmarkEnd w:id="592"/>
      <w:bookmarkEnd w:id="593"/>
      <w:bookmarkEnd w:id="594"/>
      <w:bookmarkEnd w:id="595"/>
      <w:bookmarkEnd w:id="596"/>
      <w:bookmarkEnd w:id="597"/>
      <w:bookmarkEnd w:id="598"/>
      <w:bookmarkEnd w:id="599"/>
      <w:bookmarkEnd w:id="600"/>
    </w:p>
    <w:p>
      <w:pPr>
        <w:pStyle w:val="5"/>
        <w:ind w:firstLine="360"/>
      </w:pPr>
      <w:r>
        <w:rPr>
          <w:rFonts w:hint="eastAsia"/>
        </w:rPr>
        <w:t>（记录受控号）单位</w:t>
      </w:r>
      <w:r>
        <w:t>:</w:t>
      </w:r>
      <w:r>
        <w:rPr>
          <w:rFonts w:hint="eastAsia"/>
        </w:rPr>
        <w:t xml:space="preserve">                                                   No：</w:t>
      </w:r>
    </w:p>
    <w:tbl>
      <w:tblPr>
        <w:tblStyle w:val="13"/>
        <w:tblW w:w="9126" w:type="dxa"/>
        <w:jc w:val="center"/>
        <w:tblLayout w:type="fixed"/>
        <w:tblCellMar>
          <w:top w:w="0" w:type="dxa"/>
          <w:left w:w="0" w:type="dxa"/>
          <w:bottom w:w="0" w:type="dxa"/>
          <w:right w:w="0" w:type="dxa"/>
        </w:tblCellMar>
      </w:tblPr>
      <w:tblGrid>
        <w:gridCol w:w="751"/>
        <w:gridCol w:w="1970"/>
        <w:gridCol w:w="1985"/>
        <w:gridCol w:w="1559"/>
        <w:gridCol w:w="992"/>
        <w:gridCol w:w="947"/>
        <w:gridCol w:w="922"/>
      </w:tblGrid>
      <w:tr>
        <w:tblPrEx>
          <w:tblCellMar>
            <w:top w:w="0" w:type="dxa"/>
            <w:left w:w="0" w:type="dxa"/>
            <w:bottom w:w="0" w:type="dxa"/>
            <w:right w:w="0" w:type="dxa"/>
          </w:tblCellMar>
        </w:tblPrEx>
        <w:trPr>
          <w:trHeight w:val="323" w:hRule="atLeast"/>
          <w:jc w:val="center"/>
        </w:trPr>
        <w:tc>
          <w:tcPr>
            <w:tcW w:w="751"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r>
              <w:rPr>
                <w:rFonts w:hint="eastAsia" w:ascii="宋体" w:hAnsi="宋体" w:cs="仿宋_GB2312"/>
                <w:sz w:val="18"/>
                <w:szCs w:val="18"/>
              </w:rPr>
              <w:t>序号</w:t>
            </w:r>
          </w:p>
        </w:tc>
        <w:tc>
          <w:tcPr>
            <w:tcW w:w="197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r>
              <w:rPr>
                <w:rFonts w:hint="eastAsia" w:ascii="宋体" w:hAnsi="宋体" w:cs="仿宋_GB2312"/>
                <w:sz w:val="18"/>
                <w:szCs w:val="18"/>
              </w:rPr>
              <w:t>设备名称</w:t>
            </w:r>
          </w:p>
        </w:tc>
        <w:tc>
          <w:tcPr>
            <w:tcW w:w="1985"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r>
              <w:rPr>
                <w:rFonts w:hint="eastAsia" w:ascii="宋体" w:hAnsi="宋体" w:cs="仿宋_GB2312"/>
                <w:sz w:val="18"/>
                <w:szCs w:val="18"/>
              </w:rPr>
              <w:t>类别</w:t>
            </w:r>
          </w:p>
        </w:tc>
        <w:tc>
          <w:tcPr>
            <w:tcW w:w="1559"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r>
              <w:rPr>
                <w:rFonts w:hint="eastAsia" w:ascii="宋体" w:hAnsi="宋体" w:cs="仿宋_GB2312"/>
                <w:sz w:val="18"/>
                <w:szCs w:val="18"/>
              </w:rPr>
              <w:t>位号</w:t>
            </w:r>
            <w:r>
              <w:rPr>
                <w:rFonts w:ascii="宋体" w:hAnsi="宋体" w:cs="仿宋_GB2312"/>
                <w:sz w:val="18"/>
                <w:szCs w:val="18"/>
              </w:rPr>
              <w:t>/</w:t>
            </w:r>
            <w:r>
              <w:rPr>
                <w:rFonts w:hint="eastAsia" w:ascii="宋体" w:hAnsi="宋体" w:cs="仿宋_GB2312"/>
                <w:sz w:val="18"/>
                <w:szCs w:val="18"/>
              </w:rPr>
              <w:t>所在部位</w:t>
            </w:r>
          </w:p>
        </w:tc>
        <w:tc>
          <w:tcPr>
            <w:tcW w:w="992"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_GB2312"/>
                <w:sz w:val="18"/>
                <w:szCs w:val="18"/>
              </w:rPr>
            </w:pPr>
            <w:r>
              <w:rPr>
                <w:rFonts w:hint="eastAsia" w:ascii="宋体" w:hAnsi="宋体" w:cs="仿宋_GB2312"/>
                <w:sz w:val="18"/>
                <w:szCs w:val="18"/>
              </w:rPr>
              <w:t>所属单位</w:t>
            </w:r>
          </w:p>
        </w:tc>
        <w:tc>
          <w:tcPr>
            <w:tcW w:w="947"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_GB2312"/>
                <w:sz w:val="18"/>
                <w:szCs w:val="18"/>
              </w:rPr>
            </w:pPr>
            <w:r>
              <w:rPr>
                <w:rFonts w:hint="eastAsia" w:ascii="宋体" w:hAnsi="宋体" w:cs="仿宋_GB2312"/>
                <w:sz w:val="18"/>
                <w:szCs w:val="18"/>
              </w:rPr>
              <w:t>是否特种设备</w:t>
            </w:r>
          </w:p>
        </w:tc>
        <w:tc>
          <w:tcPr>
            <w:tcW w:w="922"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r>
              <w:rPr>
                <w:rFonts w:hint="eastAsia" w:ascii="宋体" w:hAnsi="宋体" w:cs="仿宋_GB2312"/>
                <w:sz w:val="18"/>
                <w:szCs w:val="18"/>
              </w:rPr>
              <w:t>备注</w:t>
            </w:r>
          </w:p>
        </w:tc>
      </w:tr>
      <w:tr>
        <w:tblPrEx>
          <w:tblCellMar>
            <w:top w:w="0" w:type="dxa"/>
            <w:left w:w="0" w:type="dxa"/>
            <w:bottom w:w="0" w:type="dxa"/>
            <w:right w:w="0" w:type="dxa"/>
          </w:tblCellMar>
        </w:tblPrEx>
        <w:trPr>
          <w:trHeight w:val="420" w:hRule="atLeast"/>
          <w:jc w:val="center"/>
        </w:trPr>
        <w:tc>
          <w:tcPr>
            <w:tcW w:w="751"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spacing w:line="0" w:lineRule="atLeast"/>
              <w:rPr>
                <w:rFonts w:ascii="宋体" w:hAnsi="宋体" w:cs="仿宋_GB2312"/>
                <w:sz w:val="18"/>
                <w:szCs w:val="18"/>
              </w:rPr>
            </w:pPr>
          </w:p>
        </w:tc>
        <w:tc>
          <w:tcPr>
            <w:tcW w:w="197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rPr>
                <w:rFonts w:ascii="宋体" w:hAnsi="宋体" w:cs="仿宋_GB2312"/>
                <w:sz w:val="18"/>
                <w:szCs w:val="18"/>
              </w:rPr>
            </w:pPr>
          </w:p>
        </w:tc>
        <w:tc>
          <w:tcPr>
            <w:tcW w:w="1985"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rPr>
                <w:rFonts w:ascii="宋体" w:hAnsi="宋体" w:cs="仿宋_GB2312"/>
                <w:sz w:val="18"/>
                <w:szCs w:val="18"/>
              </w:rPr>
            </w:pPr>
          </w:p>
        </w:tc>
        <w:tc>
          <w:tcPr>
            <w:tcW w:w="1559"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_GB2312"/>
                <w:sz w:val="18"/>
                <w:szCs w:val="18"/>
              </w:rPr>
            </w:pPr>
          </w:p>
        </w:tc>
        <w:tc>
          <w:tcPr>
            <w:tcW w:w="947"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_GB2312"/>
                <w:sz w:val="18"/>
                <w:szCs w:val="18"/>
              </w:rPr>
            </w:pPr>
          </w:p>
        </w:tc>
        <w:tc>
          <w:tcPr>
            <w:tcW w:w="922"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p>
        </w:tc>
      </w:tr>
    </w:tbl>
    <w:p>
      <w:pPr>
        <w:pStyle w:val="5"/>
        <w:ind w:firstLine="360"/>
      </w:pPr>
      <w:r>
        <w:rPr>
          <w:rFonts w:hint="eastAsia"/>
        </w:rPr>
        <w:t>填表人：        填表日期：      年   月   日       审核人：        审核日期：    年   月   日</w:t>
      </w:r>
    </w:p>
    <w:p>
      <w:pPr>
        <w:pStyle w:val="5"/>
        <w:ind w:firstLine="360"/>
      </w:pPr>
      <w:r>
        <w:rPr>
          <w:rFonts w:hint="eastAsia"/>
        </w:rPr>
        <w:t>（填表说明：</w:t>
      </w:r>
      <w:r>
        <w:t>1.</w:t>
      </w:r>
      <w:r>
        <w:rPr>
          <w:rFonts w:hint="eastAsia"/>
        </w:rPr>
        <w:t>设备十大类别</w:t>
      </w:r>
      <w:r>
        <w:t>:</w:t>
      </w:r>
      <w:r>
        <w:rPr>
          <w:rFonts w:hint="eastAsia"/>
        </w:rPr>
        <w:t>炉类、塔类、反应器类、储罐及容器类、冷换设备类、通用机械类、动力类、化工机械类、起重运输类、其他设备类。</w:t>
      </w:r>
      <w:r>
        <w:t>2.</w:t>
      </w:r>
      <w:r>
        <w:rPr>
          <w:rFonts w:hint="eastAsia"/>
        </w:rPr>
        <w:t>参照设备设施台帐，按照十大类别归类，按照单元或装置进行划分，同一单元或装置内介质、型号相同的设备设施可合并，在备注内写明数量。</w:t>
      </w:r>
      <w:r>
        <w:t>3.</w:t>
      </w:r>
      <w:r>
        <w:rPr>
          <w:rFonts w:hint="eastAsia"/>
        </w:rPr>
        <w:t>厂房、管廊、手持电动工具、办公楼等可以放在表的最后列出。）</w:t>
      </w:r>
    </w:p>
    <w:p>
      <w:pPr>
        <w:pStyle w:val="5"/>
        <w:ind w:firstLine="0" w:firstLineChars="0"/>
        <w:sectPr>
          <w:headerReference r:id="rId31" w:type="first"/>
          <w:headerReference r:id="rId29" w:type="default"/>
          <w:footerReference r:id="rId32" w:type="default"/>
          <w:headerReference r:id="rId30" w:type="even"/>
          <w:pgSz w:w="11906" w:h="16838"/>
          <w:pgMar w:top="1440" w:right="1274" w:bottom="1440" w:left="1276" w:header="851" w:footer="992" w:gutter="0"/>
          <w:cols w:space="720" w:num="1"/>
          <w:docGrid w:type="lines" w:linePitch="312" w:charSpace="0"/>
        </w:sectPr>
      </w:pPr>
    </w:p>
    <w:p>
      <w:pPr>
        <w:pStyle w:val="22"/>
        <w:spacing w:before="312" w:after="312"/>
        <w:rPr>
          <w:szCs w:val="22"/>
        </w:rPr>
      </w:pPr>
      <w:bookmarkStart w:id="601" w:name="_Toc26744_WPSOffice_Level2"/>
      <w:bookmarkStart w:id="602" w:name="_Toc25961_WPSOffice_Level2"/>
      <w:bookmarkStart w:id="603" w:name="_Toc17820_WPSOffice_Level2"/>
      <w:bookmarkStart w:id="604" w:name="_Toc5757_WPSOffice_Level2"/>
      <w:bookmarkStart w:id="605" w:name="_Toc2711"/>
      <w:bookmarkStart w:id="606" w:name="_Toc9222_WPSOffice_Level2"/>
      <w:r>
        <w:rPr>
          <w:rFonts w:hint="eastAsia"/>
          <w:szCs w:val="22"/>
        </w:rPr>
        <w:t>作业活动风险分级管控清单</w:t>
      </w:r>
      <w:bookmarkEnd w:id="601"/>
      <w:bookmarkEnd w:id="602"/>
      <w:bookmarkEnd w:id="603"/>
      <w:bookmarkEnd w:id="604"/>
      <w:bookmarkEnd w:id="605"/>
      <w:bookmarkEnd w:id="606"/>
    </w:p>
    <w:p>
      <w:pPr>
        <w:pStyle w:val="22"/>
        <w:numPr>
          <w:ilvl w:val="0"/>
          <w:numId w:val="0"/>
        </w:numPr>
        <w:spacing w:before="312" w:after="156" w:afterLines="50"/>
        <w:ind w:firstLine="210" w:firstLineChars="100"/>
      </w:pPr>
      <w:bookmarkStart w:id="607" w:name="_Toc25648"/>
      <w:r>
        <w:rPr>
          <w:rFonts w:hint="eastAsia"/>
        </w:rPr>
        <w:t>单位：</w:t>
      </w:r>
      <w:bookmarkEnd w:id="607"/>
    </w:p>
    <w:tbl>
      <w:tblPr>
        <w:tblStyle w:val="13"/>
        <w:tblW w:w="95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6"/>
        <w:gridCol w:w="509"/>
        <w:gridCol w:w="639"/>
        <w:gridCol w:w="900"/>
        <w:gridCol w:w="898"/>
        <w:gridCol w:w="396"/>
        <w:gridCol w:w="396"/>
        <w:gridCol w:w="898"/>
        <w:gridCol w:w="509"/>
        <w:gridCol w:w="511"/>
        <w:gridCol w:w="511"/>
        <w:gridCol w:w="511"/>
        <w:gridCol w:w="515"/>
        <w:gridCol w:w="396"/>
        <w:gridCol w:w="396"/>
        <w:gridCol w:w="396"/>
        <w:gridCol w:w="3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1302" w:type="dxa"/>
            <w:gridSpan w:val="3"/>
            <w:vAlign w:val="center"/>
          </w:tcPr>
          <w:p>
            <w:pPr>
              <w:jc w:val="center"/>
              <w:rPr>
                <w:rFonts w:ascii="宋体" w:hAnsi="宋体" w:cs="宋体"/>
                <w:sz w:val="18"/>
                <w:szCs w:val="18"/>
              </w:rPr>
            </w:pPr>
            <w:r>
              <w:rPr>
                <w:rFonts w:hint="eastAsia" w:ascii="宋体" w:hAnsi="宋体" w:cs="宋体"/>
                <w:sz w:val="18"/>
                <w:szCs w:val="18"/>
              </w:rPr>
              <w:t>风险点</w:t>
            </w:r>
          </w:p>
        </w:tc>
        <w:tc>
          <w:tcPr>
            <w:tcW w:w="1539" w:type="dxa"/>
            <w:gridSpan w:val="2"/>
            <w:vAlign w:val="center"/>
          </w:tcPr>
          <w:p>
            <w:pPr>
              <w:jc w:val="center"/>
              <w:rPr>
                <w:rFonts w:ascii="宋体" w:hAnsi="宋体" w:cs="宋体"/>
                <w:sz w:val="18"/>
                <w:szCs w:val="18"/>
              </w:rPr>
            </w:pPr>
            <w:r>
              <w:rPr>
                <w:rFonts w:hint="eastAsia" w:ascii="宋体" w:hAnsi="宋体" w:cs="宋体"/>
                <w:sz w:val="18"/>
                <w:szCs w:val="18"/>
              </w:rPr>
              <w:t>作业步骤</w:t>
            </w:r>
          </w:p>
        </w:tc>
        <w:tc>
          <w:tcPr>
            <w:tcW w:w="898" w:type="dxa"/>
            <w:vMerge w:val="restart"/>
            <w:vAlign w:val="center"/>
          </w:tcPr>
          <w:p>
            <w:pPr>
              <w:jc w:val="center"/>
              <w:rPr>
                <w:rFonts w:ascii="宋体" w:hAnsi="宋体" w:cs="宋体"/>
                <w:sz w:val="18"/>
                <w:szCs w:val="18"/>
              </w:rPr>
            </w:pPr>
            <w:r>
              <w:rPr>
                <w:rFonts w:hint="eastAsia" w:ascii="宋体" w:hAnsi="宋体" w:cs="宋体"/>
                <w:sz w:val="18"/>
                <w:szCs w:val="18"/>
              </w:rPr>
              <w:t>危险源或潜在事件</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评价级别</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风险分级</w:t>
            </w:r>
          </w:p>
        </w:tc>
        <w:tc>
          <w:tcPr>
            <w:tcW w:w="898" w:type="dxa"/>
            <w:vMerge w:val="restart"/>
            <w:vAlign w:val="center"/>
          </w:tcPr>
          <w:p>
            <w:pPr>
              <w:jc w:val="center"/>
              <w:rPr>
                <w:rFonts w:ascii="宋体" w:hAnsi="宋体" w:cs="宋体"/>
                <w:sz w:val="18"/>
                <w:szCs w:val="18"/>
              </w:rPr>
            </w:pPr>
            <w:r>
              <w:rPr>
                <w:rFonts w:hint="eastAsia" w:ascii="宋体" w:hAnsi="宋体" w:cs="仿宋_GB2312"/>
                <w:sz w:val="18"/>
                <w:szCs w:val="18"/>
              </w:rPr>
              <w:t>可能发生的事故类型及后果</w:t>
            </w:r>
          </w:p>
        </w:tc>
        <w:tc>
          <w:tcPr>
            <w:tcW w:w="2557" w:type="dxa"/>
            <w:gridSpan w:val="5"/>
            <w:vAlign w:val="center"/>
          </w:tcPr>
          <w:p>
            <w:pPr>
              <w:jc w:val="center"/>
              <w:rPr>
                <w:rFonts w:ascii="宋体" w:hAnsi="宋体" w:cs="宋体"/>
                <w:sz w:val="18"/>
                <w:szCs w:val="18"/>
              </w:rPr>
            </w:pPr>
            <w:r>
              <w:rPr>
                <w:rFonts w:hint="eastAsia" w:ascii="宋体" w:hAnsi="宋体" w:cs="宋体"/>
                <w:sz w:val="18"/>
                <w:szCs w:val="18"/>
              </w:rPr>
              <w:t>管控措施</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管控层级</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责任单位</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责任人</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trPr>
        <w:tc>
          <w:tcPr>
            <w:tcW w:w="397" w:type="dxa"/>
            <w:vAlign w:val="center"/>
          </w:tcPr>
          <w:p>
            <w:pPr>
              <w:jc w:val="center"/>
              <w:rPr>
                <w:rFonts w:ascii="宋体"/>
                <w:sz w:val="18"/>
              </w:rPr>
            </w:pPr>
            <w:r>
              <w:rPr>
                <w:rFonts w:hint="eastAsia" w:ascii="宋体" w:hAnsi="宋体" w:cs="宋体"/>
                <w:sz w:val="18"/>
                <w:szCs w:val="18"/>
              </w:rPr>
              <w:t>编号</w:t>
            </w:r>
          </w:p>
        </w:tc>
        <w:tc>
          <w:tcPr>
            <w:tcW w:w="396" w:type="dxa"/>
            <w:vAlign w:val="center"/>
          </w:tcPr>
          <w:p>
            <w:pPr>
              <w:jc w:val="center"/>
              <w:rPr>
                <w:rFonts w:ascii="宋体"/>
                <w:sz w:val="18"/>
                <w:szCs w:val="18"/>
              </w:rPr>
            </w:pPr>
            <w:r>
              <w:rPr>
                <w:rFonts w:hint="eastAsia" w:ascii="宋体"/>
                <w:sz w:val="18"/>
                <w:szCs w:val="18"/>
              </w:rPr>
              <w:t>类型</w:t>
            </w:r>
          </w:p>
        </w:tc>
        <w:tc>
          <w:tcPr>
            <w:tcW w:w="509" w:type="dxa"/>
            <w:vAlign w:val="center"/>
          </w:tcPr>
          <w:p>
            <w:pPr>
              <w:jc w:val="center"/>
              <w:rPr>
                <w:rFonts w:ascii="宋体"/>
                <w:sz w:val="18"/>
                <w:szCs w:val="18"/>
              </w:rPr>
            </w:pPr>
            <w:r>
              <w:rPr>
                <w:rFonts w:hint="eastAsia" w:ascii="宋体"/>
                <w:sz w:val="18"/>
                <w:szCs w:val="18"/>
              </w:rPr>
              <w:t>名称</w:t>
            </w:r>
          </w:p>
        </w:tc>
        <w:tc>
          <w:tcPr>
            <w:tcW w:w="639" w:type="dxa"/>
            <w:vAlign w:val="center"/>
          </w:tcPr>
          <w:p>
            <w:pPr>
              <w:jc w:val="center"/>
              <w:rPr>
                <w:rFonts w:ascii="宋体" w:hAnsi="宋体" w:cs="宋体"/>
                <w:sz w:val="18"/>
                <w:szCs w:val="18"/>
              </w:rPr>
            </w:pPr>
            <w:r>
              <w:rPr>
                <w:rFonts w:hint="eastAsia" w:ascii="宋体"/>
                <w:sz w:val="18"/>
                <w:szCs w:val="18"/>
              </w:rPr>
              <w:t>序号</w:t>
            </w:r>
          </w:p>
        </w:tc>
        <w:tc>
          <w:tcPr>
            <w:tcW w:w="900" w:type="dxa"/>
            <w:vAlign w:val="center"/>
          </w:tcPr>
          <w:p>
            <w:pPr>
              <w:jc w:val="center"/>
              <w:rPr>
                <w:rFonts w:ascii="宋体" w:hAnsi="宋体" w:cs="宋体"/>
                <w:sz w:val="18"/>
                <w:szCs w:val="18"/>
              </w:rPr>
            </w:pPr>
            <w:r>
              <w:rPr>
                <w:rFonts w:hint="eastAsia" w:ascii="宋体" w:hAnsi="宋体" w:cs="宋体"/>
                <w:sz w:val="18"/>
                <w:szCs w:val="18"/>
              </w:rPr>
              <w:t>名称</w:t>
            </w:r>
          </w:p>
        </w:tc>
        <w:tc>
          <w:tcPr>
            <w:tcW w:w="898" w:type="dxa"/>
            <w:vMerge w:val="continue"/>
            <w:vAlign w:val="center"/>
          </w:tcPr>
          <w:p>
            <w:pPr>
              <w:jc w:val="center"/>
              <w:rPr>
                <w:rFonts w:ascii="宋体" w:hAnsi="宋体" w:cs="宋体"/>
                <w:sz w:val="18"/>
                <w:szCs w:val="18"/>
              </w:rPr>
            </w:pPr>
          </w:p>
        </w:tc>
        <w:tc>
          <w:tcPr>
            <w:tcW w:w="396" w:type="dxa"/>
            <w:vMerge w:val="continue"/>
            <w:vAlign w:val="center"/>
          </w:tcPr>
          <w:p>
            <w:pPr>
              <w:ind w:firstLine="360"/>
              <w:jc w:val="center"/>
              <w:rPr>
                <w:rFonts w:ascii="宋体" w:hAnsi="宋体" w:cs="宋体"/>
                <w:sz w:val="18"/>
                <w:szCs w:val="18"/>
              </w:rPr>
            </w:pPr>
          </w:p>
        </w:tc>
        <w:tc>
          <w:tcPr>
            <w:tcW w:w="396" w:type="dxa"/>
            <w:vMerge w:val="continue"/>
            <w:vAlign w:val="center"/>
          </w:tcPr>
          <w:p>
            <w:pPr>
              <w:ind w:firstLine="360"/>
              <w:jc w:val="center"/>
              <w:rPr>
                <w:rFonts w:ascii="宋体" w:hAnsi="宋体" w:cs="宋体"/>
                <w:sz w:val="18"/>
                <w:szCs w:val="18"/>
              </w:rPr>
            </w:pPr>
          </w:p>
        </w:tc>
        <w:tc>
          <w:tcPr>
            <w:tcW w:w="898" w:type="dxa"/>
            <w:vMerge w:val="continue"/>
            <w:vAlign w:val="center"/>
          </w:tcPr>
          <w:p>
            <w:pPr>
              <w:ind w:firstLine="360"/>
              <w:jc w:val="center"/>
              <w:rPr>
                <w:rFonts w:ascii="宋体" w:hAnsi="宋体" w:cs="宋体"/>
                <w:sz w:val="18"/>
                <w:szCs w:val="18"/>
              </w:rPr>
            </w:pPr>
          </w:p>
        </w:tc>
        <w:tc>
          <w:tcPr>
            <w:tcW w:w="509" w:type="dxa"/>
            <w:vAlign w:val="center"/>
          </w:tcPr>
          <w:p>
            <w:pPr>
              <w:jc w:val="center"/>
              <w:rPr>
                <w:rFonts w:ascii="宋体" w:hAnsi="宋体"/>
                <w:sz w:val="18"/>
                <w:szCs w:val="18"/>
              </w:rPr>
            </w:pPr>
            <w:r>
              <w:rPr>
                <w:rFonts w:hint="eastAsia" w:ascii="宋体" w:hAnsi="宋体"/>
                <w:sz w:val="18"/>
                <w:szCs w:val="18"/>
              </w:rPr>
              <w:t>工程技术</w:t>
            </w:r>
          </w:p>
          <w:p>
            <w:pPr>
              <w:jc w:val="center"/>
              <w:rPr>
                <w:rFonts w:ascii="宋体" w:hAnsi="宋体"/>
                <w:sz w:val="18"/>
                <w:szCs w:val="18"/>
              </w:rPr>
            </w:pPr>
            <w:r>
              <w:rPr>
                <w:rFonts w:hint="eastAsia" w:ascii="宋体" w:hAnsi="宋体"/>
                <w:sz w:val="18"/>
                <w:szCs w:val="18"/>
              </w:rPr>
              <w:t>措施</w:t>
            </w:r>
          </w:p>
        </w:tc>
        <w:tc>
          <w:tcPr>
            <w:tcW w:w="511" w:type="dxa"/>
            <w:vAlign w:val="center"/>
          </w:tcPr>
          <w:p>
            <w:pPr>
              <w:jc w:val="center"/>
              <w:rPr>
                <w:rFonts w:ascii="宋体" w:hAnsi="宋体"/>
                <w:sz w:val="18"/>
                <w:szCs w:val="18"/>
              </w:rPr>
            </w:pPr>
            <w:r>
              <w:rPr>
                <w:rFonts w:hint="eastAsia" w:ascii="宋体" w:hAnsi="宋体"/>
                <w:sz w:val="18"/>
                <w:szCs w:val="18"/>
              </w:rPr>
              <w:t>管理措施</w:t>
            </w:r>
          </w:p>
        </w:tc>
        <w:tc>
          <w:tcPr>
            <w:tcW w:w="511" w:type="dxa"/>
          </w:tcPr>
          <w:p>
            <w:pPr>
              <w:jc w:val="center"/>
              <w:rPr>
                <w:rFonts w:ascii="宋体" w:hAnsi="宋体"/>
                <w:sz w:val="18"/>
                <w:szCs w:val="18"/>
              </w:rPr>
            </w:pPr>
            <w:r>
              <w:rPr>
                <w:rFonts w:hint="eastAsia" w:ascii="宋体" w:hAnsi="宋体"/>
                <w:sz w:val="18"/>
                <w:szCs w:val="18"/>
              </w:rPr>
              <w:t>培训教育措施</w:t>
            </w:r>
          </w:p>
        </w:tc>
        <w:tc>
          <w:tcPr>
            <w:tcW w:w="511" w:type="dxa"/>
            <w:vAlign w:val="center"/>
          </w:tcPr>
          <w:p>
            <w:pPr>
              <w:jc w:val="center"/>
              <w:rPr>
                <w:rFonts w:ascii="宋体" w:hAnsi="宋体"/>
                <w:sz w:val="18"/>
                <w:szCs w:val="18"/>
              </w:rPr>
            </w:pPr>
            <w:r>
              <w:rPr>
                <w:rFonts w:hint="eastAsia" w:ascii="宋体" w:hAnsi="宋体"/>
                <w:sz w:val="18"/>
                <w:szCs w:val="18"/>
              </w:rPr>
              <w:t>个体防护措施</w:t>
            </w:r>
          </w:p>
        </w:tc>
        <w:tc>
          <w:tcPr>
            <w:tcW w:w="515" w:type="dxa"/>
            <w:vAlign w:val="center"/>
          </w:tcPr>
          <w:p>
            <w:pPr>
              <w:jc w:val="center"/>
              <w:rPr>
                <w:rFonts w:ascii="宋体" w:hAnsi="宋体"/>
                <w:sz w:val="18"/>
                <w:szCs w:val="18"/>
              </w:rPr>
            </w:pPr>
            <w:r>
              <w:rPr>
                <w:rFonts w:hint="eastAsia" w:ascii="宋体" w:hAnsi="宋体"/>
                <w:sz w:val="18"/>
                <w:szCs w:val="18"/>
              </w:rPr>
              <w:t>应急处置措施</w:t>
            </w:r>
          </w:p>
        </w:tc>
        <w:tc>
          <w:tcPr>
            <w:tcW w:w="396" w:type="dxa"/>
            <w:vMerge w:val="continue"/>
            <w:vAlign w:val="center"/>
          </w:tcPr>
          <w:p>
            <w:pPr>
              <w:ind w:firstLine="360"/>
              <w:jc w:val="center"/>
              <w:rPr>
                <w:rFonts w:ascii="宋体" w:hAnsi="宋体" w:cs="宋体"/>
                <w:sz w:val="18"/>
                <w:szCs w:val="18"/>
              </w:rPr>
            </w:pPr>
          </w:p>
        </w:tc>
        <w:tc>
          <w:tcPr>
            <w:tcW w:w="396" w:type="dxa"/>
            <w:vMerge w:val="continue"/>
            <w:vAlign w:val="center"/>
          </w:tcPr>
          <w:p>
            <w:pPr>
              <w:ind w:firstLine="360"/>
              <w:jc w:val="center"/>
              <w:rPr>
                <w:rFonts w:ascii="宋体" w:hAnsi="宋体" w:cs="宋体"/>
                <w:sz w:val="18"/>
                <w:szCs w:val="18"/>
              </w:rPr>
            </w:pPr>
          </w:p>
        </w:tc>
        <w:tc>
          <w:tcPr>
            <w:tcW w:w="396" w:type="dxa"/>
            <w:vMerge w:val="continue"/>
            <w:vAlign w:val="center"/>
          </w:tcPr>
          <w:p>
            <w:pPr>
              <w:ind w:firstLine="360"/>
              <w:jc w:val="center"/>
              <w:rPr>
                <w:rFonts w:ascii="宋体" w:hAnsi="宋体" w:cs="宋体"/>
                <w:sz w:val="18"/>
                <w:szCs w:val="18"/>
              </w:rPr>
            </w:pPr>
          </w:p>
        </w:tc>
        <w:tc>
          <w:tcPr>
            <w:tcW w:w="396" w:type="dxa"/>
            <w:vMerge w:val="continue"/>
            <w:vAlign w:val="center"/>
          </w:tcPr>
          <w:p>
            <w:pPr>
              <w:ind w:firstLine="360"/>
              <w:jc w:val="center"/>
              <w:rPr>
                <w:rFonts w:ascii="宋体" w:hAnsi="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97" w:type="dxa"/>
            <w:vMerge w:val="restart"/>
            <w:vAlign w:val="center"/>
          </w:tcPr>
          <w:p>
            <w:pPr>
              <w:jc w:val="center"/>
              <w:rPr>
                <w:rFonts w:ascii="宋体"/>
                <w:sz w:val="18"/>
              </w:rPr>
            </w:pPr>
            <w:r>
              <w:rPr>
                <w:rFonts w:hint="eastAsia" w:ascii="宋体"/>
                <w:sz w:val="18"/>
              </w:rPr>
              <w:t>1</w:t>
            </w:r>
          </w:p>
        </w:tc>
        <w:tc>
          <w:tcPr>
            <w:tcW w:w="396" w:type="dxa"/>
            <w:vMerge w:val="restart"/>
            <w:vAlign w:val="center"/>
          </w:tcPr>
          <w:p>
            <w:pPr>
              <w:rPr>
                <w:rFonts w:ascii="宋体"/>
                <w:sz w:val="18"/>
                <w:szCs w:val="18"/>
              </w:rPr>
            </w:pPr>
            <w:r>
              <w:rPr>
                <w:rFonts w:hint="eastAsia" w:ascii="宋体"/>
                <w:sz w:val="18"/>
                <w:szCs w:val="18"/>
              </w:rPr>
              <w:t>操作及作业活动</w:t>
            </w:r>
          </w:p>
        </w:tc>
        <w:tc>
          <w:tcPr>
            <w:tcW w:w="509" w:type="dxa"/>
            <w:vMerge w:val="restart"/>
            <w:vAlign w:val="center"/>
          </w:tcPr>
          <w:p>
            <w:pPr>
              <w:jc w:val="center"/>
              <w:rPr>
                <w:rFonts w:ascii="宋体"/>
                <w:sz w:val="18"/>
              </w:rPr>
            </w:pPr>
          </w:p>
        </w:tc>
        <w:tc>
          <w:tcPr>
            <w:tcW w:w="639" w:type="dxa"/>
            <w:vAlign w:val="center"/>
          </w:tcPr>
          <w:p>
            <w:pPr>
              <w:jc w:val="center"/>
              <w:rPr>
                <w:rFonts w:ascii="宋体"/>
                <w:sz w:val="18"/>
              </w:rPr>
            </w:pPr>
            <w:r>
              <w:rPr>
                <w:rFonts w:hint="eastAsia" w:ascii="宋体"/>
                <w:sz w:val="18"/>
              </w:rPr>
              <w:t>1</w:t>
            </w:r>
          </w:p>
        </w:tc>
        <w:tc>
          <w:tcPr>
            <w:tcW w:w="900" w:type="dxa"/>
            <w:vAlign w:val="center"/>
          </w:tcPr>
          <w:p>
            <w:pPr>
              <w:jc w:val="center"/>
              <w:rPr>
                <w:rFonts w:ascii="宋体"/>
                <w:sz w:val="18"/>
              </w:rPr>
            </w:pPr>
          </w:p>
        </w:tc>
        <w:tc>
          <w:tcPr>
            <w:tcW w:w="898"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898" w:type="dxa"/>
            <w:vAlign w:val="center"/>
          </w:tcPr>
          <w:p>
            <w:pPr>
              <w:jc w:val="center"/>
              <w:rPr>
                <w:rFonts w:ascii="宋体"/>
                <w:sz w:val="18"/>
              </w:rPr>
            </w:pPr>
          </w:p>
        </w:tc>
        <w:tc>
          <w:tcPr>
            <w:tcW w:w="509" w:type="dxa"/>
            <w:vAlign w:val="center"/>
          </w:tcPr>
          <w:p>
            <w:pPr>
              <w:jc w:val="center"/>
              <w:rPr>
                <w:rFonts w:ascii="宋体"/>
                <w:sz w:val="18"/>
              </w:rPr>
            </w:pPr>
          </w:p>
        </w:tc>
        <w:tc>
          <w:tcPr>
            <w:tcW w:w="511" w:type="dxa"/>
            <w:vAlign w:val="center"/>
          </w:tcPr>
          <w:p>
            <w:pPr>
              <w:jc w:val="center"/>
              <w:rPr>
                <w:rFonts w:ascii="宋体"/>
                <w:sz w:val="18"/>
              </w:rPr>
            </w:pPr>
          </w:p>
        </w:tc>
        <w:tc>
          <w:tcPr>
            <w:tcW w:w="511" w:type="dxa"/>
          </w:tcPr>
          <w:p>
            <w:pPr>
              <w:jc w:val="center"/>
              <w:rPr>
                <w:rFonts w:ascii="宋体"/>
                <w:sz w:val="18"/>
              </w:rPr>
            </w:pPr>
          </w:p>
        </w:tc>
        <w:tc>
          <w:tcPr>
            <w:tcW w:w="511" w:type="dxa"/>
            <w:vAlign w:val="center"/>
          </w:tcPr>
          <w:p>
            <w:pPr>
              <w:jc w:val="center"/>
              <w:rPr>
                <w:rFonts w:ascii="宋体"/>
                <w:sz w:val="18"/>
              </w:rPr>
            </w:pPr>
          </w:p>
        </w:tc>
        <w:tc>
          <w:tcPr>
            <w:tcW w:w="515"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97" w:type="dxa"/>
            <w:vMerge w:val="continue"/>
            <w:vAlign w:val="center"/>
          </w:tcPr>
          <w:p>
            <w:pPr>
              <w:jc w:val="center"/>
              <w:rPr>
                <w:rFonts w:ascii="宋体"/>
                <w:sz w:val="18"/>
              </w:rPr>
            </w:pPr>
          </w:p>
        </w:tc>
        <w:tc>
          <w:tcPr>
            <w:tcW w:w="396" w:type="dxa"/>
            <w:vMerge w:val="continue"/>
            <w:vAlign w:val="center"/>
          </w:tcPr>
          <w:p>
            <w:pPr>
              <w:jc w:val="center"/>
              <w:rPr>
                <w:rFonts w:ascii="宋体"/>
                <w:sz w:val="18"/>
              </w:rPr>
            </w:pPr>
          </w:p>
        </w:tc>
        <w:tc>
          <w:tcPr>
            <w:tcW w:w="509" w:type="dxa"/>
            <w:vMerge w:val="continue"/>
            <w:vAlign w:val="center"/>
          </w:tcPr>
          <w:p>
            <w:pPr>
              <w:jc w:val="center"/>
              <w:rPr>
                <w:rFonts w:ascii="宋体"/>
                <w:sz w:val="18"/>
              </w:rPr>
            </w:pPr>
          </w:p>
        </w:tc>
        <w:tc>
          <w:tcPr>
            <w:tcW w:w="639" w:type="dxa"/>
            <w:vAlign w:val="center"/>
          </w:tcPr>
          <w:p>
            <w:pPr>
              <w:jc w:val="center"/>
              <w:rPr>
                <w:rFonts w:ascii="宋体"/>
                <w:sz w:val="18"/>
              </w:rPr>
            </w:pPr>
            <w:r>
              <w:rPr>
                <w:rFonts w:hint="eastAsia" w:ascii="宋体"/>
                <w:sz w:val="18"/>
              </w:rPr>
              <w:t>2</w:t>
            </w:r>
          </w:p>
        </w:tc>
        <w:tc>
          <w:tcPr>
            <w:tcW w:w="900" w:type="dxa"/>
            <w:vAlign w:val="center"/>
          </w:tcPr>
          <w:p>
            <w:pPr>
              <w:jc w:val="center"/>
              <w:rPr>
                <w:rFonts w:ascii="宋体"/>
                <w:sz w:val="18"/>
              </w:rPr>
            </w:pPr>
          </w:p>
        </w:tc>
        <w:tc>
          <w:tcPr>
            <w:tcW w:w="898"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898" w:type="dxa"/>
            <w:vAlign w:val="center"/>
          </w:tcPr>
          <w:p>
            <w:pPr>
              <w:jc w:val="center"/>
              <w:rPr>
                <w:rFonts w:ascii="宋体"/>
                <w:sz w:val="18"/>
              </w:rPr>
            </w:pPr>
          </w:p>
        </w:tc>
        <w:tc>
          <w:tcPr>
            <w:tcW w:w="509" w:type="dxa"/>
            <w:vAlign w:val="center"/>
          </w:tcPr>
          <w:p>
            <w:pPr>
              <w:jc w:val="center"/>
              <w:rPr>
                <w:rFonts w:ascii="宋体"/>
                <w:sz w:val="18"/>
              </w:rPr>
            </w:pPr>
          </w:p>
        </w:tc>
        <w:tc>
          <w:tcPr>
            <w:tcW w:w="511" w:type="dxa"/>
            <w:vAlign w:val="center"/>
          </w:tcPr>
          <w:p>
            <w:pPr>
              <w:jc w:val="center"/>
              <w:rPr>
                <w:rFonts w:ascii="宋体"/>
                <w:sz w:val="18"/>
              </w:rPr>
            </w:pPr>
          </w:p>
        </w:tc>
        <w:tc>
          <w:tcPr>
            <w:tcW w:w="511" w:type="dxa"/>
          </w:tcPr>
          <w:p>
            <w:pPr>
              <w:jc w:val="center"/>
              <w:rPr>
                <w:rFonts w:ascii="宋体"/>
                <w:sz w:val="18"/>
              </w:rPr>
            </w:pPr>
          </w:p>
        </w:tc>
        <w:tc>
          <w:tcPr>
            <w:tcW w:w="511" w:type="dxa"/>
            <w:vAlign w:val="center"/>
          </w:tcPr>
          <w:p>
            <w:pPr>
              <w:jc w:val="center"/>
              <w:rPr>
                <w:rFonts w:ascii="宋体"/>
                <w:sz w:val="18"/>
              </w:rPr>
            </w:pPr>
          </w:p>
        </w:tc>
        <w:tc>
          <w:tcPr>
            <w:tcW w:w="515"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97" w:type="dxa"/>
            <w:vMerge w:val="continue"/>
            <w:vAlign w:val="center"/>
          </w:tcPr>
          <w:p>
            <w:pPr>
              <w:jc w:val="center"/>
              <w:rPr>
                <w:rFonts w:ascii="宋体"/>
                <w:sz w:val="18"/>
              </w:rPr>
            </w:pPr>
          </w:p>
        </w:tc>
        <w:tc>
          <w:tcPr>
            <w:tcW w:w="396" w:type="dxa"/>
            <w:vMerge w:val="continue"/>
            <w:vAlign w:val="center"/>
          </w:tcPr>
          <w:p>
            <w:pPr>
              <w:jc w:val="center"/>
              <w:rPr>
                <w:rFonts w:ascii="宋体"/>
                <w:sz w:val="18"/>
              </w:rPr>
            </w:pPr>
          </w:p>
        </w:tc>
        <w:tc>
          <w:tcPr>
            <w:tcW w:w="509" w:type="dxa"/>
            <w:vMerge w:val="continue"/>
            <w:vAlign w:val="center"/>
          </w:tcPr>
          <w:p>
            <w:pPr>
              <w:jc w:val="center"/>
              <w:rPr>
                <w:rFonts w:ascii="宋体"/>
                <w:sz w:val="18"/>
              </w:rPr>
            </w:pPr>
          </w:p>
        </w:tc>
        <w:tc>
          <w:tcPr>
            <w:tcW w:w="639" w:type="dxa"/>
            <w:vAlign w:val="center"/>
          </w:tcPr>
          <w:p>
            <w:pPr>
              <w:jc w:val="center"/>
              <w:rPr>
                <w:rFonts w:ascii="宋体"/>
                <w:sz w:val="18"/>
              </w:rPr>
            </w:pPr>
            <w:r>
              <w:rPr>
                <w:rFonts w:hint="eastAsia" w:ascii="宋体"/>
                <w:sz w:val="18"/>
              </w:rPr>
              <w:t>3</w:t>
            </w:r>
          </w:p>
        </w:tc>
        <w:tc>
          <w:tcPr>
            <w:tcW w:w="900" w:type="dxa"/>
            <w:vAlign w:val="center"/>
          </w:tcPr>
          <w:p>
            <w:pPr>
              <w:jc w:val="center"/>
              <w:rPr>
                <w:rFonts w:ascii="宋体"/>
                <w:sz w:val="18"/>
              </w:rPr>
            </w:pPr>
          </w:p>
        </w:tc>
        <w:tc>
          <w:tcPr>
            <w:tcW w:w="898"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898" w:type="dxa"/>
            <w:vAlign w:val="center"/>
          </w:tcPr>
          <w:p>
            <w:pPr>
              <w:jc w:val="center"/>
              <w:rPr>
                <w:rFonts w:ascii="宋体"/>
                <w:sz w:val="18"/>
              </w:rPr>
            </w:pPr>
          </w:p>
        </w:tc>
        <w:tc>
          <w:tcPr>
            <w:tcW w:w="509" w:type="dxa"/>
            <w:vAlign w:val="center"/>
          </w:tcPr>
          <w:p>
            <w:pPr>
              <w:jc w:val="center"/>
              <w:rPr>
                <w:rFonts w:ascii="宋体"/>
                <w:sz w:val="18"/>
              </w:rPr>
            </w:pPr>
          </w:p>
        </w:tc>
        <w:tc>
          <w:tcPr>
            <w:tcW w:w="511" w:type="dxa"/>
            <w:vAlign w:val="center"/>
          </w:tcPr>
          <w:p>
            <w:pPr>
              <w:jc w:val="center"/>
              <w:rPr>
                <w:rFonts w:ascii="宋体"/>
                <w:sz w:val="18"/>
              </w:rPr>
            </w:pPr>
          </w:p>
        </w:tc>
        <w:tc>
          <w:tcPr>
            <w:tcW w:w="511" w:type="dxa"/>
          </w:tcPr>
          <w:p>
            <w:pPr>
              <w:jc w:val="center"/>
              <w:rPr>
                <w:rFonts w:ascii="宋体"/>
                <w:sz w:val="18"/>
              </w:rPr>
            </w:pPr>
          </w:p>
        </w:tc>
        <w:tc>
          <w:tcPr>
            <w:tcW w:w="511" w:type="dxa"/>
            <w:vAlign w:val="center"/>
          </w:tcPr>
          <w:p>
            <w:pPr>
              <w:jc w:val="center"/>
              <w:rPr>
                <w:rFonts w:ascii="宋体"/>
                <w:sz w:val="18"/>
              </w:rPr>
            </w:pPr>
          </w:p>
        </w:tc>
        <w:tc>
          <w:tcPr>
            <w:tcW w:w="515"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97" w:type="dxa"/>
            <w:vMerge w:val="continue"/>
            <w:vAlign w:val="center"/>
          </w:tcPr>
          <w:p>
            <w:pPr>
              <w:jc w:val="center"/>
              <w:rPr>
                <w:rFonts w:ascii="宋体"/>
                <w:sz w:val="18"/>
              </w:rPr>
            </w:pPr>
          </w:p>
        </w:tc>
        <w:tc>
          <w:tcPr>
            <w:tcW w:w="396" w:type="dxa"/>
            <w:vMerge w:val="continue"/>
            <w:vAlign w:val="center"/>
          </w:tcPr>
          <w:p>
            <w:pPr>
              <w:jc w:val="center"/>
              <w:rPr>
                <w:rFonts w:ascii="宋体"/>
                <w:sz w:val="18"/>
              </w:rPr>
            </w:pPr>
          </w:p>
        </w:tc>
        <w:tc>
          <w:tcPr>
            <w:tcW w:w="509" w:type="dxa"/>
            <w:vMerge w:val="continue"/>
            <w:vAlign w:val="center"/>
          </w:tcPr>
          <w:p>
            <w:pPr>
              <w:jc w:val="center"/>
              <w:rPr>
                <w:rFonts w:ascii="宋体"/>
                <w:sz w:val="18"/>
              </w:rPr>
            </w:pPr>
          </w:p>
        </w:tc>
        <w:tc>
          <w:tcPr>
            <w:tcW w:w="639" w:type="dxa"/>
            <w:vAlign w:val="center"/>
          </w:tcPr>
          <w:p>
            <w:pPr>
              <w:jc w:val="center"/>
              <w:rPr>
                <w:rFonts w:ascii="宋体"/>
                <w:sz w:val="18"/>
              </w:rPr>
            </w:pPr>
            <w:r>
              <w:rPr>
                <w:rFonts w:hint="eastAsia" w:ascii="宋体"/>
                <w:sz w:val="18"/>
              </w:rPr>
              <w:t>4</w:t>
            </w:r>
          </w:p>
        </w:tc>
        <w:tc>
          <w:tcPr>
            <w:tcW w:w="900" w:type="dxa"/>
            <w:vAlign w:val="center"/>
          </w:tcPr>
          <w:p>
            <w:pPr>
              <w:jc w:val="center"/>
              <w:rPr>
                <w:rFonts w:ascii="宋体"/>
                <w:sz w:val="18"/>
              </w:rPr>
            </w:pPr>
          </w:p>
        </w:tc>
        <w:tc>
          <w:tcPr>
            <w:tcW w:w="898"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898" w:type="dxa"/>
            <w:vAlign w:val="center"/>
          </w:tcPr>
          <w:p>
            <w:pPr>
              <w:jc w:val="center"/>
              <w:rPr>
                <w:rFonts w:ascii="宋体"/>
                <w:sz w:val="18"/>
              </w:rPr>
            </w:pPr>
          </w:p>
        </w:tc>
        <w:tc>
          <w:tcPr>
            <w:tcW w:w="509" w:type="dxa"/>
            <w:vAlign w:val="center"/>
          </w:tcPr>
          <w:p>
            <w:pPr>
              <w:jc w:val="center"/>
              <w:rPr>
                <w:rFonts w:ascii="宋体"/>
                <w:sz w:val="18"/>
              </w:rPr>
            </w:pPr>
          </w:p>
        </w:tc>
        <w:tc>
          <w:tcPr>
            <w:tcW w:w="511" w:type="dxa"/>
            <w:vAlign w:val="center"/>
          </w:tcPr>
          <w:p>
            <w:pPr>
              <w:jc w:val="center"/>
              <w:rPr>
                <w:rFonts w:ascii="宋体"/>
                <w:sz w:val="18"/>
              </w:rPr>
            </w:pPr>
          </w:p>
        </w:tc>
        <w:tc>
          <w:tcPr>
            <w:tcW w:w="511" w:type="dxa"/>
          </w:tcPr>
          <w:p>
            <w:pPr>
              <w:jc w:val="center"/>
              <w:rPr>
                <w:rFonts w:ascii="宋体"/>
                <w:sz w:val="18"/>
              </w:rPr>
            </w:pPr>
          </w:p>
        </w:tc>
        <w:tc>
          <w:tcPr>
            <w:tcW w:w="511" w:type="dxa"/>
            <w:vAlign w:val="center"/>
          </w:tcPr>
          <w:p>
            <w:pPr>
              <w:jc w:val="center"/>
              <w:rPr>
                <w:rFonts w:ascii="宋体"/>
                <w:sz w:val="18"/>
              </w:rPr>
            </w:pPr>
          </w:p>
        </w:tc>
        <w:tc>
          <w:tcPr>
            <w:tcW w:w="515"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97" w:type="dxa"/>
            <w:vMerge w:val="continue"/>
            <w:vAlign w:val="center"/>
          </w:tcPr>
          <w:p>
            <w:pPr>
              <w:jc w:val="center"/>
              <w:rPr>
                <w:rFonts w:ascii="宋体"/>
                <w:sz w:val="18"/>
              </w:rPr>
            </w:pPr>
          </w:p>
        </w:tc>
        <w:tc>
          <w:tcPr>
            <w:tcW w:w="396" w:type="dxa"/>
            <w:vMerge w:val="continue"/>
            <w:vAlign w:val="center"/>
          </w:tcPr>
          <w:p>
            <w:pPr>
              <w:jc w:val="center"/>
              <w:rPr>
                <w:rFonts w:ascii="宋体"/>
                <w:sz w:val="18"/>
              </w:rPr>
            </w:pPr>
          </w:p>
        </w:tc>
        <w:tc>
          <w:tcPr>
            <w:tcW w:w="509" w:type="dxa"/>
            <w:vMerge w:val="continue"/>
            <w:vAlign w:val="center"/>
          </w:tcPr>
          <w:p>
            <w:pPr>
              <w:jc w:val="center"/>
              <w:rPr>
                <w:rFonts w:ascii="宋体"/>
                <w:sz w:val="18"/>
              </w:rPr>
            </w:pPr>
          </w:p>
        </w:tc>
        <w:tc>
          <w:tcPr>
            <w:tcW w:w="639" w:type="dxa"/>
            <w:vAlign w:val="center"/>
          </w:tcPr>
          <w:p>
            <w:pPr>
              <w:jc w:val="center"/>
              <w:rPr>
                <w:rFonts w:ascii="宋体"/>
                <w:sz w:val="18"/>
              </w:rPr>
            </w:pPr>
            <w:r>
              <w:rPr>
                <w:rFonts w:hint="eastAsia" w:ascii="宋体"/>
                <w:sz w:val="18"/>
              </w:rPr>
              <w:t>5</w:t>
            </w:r>
          </w:p>
        </w:tc>
        <w:tc>
          <w:tcPr>
            <w:tcW w:w="900" w:type="dxa"/>
            <w:vAlign w:val="center"/>
          </w:tcPr>
          <w:p>
            <w:pPr>
              <w:jc w:val="center"/>
              <w:rPr>
                <w:rFonts w:ascii="宋体"/>
                <w:sz w:val="18"/>
              </w:rPr>
            </w:pPr>
          </w:p>
        </w:tc>
        <w:tc>
          <w:tcPr>
            <w:tcW w:w="898"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898" w:type="dxa"/>
            <w:vAlign w:val="center"/>
          </w:tcPr>
          <w:p>
            <w:pPr>
              <w:jc w:val="center"/>
              <w:rPr>
                <w:rFonts w:ascii="宋体"/>
                <w:sz w:val="18"/>
              </w:rPr>
            </w:pPr>
          </w:p>
        </w:tc>
        <w:tc>
          <w:tcPr>
            <w:tcW w:w="509" w:type="dxa"/>
            <w:vAlign w:val="center"/>
          </w:tcPr>
          <w:p>
            <w:pPr>
              <w:jc w:val="center"/>
              <w:rPr>
                <w:rFonts w:ascii="宋体"/>
                <w:sz w:val="18"/>
              </w:rPr>
            </w:pPr>
          </w:p>
        </w:tc>
        <w:tc>
          <w:tcPr>
            <w:tcW w:w="511" w:type="dxa"/>
            <w:vAlign w:val="center"/>
          </w:tcPr>
          <w:p>
            <w:pPr>
              <w:jc w:val="center"/>
              <w:rPr>
                <w:rFonts w:ascii="宋体"/>
                <w:sz w:val="18"/>
              </w:rPr>
            </w:pPr>
          </w:p>
        </w:tc>
        <w:tc>
          <w:tcPr>
            <w:tcW w:w="511" w:type="dxa"/>
          </w:tcPr>
          <w:p>
            <w:pPr>
              <w:jc w:val="center"/>
              <w:rPr>
                <w:rFonts w:ascii="宋体"/>
                <w:sz w:val="18"/>
              </w:rPr>
            </w:pPr>
          </w:p>
        </w:tc>
        <w:tc>
          <w:tcPr>
            <w:tcW w:w="511" w:type="dxa"/>
            <w:vAlign w:val="center"/>
          </w:tcPr>
          <w:p>
            <w:pPr>
              <w:jc w:val="center"/>
              <w:rPr>
                <w:rFonts w:ascii="宋体"/>
                <w:sz w:val="18"/>
              </w:rPr>
            </w:pPr>
          </w:p>
        </w:tc>
        <w:tc>
          <w:tcPr>
            <w:tcW w:w="515"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r>
    </w:tbl>
    <w:p>
      <w:pPr>
        <w:pStyle w:val="38"/>
        <w:ind w:left="789"/>
        <w:rPr>
          <w:bCs/>
        </w:rPr>
      </w:pPr>
      <w:r>
        <w:rPr>
          <w:rFonts w:hint="eastAsia"/>
          <w:bCs/>
        </w:rPr>
        <w:t>管控措施指按一定程序确定的所有管控措施，</w:t>
      </w:r>
      <w:r>
        <w:rPr>
          <w:rFonts w:hint="eastAsia"/>
        </w:rPr>
        <w:t>包括“现有安全控制措施”和“建议改进（新增）措施”，</w:t>
      </w:r>
      <w:r>
        <w:rPr>
          <w:rFonts w:hint="eastAsia"/>
          <w:bCs/>
        </w:rPr>
        <w:t>内容必须详细和具体。</w:t>
      </w: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7"/>
        <w:numPr>
          <w:ilvl w:val="1"/>
          <w:numId w:val="0"/>
        </w:numPr>
        <w:spacing w:before="156" w:after="156"/>
        <w:jc w:val="both"/>
      </w:pPr>
      <w:r>
        <w:rPr>
          <w:rFonts w:hint="eastAsia"/>
        </w:rPr>
        <w:br w:type="page"/>
      </w:r>
    </w:p>
    <w:p>
      <w:pPr>
        <w:pStyle w:val="22"/>
        <w:spacing w:before="312" w:after="312"/>
        <w:rPr>
          <w:szCs w:val="22"/>
        </w:rPr>
      </w:pPr>
      <w:bookmarkStart w:id="608" w:name="_Toc13663_WPSOffice_Level2"/>
      <w:bookmarkStart w:id="609" w:name="_Toc23210_WPSOffice_Level2"/>
      <w:bookmarkStart w:id="610" w:name="_Toc9895"/>
      <w:bookmarkStart w:id="611" w:name="_Toc6414_WPSOffice_Level2"/>
      <w:bookmarkStart w:id="612" w:name="_Toc3655_WPSOffice_Level2"/>
      <w:bookmarkStart w:id="613" w:name="_Toc25228_WPSOffice_Level2"/>
      <w:r>
        <w:rPr>
          <w:rFonts w:hint="eastAsia"/>
          <w:szCs w:val="22"/>
        </w:rPr>
        <w:t>设备设施风险分级管控清单</w:t>
      </w:r>
      <w:bookmarkEnd w:id="608"/>
      <w:bookmarkEnd w:id="609"/>
      <w:bookmarkEnd w:id="610"/>
      <w:bookmarkEnd w:id="611"/>
      <w:bookmarkEnd w:id="612"/>
      <w:bookmarkEnd w:id="613"/>
    </w:p>
    <w:p>
      <w:pPr>
        <w:pStyle w:val="22"/>
        <w:numPr>
          <w:ilvl w:val="0"/>
          <w:numId w:val="0"/>
        </w:numPr>
        <w:spacing w:before="312" w:after="156" w:afterLines="50"/>
        <w:ind w:firstLine="210" w:firstLineChars="100"/>
      </w:pPr>
      <w:bookmarkStart w:id="614" w:name="_Toc7022"/>
      <w:r>
        <w:rPr>
          <w:rFonts w:hint="eastAsia"/>
        </w:rPr>
        <w:t>单位：</w:t>
      </w:r>
      <w:bookmarkEnd w:id="614"/>
    </w:p>
    <w:tbl>
      <w:tblPr>
        <w:tblStyle w:val="13"/>
        <w:tblW w:w="9291"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6"/>
        <w:gridCol w:w="377"/>
        <w:gridCol w:w="503"/>
        <w:gridCol w:w="627"/>
        <w:gridCol w:w="880"/>
        <w:gridCol w:w="881"/>
        <w:gridCol w:w="376"/>
        <w:gridCol w:w="376"/>
        <w:gridCol w:w="879"/>
        <w:gridCol w:w="502"/>
        <w:gridCol w:w="502"/>
        <w:gridCol w:w="502"/>
        <w:gridCol w:w="502"/>
        <w:gridCol w:w="503"/>
        <w:gridCol w:w="377"/>
        <w:gridCol w:w="376"/>
        <w:gridCol w:w="376"/>
        <w:gridCol w:w="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1256" w:type="dxa"/>
            <w:gridSpan w:val="3"/>
            <w:vAlign w:val="center"/>
          </w:tcPr>
          <w:p>
            <w:pPr>
              <w:jc w:val="center"/>
              <w:rPr>
                <w:rFonts w:ascii="宋体" w:hAnsi="宋体" w:cs="宋体"/>
                <w:sz w:val="18"/>
                <w:szCs w:val="18"/>
              </w:rPr>
            </w:pPr>
            <w:r>
              <w:rPr>
                <w:rFonts w:hint="eastAsia" w:ascii="宋体" w:hAnsi="宋体" w:cs="宋体"/>
                <w:sz w:val="18"/>
                <w:szCs w:val="18"/>
              </w:rPr>
              <w:t>风险点</w:t>
            </w:r>
          </w:p>
        </w:tc>
        <w:tc>
          <w:tcPr>
            <w:tcW w:w="1507" w:type="dxa"/>
            <w:gridSpan w:val="2"/>
            <w:vAlign w:val="center"/>
          </w:tcPr>
          <w:p>
            <w:pPr>
              <w:jc w:val="center"/>
              <w:rPr>
                <w:rFonts w:ascii="宋体" w:hAnsi="宋体" w:cs="宋体"/>
                <w:sz w:val="18"/>
                <w:szCs w:val="18"/>
              </w:rPr>
            </w:pPr>
            <w:r>
              <w:rPr>
                <w:rFonts w:hint="eastAsia" w:ascii="宋体" w:hAnsi="宋体" w:cs="宋体"/>
                <w:sz w:val="18"/>
                <w:szCs w:val="18"/>
              </w:rPr>
              <w:t>检查项目</w:t>
            </w:r>
          </w:p>
        </w:tc>
        <w:tc>
          <w:tcPr>
            <w:tcW w:w="881" w:type="dxa"/>
            <w:vMerge w:val="restart"/>
            <w:vAlign w:val="center"/>
          </w:tcPr>
          <w:p>
            <w:pPr>
              <w:jc w:val="center"/>
              <w:rPr>
                <w:rFonts w:ascii="宋体" w:hAnsi="宋体" w:cs="宋体"/>
                <w:sz w:val="18"/>
                <w:szCs w:val="18"/>
              </w:rPr>
            </w:pPr>
            <w:r>
              <w:rPr>
                <w:rFonts w:hint="eastAsia" w:ascii="宋体" w:hAnsi="宋体" w:cs="宋体"/>
                <w:sz w:val="18"/>
                <w:szCs w:val="18"/>
              </w:rPr>
              <w:t>标准</w:t>
            </w:r>
          </w:p>
        </w:tc>
        <w:tc>
          <w:tcPr>
            <w:tcW w:w="376" w:type="dxa"/>
            <w:vMerge w:val="restart"/>
            <w:vAlign w:val="center"/>
          </w:tcPr>
          <w:p>
            <w:pPr>
              <w:jc w:val="center"/>
              <w:rPr>
                <w:rFonts w:ascii="宋体" w:hAnsi="宋体" w:cs="宋体"/>
                <w:sz w:val="18"/>
                <w:szCs w:val="18"/>
              </w:rPr>
            </w:pPr>
            <w:r>
              <w:rPr>
                <w:rFonts w:hint="eastAsia" w:ascii="宋体" w:hAnsi="宋体" w:cs="宋体"/>
                <w:sz w:val="18"/>
                <w:szCs w:val="18"/>
              </w:rPr>
              <w:t>评价级别</w:t>
            </w:r>
          </w:p>
        </w:tc>
        <w:tc>
          <w:tcPr>
            <w:tcW w:w="376" w:type="dxa"/>
            <w:vMerge w:val="restart"/>
            <w:vAlign w:val="center"/>
          </w:tcPr>
          <w:p>
            <w:pPr>
              <w:jc w:val="center"/>
              <w:rPr>
                <w:rFonts w:ascii="宋体" w:hAnsi="宋体" w:cs="宋体"/>
                <w:sz w:val="18"/>
                <w:szCs w:val="18"/>
              </w:rPr>
            </w:pPr>
            <w:r>
              <w:rPr>
                <w:rFonts w:hint="eastAsia" w:ascii="宋体" w:hAnsi="宋体" w:cs="宋体"/>
                <w:sz w:val="18"/>
                <w:szCs w:val="18"/>
              </w:rPr>
              <w:t>风险分级</w:t>
            </w:r>
          </w:p>
        </w:tc>
        <w:tc>
          <w:tcPr>
            <w:tcW w:w="879" w:type="dxa"/>
            <w:vMerge w:val="restart"/>
            <w:vAlign w:val="center"/>
          </w:tcPr>
          <w:p>
            <w:pPr>
              <w:jc w:val="center"/>
              <w:rPr>
                <w:rFonts w:ascii="宋体" w:hAnsi="宋体" w:cs="宋体"/>
                <w:sz w:val="18"/>
                <w:szCs w:val="18"/>
              </w:rPr>
            </w:pPr>
            <w:r>
              <w:rPr>
                <w:rFonts w:hint="eastAsia" w:ascii="宋体" w:hAnsi="宋体" w:cs="宋体"/>
                <w:sz w:val="18"/>
                <w:szCs w:val="18"/>
              </w:rPr>
              <w:t>不符合标准情况及后果</w:t>
            </w:r>
          </w:p>
        </w:tc>
        <w:tc>
          <w:tcPr>
            <w:tcW w:w="2511" w:type="dxa"/>
            <w:gridSpan w:val="5"/>
            <w:vAlign w:val="center"/>
          </w:tcPr>
          <w:p>
            <w:pPr>
              <w:jc w:val="center"/>
              <w:rPr>
                <w:rFonts w:ascii="宋体" w:hAnsi="宋体" w:cs="宋体"/>
                <w:sz w:val="18"/>
                <w:szCs w:val="18"/>
              </w:rPr>
            </w:pPr>
            <w:r>
              <w:rPr>
                <w:rFonts w:hint="eastAsia" w:ascii="宋体" w:hAnsi="宋体" w:cs="宋体"/>
                <w:sz w:val="18"/>
                <w:szCs w:val="18"/>
              </w:rPr>
              <w:t>管控措施</w:t>
            </w:r>
          </w:p>
        </w:tc>
        <w:tc>
          <w:tcPr>
            <w:tcW w:w="377" w:type="dxa"/>
            <w:vMerge w:val="restart"/>
            <w:vAlign w:val="center"/>
          </w:tcPr>
          <w:p>
            <w:pPr>
              <w:jc w:val="center"/>
              <w:rPr>
                <w:rFonts w:ascii="宋体" w:hAnsi="宋体" w:cs="宋体"/>
                <w:sz w:val="18"/>
                <w:szCs w:val="18"/>
              </w:rPr>
            </w:pPr>
            <w:r>
              <w:rPr>
                <w:rFonts w:hint="eastAsia" w:ascii="宋体" w:hAnsi="宋体" w:cs="宋体"/>
                <w:sz w:val="18"/>
                <w:szCs w:val="18"/>
              </w:rPr>
              <w:t>管控层级</w:t>
            </w:r>
          </w:p>
        </w:tc>
        <w:tc>
          <w:tcPr>
            <w:tcW w:w="376" w:type="dxa"/>
            <w:vMerge w:val="restart"/>
            <w:vAlign w:val="center"/>
          </w:tcPr>
          <w:p>
            <w:pPr>
              <w:jc w:val="center"/>
              <w:rPr>
                <w:rFonts w:ascii="宋体" w:hAnsi="宋体" w:cs="宋体"/>
                <w:sz w:val="18"/>
                <w:szCs w:val="18"/>
              </w:rPr>
            </w:pPr>
            <w:r>
              <w:rPr>
                <w:rFonts w:hint="eastAsia" w:ascii="宋体" w:hAnsi="宋体" w:cs="宋体"/>
                <w:sz w:val="18"/>
                <w:szCs w:val="18"/>
              </w:rPr>
              <w:t>责任单位</w:t>
            </w:r>
          </w:p>
        </w:tc>
        <w:tc>
          <w:tcPr>
            <w:tcW w:w="376" w:type="dxa"/>
            <w:vMerge w:val="restart"/>
            <w:vAlign w:val="center"/>
          </w:tcPr>
          <w:p>
            <w:pPr>
              <w:jc w:val="center"/>
              <w:rPr>
                <w:rFonts w:ascii="宋体" w:hAnsi="宋体" w:cs="宋体"/>
                <w:sz w:val="18"/>
                <w:szCs w:val="18"/>
              </w:rPr>
            </w:pPr>
            <w:r>
              <w:rPr>
                <w:rFonts w:hint="eastAsia" w:ascii="宋体" w:hAnsi="宋体" w:cs="宋体"/>
                <w:sz w:val="18"/>
                <w:szCs w:val="18"/>
              </w:rPr>
              <w:t>责任人</w:t>
            </w:r>
          </w:p>
        </w:tc>
        <w:tc>
          <w:tcPr>
            <w:tcW w:w="376" w:type="dxa"/>
            <w:vMerge w:val="restart"/>
            <w:vAlign w:val="center"/>
          </w:tcPr>
          <w:p>
            <w:pPr>
              <w:jc w:val="center"/>
              <w:rPr>
                <w:rFonts w:ascii="宋体" w:hAnsi="宋体" w:cs="宋体"/>
                <w:sz w:val="18"/>
                <w:szCs w:val="18"/>
              </w:rPr>
            </w:pPr>
            <w:r>
              <w:rPr>
                <w:rFonts w:hint="eastAsia" w:ascii="宋体" w:hAnsi="宋体" w:cs="宋体"/>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trPr>
        <w:tc>
          <w:tcPr>
            <w:tcW w:w="376" w:type="dxa"/>
            <w:vAlign w:val="center"/>
          </w:tcPr>
          <w:p>
            <w:pPr>
              <w:jc w:val="center"/>
              <w:rPr>
                <w:rFonts w:ascii="宋体"/>
                <w:sz w:val="18"/>
              </w:rPr>
            </w:pPr>
            <w:r>
              <w:rPr>
                <w:rFonts w:hint="eastAsia" w:ascii="宋体" w:hAnsi="宋体" w:cs="宋体"/>
                <w:sz w:val="18"/>
                <w:szCs w:val="18"/>
              </w:rPr>
              <w:t>编号</w:t>
            </w:r>
          </w:p>
        </w:tc>
        <w:tc>
          <w:tcPr>
            <w:tcW w:w="377" w:type="dxa"/>
            <w:vAlign w:val="center"/>
          </w:tcPr>
          <w:p>
            <w:pPr>
              <w:jc w:val="center"/>
              <w:rPr>
                <w:rFonts w:ascii="宋体"/>
                <w:sz w:val="18"/>
                <w:szCs w:val="18"/>
              </w:rPr>
            </w:pPr>
            <w:r>
              <w:rPr>
                <w:rFonts w:hint="eastAsia" w:ascii="宋体"/>
                <w:sz w:val="18"/>
                <w:szCs w:val="18"/>
              </w:rPr>
              <w:t>类型</w:t>
            </w:r>
          </w:p>
        </w:tc>
        <w:tc>
          <w:tcPr>
            <w:tcW w:w="503" w:type="dxa"/>
            <w:vAlign w:val="center"/>
          </w:tcPr>
          <w:p>
            <w:pPr>
              <w:jc w:val="center"/>
              <w:rPr>
                <w:rFonts w:ascii="宋体"/>
                <w:sz w:val="18"/>
                <w:szCs w:val="18"/>
              </w:rPr>
            </w:pPr>
            <w:r>
              <w:rPr>
                <w:rFonts w:hint="eastAsia" w:ascii="宋体"/>
                <w:sz w:val="18"/>
                <w:szCs w:val="18"/>
              </w:rPr>
              <w:t>名称</w:t>
            </w:r>
          </w:p>
        </w:tc>
        <w:tc>
          <w:tcPr>
            <w:tcW w:w="627" w:type="dxa"/>
            <w:vAlign w:val="center"/>
          </w:tcPr>
          <w:p>
            <w:pPr>
              <w:jc w:val="center"/>
              <w:rPr>
                <w:rFonts w:ascii="宋体" w:hAnsi="宋体" w:cs="宋体"/>
                <w:sz w:val="18"/>
                <w:szCs w:val="18"/>
              </w:rPr>
            </w:pPr>
            <w:r>
              <w:rPr>
                <w:rFonts w:hint="eastAsia" w:ascii="宋体"/>
                <w:sz w:val="18"/>
                <w:szCs w:val="18"/>
              </w:rPr>
              <w:t>序号</w:t>
            </w:r>
          </w:p>
        </w:tc>
        <w:tc>
          <w:tcPr>
            <w:tcW w:w="880" w:type="dxa"/>
            <w:vAlign w:val="center"/>
          </w:tcPr>
          <w:p>
            <w:pPr>
              <w:jc w:val="center"/>
              <w:rPr>
                <w:rFonts w:ascii="宋体" w:hAnsi="宋体" w:cs="宋体"/>
                <w:sz w:val="18"/>
                <w:szCs w:val="18"/>
              </w:rPr>
            </w:pPr>
            <w:r>
              <w:rPr>
                <w:rFonts w:hint="eastAsia" w:ascii="宋体" w:hAnsi="宋体" w:cs="宋体"/>
                <w:sz w:val="18"/>
                <w:szCs w:val="18"/>
              </w:rPr>
              <w:t>名称</w:t>
            </w:r>
          </w:p>
        </w:tc>
        <w:tc>
          <w:tcPr>
            <w:tcW w:w="881" w:type="dxa"/>
            <w:vMerge w:val="continue"/>
            <w:vAlign w:val="center"/>
          </w:tcPr>
          <w:p>
            <w:pPr>
              <w:jc w:val="center"/>
              <w:rPr>
                <w:rFonts w:ascii="宋体" w:hAnsi="宋体" w:cs="宋体"/>
                <w:sz w:val="18"/>
                <w:szCs w:val="18"/>
              </w:rPr>
            </w:pPr>
          </w:p>
        </w:tc>
        <w:tc>
          <w:tcPr>
            <w:tcW w:w="376" w:type="dxa"/>
            <w:vMerge w:val="continue"/>
            <w:vAlign w:val="center"/>
          </w:tcPr>
          <w:p>
            <w:pPr>
              <w:ind w:firstLine="360"/>
              <w:jc w:val="center"/>
              <w:rPr>
                <w:rFonts w:ascii="宋体" w:hAnsi="宋体" w:cs="宋体"/>
                <w:sz w:val="18"/>
                <w:szCs w:val="18"/>
              </w:rPr>
            </w:pPr>
          </w:p>
        </w:tc>
        <w:tc>
          <w:tcPr>
            <w:tcW w:w="376" w:type="dxa"/>
            <w:vMerge w:val="continue"/>
            <w:vAlign w:val="center"/>
          </w:tcPr>
          <w:p>
            <w:pPr>
              <w:ind w:firstLine="360"/>
              <w:jc w:val="center"/>
              <w:rPr>
                <w:rFonts w:ascii="宋体" w:hAnsi="宋体" w:cs="宋体"/>
                <w:sz w:val="18"/>
                <w:szCs w:val="18"/>
              </w:rPr>
            </w:pPr>
          </w:p>
        </w:tc>
        <w:tc>
          <w:tcPr>
            <w:tcW w:w="879" w:type="dxa"/>
            <w:vMerge w:val="continue"/>
            <w:vAlign w:val="center"/>
          </w:tcPr>
          <w:p>
            <w:pPr>
              <w:ind w:firstLine="360"/>
              <w:jc w:val="center"/>
              <w:rPr>
                <w:rFonts w:ascii="宋体" w:hAnsi="宋体" w:cs="宋体"/>
                <w:sz w:val="18"/>
                <w:szCs w:val="18"/>
              </w:rPr>
            </w:pPr>
          </w:p>
        </w:tc>
        <w:tc>
          <w:tcPr>
            <w:tcW w:w="502" w:type="dxa"/>
            <w:vAlign w:val="center"/>
          </w:tcPr>
          <w:p>
            <w:pPr>
              <w:jc w:val="center"/>
              <w:rPr>
                <w:rFonts w:ascii="宋体" w:hAnsi="宋体"/>
                <w:sz w:val="18"/>
                <w:szCs w:val="18"/>
              </w:rPr>
            </w:pPr>
            <w:r>
              <w:rPr>
                <w:rFonts w:hint="eastAsia" w:ascii="宋体" w:hAnsi="宋体"/>
                <w:sz w:val="18"/>
                <w:szCs w:val="18"/>
              </w:rPr>
              <w:t>工程技术</w:t>
            </w:r>
          </w:p>
          <w:p>
            <w:pPr>
              <w:jc w:val="center"/>
              <w:rPr>
                <w:rFonts w:ascii="宋体" w:hAnsi="宋体"/>
                <w:sz w:val="18"/>
                <w:szCs w:val="18"/>
              </w:rPr>
            </w:pPr>
            <w:r>
              <w:rPr>
                <w:rFonts w:hint="eastAsia" w:ascii="宋体" w:hAnsi="宋体"/>
                <w:sz w:val="18"/>
                <w:szCs w:val="18"/>
              </w:rPr>
              <w:t>措施</w:t>
            </w:r>
          </w:p>
        </w:tc>
        <w:tc>
          <w:tcPr>
            <w:tcW w:w="502" w:type="dxa"/>
            <w:vAlign w:val="center"/>
          </w:tcPr>
          <w:p>
            <w:pPr>
              <w:jc w:val="center"/>
              <w:rPr>
                <w:rFonts w:ascii="宋体" w:hAnsi="宋体"/>
                <w:sz w:val="18"/>
                <w:szCs w:val="18"/>
              </w:rPr>
            </w:pPr>
            <w:r>
              <w:rPr>
                <w:rFonts w:hint="eastAsia" w:ascii="宋体" w:hAnsi="宋体"/>
                <w:sz w:val="18"/>
                <w:szCs w:val="18"/>
              </w:rPr>
              <w:t>管理措施</w:t>
            </w:r>
          </w:p>
        </w:tc>
        <w:tc>
          <w:tcPr>
            <w:tcW w:w="502" w:type="dxa"/>
          </w:tcPr>
          <w:p>
            <w:pPr>
              <w:jc w:val="center"/>
              <w:rPr>
                <w:rFonts w:ascii="宋体" w:hAnsi="宋体"/>
                <w:sz w:val="18"/>
                <w:szCs w:val="18"/>
              </w:rPr>
            </w:pPr>
            <w:r>
              <w:rPr>
                <w:rFonts w:hint="eastAsia" w:ascii="宋体" w:hAnsi="宋体"/>
                <w:sz w:val="18"/>
                <w:szCs w:val="18"/>
              </w:rPr>
              <w:t>培训教育措施</w:t>
            </w:r>
          </w:p>
        </w:tc>
        <w:tc>
          <w:tcPr>
            <w:tcW w:w="502" w:type="dxa"/>
            <w:vAlign w:val="center"/>
          </w:tcPr>
          <w:p>
            <w:pPr>
              <w:jc w:val="center"/>
              <w:rPr>
                <w:rFonts w:ascii="宋体" w:hAnsi="宋体"/>
                <w:sz w:val="18"/>
                <w:szCs w:val="18"/>
              </w:rPr>
            </w:pPr>
            <w:r>
              <w:rPr>
                <w:rFonts w:hint="eastAsia" w:ascii="宋体" w:hAnsi="宋体"/>
                <w:sz w:val="18"/>
                <w:szCs w:val="18"/>
              </w:rPr>
              <w:t>个体防护措施</w:t>
            </w:r>
          </w:p>
        </w:tc>
        <w:tc>
          <w:tcPr>
            <w:tcW w:w="503" w:type="dxa"/>
            <w:vAlign w:val="center"/>
          </w:tcPr>
          <w:p>
            <w:pPr>
              <w:jc w:val="center"/>
              <w:rPr>
                <w:rFonts w:ascii="宋体" w:hAnsi="宋体"/>
                <w:sz w:val="18"/>
                <w:szCs w:val="18"/>
              </w:rPr>
            </w:pPr>
            <w:r>
              <w:rPr>
                <w:rFonts w:hint="eastAsia" w:ascii="宋体" w:hAnsi="宋体"/>
                <w:sz w:val="18"/>
                <w:szCs w:val="18"/>
              </w:rPr>
              <w:t>应急处置措施</w:t>
            </w:r>
          </w:p>
        </w:tc>
        <w:tc>
          <w:tcPr>
            <w:tcW w:w="377" w:type="dxa"/>
            <w:vMerge w:val="continue"/>
            <w:vAlign w:val="center"/>
          </w:tcPr>
          <w:p>
            <w:pPr>
              <w:ind w:firstLine="360"/>
              <w:jc w:val="center"/>
              <w:rPr>
                <w:rFonts w:ascii="宋体" w:hAnsi="宋体" w:cs="宋体"/>
                <w:sz w:val="18"/>
                <w:szCs w:val="18"/>
              </w:rPr>
            </w:pPr>
          </w:p>
        </w:tc>
        <w:tc>
          <w:tcPr>
            <w:tcW w:w="376" w:type="dxa"/>
            <w:vMerge w:val="continue"/>
            <w:vAlign w:val="center"/>
          </w:tcPr>
          <w:p>
            <w:pPr>
              <w:ind w:firstLine="360"/>
              <w:jc w:val="center"/>
              <w:rPr>
                <w:rFonts w:ascii="宋体" w:hAnsi="宋体" w:cs="宋体"/>
                <w:sz w:val="18"/>
                <w:szCs w:val="18"/>
              </w:rPr>
            </w:pPr>
          </w:p>
        </w:tc>
        <w:tc>
          <w:tcPr>
            <w:tcW w:w="376" w:type="dxa"/>
            <w:vMerge w:val="continue"/>
            <w:vAlign w:val="center"/>
          </w:tcPr>
          <w:p>
            <w:pPr>
              <w:ind w:firstLine="360"/>
              <w:jc w:val="center"/>
              <w:rPr>
                <w:rFonts w:ascii="宋体" w:hAnsi="宋体" w:cs="宋体"/>
                <w:sz w:val="18"/>
                <w:szCs w:val="18"/>
              </w:rPr>
            </w:pPr>
          </w:p>
        </w:tc>
        <w:tc>
          <w:tcPr>
            <w:tcW w:w="376" w:type="dxa"/>
            <w:vMerge w:val="continue"/>
            <w:vAlign w:val="center"/>
          </w:tcPr>
          <w:p>
            <w:pPr>
              <w:ind w:firstLine="360"/>
              <w:jc w:val="center"/>
              <w:rPr>
                <w:rFonts w:ascii="宋体" w:hAnsi="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restart"/>
            <w:vAlign w:val="center"/>
          </w:tcPr>
          <w:p>
            <w:pPr>
              <w:jc w:val="center"/>
              <w:rPr>
                <w:rFonts w:ascii="宋体"/>
                <w:sz w:val="18"/>
              </w:rPr>
            </w:pPr>
            <w:r>
              <w:rPr>
                <w:rFonts w:hint="eastAsia" w:ascii="宋体"/>
                <w:sz w:val="18"/>
              </w:rPr>
              <w:t>1</w:t>
            </w:r>
          </w:p>
        </w:tc>
        <w:tc>
          <w:tcPr>
            <w:tcW w:w="377" w:type="dxa"/>
            <w:vMerge w:val="restart"/>
            <w:vAlign w:val="center"/>
          </w:tcPr>
          <w:p>
            <w:pPr>
              <w:rPr>
                <w:rFonts w:ascii="宋体"/>
                <w:sz w:val="18"/>
                <w:szCs w:val="18"/>
              </w:rPr>
            </w:pPr>
            <w:r>
              <w:rPr>
                <w:rFonts w:hint="eastAsia" w:ascii="宋体"/>
                <w:sz w:val="18"/>
                <w:szCs w:val="18"/>
              </w:rPr>
              <w:t>设施、部位、场所、区域</w:t>
            </w:r>
          </w:p>
        </w:tc>
        <w:tc>
          <w:tcPr>
            <w:tcW w:w="503" w:type="dxa"/>
            <w:vMerge w:val="restart"/>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1</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continue"/>
            <w:vAlign w:val="center"/>
          </w:tcPr>
          <w:p>
            <w:pPr>
              <w:jc w:val="center"/>
              <w:rPr>
                <w:rFonts w:ascii="宋体"/>
                <w:sz w:val="18"/>
              </w:rPr>
            </w:pPr>
          </w:p>
        </w:tc>
        <w:tc>
          <w:tcPr>
            <w:tcW w:w="377" w:type="dxa"/>
            <w:vMerge w:val="continue"/>
            <w:vAlign w:val="center"/>
          </w:tcPr>
          <w:p>
            <w:pPr>
              <w:jc w:val="center"/>
              <w:rPr>
                <w:rFonts w:ascii="宋体"/>
                <w:sz w:val="18"/>
              </w:rPr>
            </w:pPr>
          </w:p>
        </w:tc>
        <w:tc>
          <w:tcPr>
            <w:tcW w:w="503" w:type="dxa"/>
            <w:vMerge w:val="continue"/>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2</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continue"/>
            <w:vAlign w:val="center"/>
          </w:tcPr>
          <w:p>
            <w:pPr>
              <w:jc w:val="center"/>
              <w:rPr>
                <w:rFonts w:ascii="宋体"/>
                <w:sz w:val="18"/>
              </w:rPr>
            </w:pPr>
          </w:p>
        </w:tc>
        <w:tc>
          <w:tcPr>
            <w:tcW w:w="377" w:type="dxa"/>
            <w:vMerge w:val="continue"/>
            <w:vAlign w:val="center"/>
          </w:tcPr>
          <w:p>
            <w:pPr>
              <w:jc w:val="center"/>
              <w:rPr>
                <w:rFonts w:ascii="宋体"/>
                <w:sz w:val="18"/>
              </w:rPr>
            </w:pPr>
          </w:p>
        </w:tc>
        <w:tc>
          <w:tcPr>
            <w:tcW w:w="503" w:type="dxa"/>
            <w:vMerge w:val="continue"/>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3</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continue"/>
            <w:vAlign w:val="center"/>
          </w:tcPr>
          <w:p>
            <w:pPr>
              <w:jc w:val="center"/>
              <w:rPr>
                <w:rFonts w:ascii="宋体"/>
                <w:sz w:val="18"/>
              </w:rPr>
            </w:pPr>
          </w:p>
        </w:tc>
        <w:tc>
          <w:tcPr>
            <w:tcW w:w="377" w:type="dxa"/>
            <w:vMerge w:val="continue"/>
            <w:vAlign w:val="center"/>
          </w:tcPr>
          <w:p>
            <w:pPr>
              <w:jc w:val="center"/>
              <w:rPr>
                <w:rFonts w:ascii="宋体"/>
                <w:sz w:val="18"/>
              </w:rPr>
            </w:pPr>
          </w:p>
        </w:tc>
        <w:tc>
          <w:tcPr>
            <w:tcW w:w="503" w:type="dxa"/>
            <w:vMerge w:val="continue"/>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4</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continue"/>
            <w:vAlign w:val="center"/>
          </w:tcPr>
          <w:p>
            <w:pPr>
              <w:jc w:val="center"/>
              <w:rPr>
                <w:rFonts w:ascii="宋体"/>
                <w:sz w:val="18"/>
              </w:rPr>
            </w:pPr>
          </w:p>
        </w:tc>
        <w:tc>
          <w:tcPr>
            <w:tcW w:w="377" w:type="dxa"/>
            <w:vMerge w:val="continue"/>
            <w:vAlign w:val="center"/>
          </w:tcPr>
          <w:p>
            <w:pPr>
              <w:jc w:val="center"/>
              <w:rPr>
                <w:rFonts w:ascii="宋体"/>
                <w:sz w:val="18"/>
              </w:rPr>
            </w:pPr>
          </w:p>
        </w:tc>
        <w:tc>
          <w:tcPr>
            <w:tcW w:w="503" w:type="dxa"/>
            <w:vMerge w:val="continue"/>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5</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continue"/>
            <w:vAlign w:val="center"/>
          </w:tcPr>
          <w:p>
            <w:pPr>
              <w:jc w:val="center"/>
              <w:rPr>
                <w:rFonts w:ascii="宋体"/>
                <w:sz w:val="18"/>
              </w:rPr>
            </w:pPr>
          </w:p>
        </w:tc>
        <w:tc>
          <w:tcPr>
            <w:tcW w:w="377" w:type="dxa"/>
            <w:vMerge w:val="continue"/>
            <w:vAlign w:val="center"/>
          </w:tcPr>
          <w:p>
            <w:pPr>
              <w:jc w:val="center"/>
              <w:rPr>
                <w:rFonts w:ascii="宋体"/>
                <w:sz w:val="18"/>
              </w:rPr>
            </w:pPr>
          </w:p>
        </w:tc>
        <w:tc>
          <w:tcPr>
            <w:tcW w:w="503" w:type="dxa"/>
            <w:vMerge w:val="continue"/>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6</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bl>
    <w:p>
      <w:pPr>
        <w:pStyle w:val="38"/>
        <w:ind w:left="789"/>
        <w:rPr>
          <w:bCs/>
        </w:rPr>
      </w:pPr>
      <w:r>
        <w:rPr>
          <w:rFonts w:hint="eastAsia"/>
          <w:bCs/>
        </w:rPr>
        <w:t>管控措施指按一定程序确定的所有管控措施，</w:t>
      </w:r>
      <w:r>
        <w:rPr>
          <w:rFonts w:hint="eastAsia"/>
        </w:rPr>
        <w:t>包括“现有安全控制措施”和“建议改进（新增）措施”，</w:t>
      </w:r>
      <w:r>
        <w:rPr>
          <w:rFonts w:hint="eastAsia"/>
          <w:bCs/>
        </w:rPr>
        <w:t>内容必须详细和具体。</w:t>
      </w:r>
    </w:p>
    <w:p>
      <w:pPr>
        <w:pStyle w:val="22"/>
        <w:spacing w:before="312" w:after="312"/>
        <w:rPr>
          <w:szCs w:val="22"/>
        </w:rPr>
      </w:pPr>
      <w:bookmarkStart w:id="615" w:name="_Toc4671_WPSOffice_Level2"/>
      <w:bookmarkStart w:id="616" w:name="_Toc19144"/>
      <w:bookmarkStart w:id="617" w:name="_Toc18201_WPSOffice_Level2"/>
      <w:bookmarkStart w:id="618" w:name="_Toc2077_WPSOffice_Level2"/>
      <w:bookmarkStart w:id="619" w:name="_Toc29898_WPSOffice_Level2"/>
      <w:bookmarkStart w:id="620" w:name="_Toc24792_WPSOffice_Level2"/>
      <w:r>
        <w:rPr>
          <w:rFonts w:hint="eastAsia"/>
          <w:szCs w:val="22"/>
        </w:rPr>
        <w:t>风险点统计表</w:t>
      </w:r>
      <w:bookmarkEnd w:id="615"/>
      <w:bookmarkEnd w:id="616"/>
      <w:bookmarkEnd w:id="617"/>
      <w:bookmarkEnd w:id="618"/>
      <w:bookmarkEnd w:id="619"/>
      <w:bookmarkEnd w:id="620"/>
    </w:p>
    <w:tbl>
      <w:tblPr>
        <w:tblStyle w:val="13"/>
        <w:tblW w:w="95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9"/>
        <w:gridCol w:w="1070"/>
        <w:gridCol w:w="670"/>
        <w:gridCol w:w="750"/>
        <w:gridCol w:w="1700"/>
        <w:gridCol w:w="1843"/>
        <w:gridCol w:w="708"/>
        <w:gridCol w:w="850"/>
        <w:gridCol w:w="764"/>
        <w:gridCol w:w="6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2" w:hRule="atLeast"/>
        </w:trPr>
        <w:tc>
          <w:tcPr>
            <w:tcW w:w="599"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序号</w:t>
            </w:r>
          </w:p>
        </w:tc>
        <w:tc>
          <w:tcPr>
            <w:tcW w:w="1070"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名称</w:t>
            </w:r>
          </w:p>
        </w:tc>
        <w:tc>
          <w:tcPr>
            <w:tcW w:w="670"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类型</w:t>
            </w:r>
          </w:p>
        </w:tc>
        <w:tc>
          <w:tcPr>
            <w:tcW w:w="750"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区域位置</w:t>
            </w:r>
          </w:p>
        </w:tc>
        <w:tc>
          <w:tcPr>
            <w:tcW w:w="1700"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可能发生的事故类型及后果</w:t>
            </w:r>
          </w:p>
        </w:tc>
        <w:tc>
          <w:tcPr>
            <w:tcW w:w="1843"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现有风险控制</w:t>
            </w:r>
          </w:p>
          <w:p>
            <w:pPr>
              <w:spacing w:line="0" w:lineRule="atLeast"/>
              <w:jc w:val="center"/>
              <w:rPr>
                <w:rFonts w:ascii="宋体" w:hAnsi="宋体" w:cs="仿宋_GB2312"/>
                <w:sz w:val="18"/>
                <w:szCs w:val="18"/>
              </w:rPr>
            </w:pPr>
            <w:r>
              <w:rPr>
                <w:rFonts w:hint="eastAsia" w:ascii="宋体" w:hAnsi="宋体" w:cs="仿宋_GB2312"/>
                <w:sz w:val="18"/>
                <w:szCs w:val="18"/>
              </w:rPr>
              <w:t>措施</w:t>
            </w:r>
          </w:p>
        </w:tc>
        <w:tc>
          <w:tcPr>
            <w:tcW w:w="708" w:type="dxa"/>
            <w:vAlign w:val="center"/>
          </w:tcPr>
          <w:p>
            <w:pPr>
              <w:spacing w:line="0" w:lineRule="atLeast"/>
              <w:jc w:val="center"/>
              <w:rPr>
                <w:rFonts w:ascii="宋体" w:hAnsi="宋体" w:cs="仿宋_GB2312"/>
                <w:sz w:val="18"/>
                <w:szCs w:val="18"/>
              </w:rPr>
            </w:pPr>
            <w:r>
              <w:rPr>
                <w:rFonts w:hint="eastAsia" w:ascii="宋体" w:hAnsi="宋体"/>
                <w:sz w:val="18"/>
                <w:szCs w:val="18"/>
              </w:rPr>
              <w:t>管控层级</w:t>
            </w:r>
          </w:p>
        </w:tc>
        <w:tc>
          <w:tcPr>
            <w:tcW w:w="850"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责任</w:t>
            </w:r>
          </w:p>
          <w:p>
            <w:pPr>
              <w:spacing w:line="0" w:lineRule="atLeast"/>
              <w:jc w:val="center"/>
              <w:rPr>
                <w:rFonts w:ascii="宋体" w:hAnsi="宋体" w:cs="仿宋_GB2312"/>
                <w:sz w:val="18"/>
                <w:szCs w:val="18"/>
              </w:rPr>
            </w:pPr>
            <w:r>
              <w:rPr>
                <w:rFonts w:hint="eastAsia" w:ascii="宋体" w:hAnsi="宋体" w:cs="仿宋_GB2312"/>
                <w:sz w:val="18"/>
                <w:szCs w:val="18"/>
              </w:rPr>
              <w:t>单位</w:t>
            </w:r>
          </w:p>
        </w:tc>
        <w:tc>
          <w:tcPr>
            <w:tcW w:w="764"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责任人</w:t>
            </w:r>
          </w:p>
        </w:tc>
        <w:tc>
          <w:tcPr>
            <w:tcW w:w="616"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599" w:type="dxa"/>
          </w:tcPr>
          <w:p>
            <w:pPr>
              <w:spacing w:before="120"/>
              <w:ind w:right="198"/>
              <w:jc w:val="right"/>
              <w:rPr>
                <w:rFonts w:ascii="宋体" w:hAnsi="宋体" w:cs="仿宋_GB2312"/>
                <w:kern w:val="0"/>
                <w:sz w:val="20"/>
                <w:szCs w:val="20"/>
              </w:rPr>
            </w:pPr>
          </w:p>
        </w:tc>
        <w:tc>
          <w:tcPr>
            <w:tcW w:w="1070" w:type="dxa"/>
          </w:tcPr>
          <w:p>
            <w:pPr>
              <w:spacing w:before="120"/>
              <w:ind w:right="198"/>
              <w:jc w:val="right"/>
              <w:rPr>
                <w:rFonts w:ascii="宋体" w:hAnsi="宋体" w:cs="仿宋_GB2312"/>
                <w:kern w:val="0"/>
                <w:sz w:val="20"/>
                <w:szCs w:val="20"/>
              </w:rPr>
            </w:pPr>
          </w:p>
        </w:tc>
        <w:tc>
          <w:tcPr>
            <w:tcW w:w="670" w:type="dxa"/>
          </w:tcPr>
          <w:p>
            <w:pPr>
              <w:spacing w:before="120"/>
              <w:ind w:right="198"/>
              <w:jc w:val="right"/>
              <w:rPr>
                <w:rFonts w:ascii="宋体" w:hAnsi="宋体" w:cs="仿宋_GB2312"/>
                <w:kern w:val="0"/>
                <w:sz w:val="20"/>
                <w:szCs w:val="20"/>
              </w:rPr>
            </w:pPr>
          </w:p>
        </w:tc>
        <w:tc>
          <w:tcPr>
            <w:tcW w:w="750" w:type="dxa"/>
          </w:tcPr>
          <w:p>
            <w:pPr>
              <w:spacing w:before="120"/>
              <w:ind w:right="198"/>
              <w:jc w:val="right"/>
              <w:rPr>
                <w:rFonts w:ascii="宋体" w:hAnsi="宋体" w:cs="仿宋_GB2312"/>
                <w:kern w:val="0"/>
                <w:sz w:val="20"/>
                <w:szCs w:val="20"/>
              </w:rPr>
            </w:pPr>
          </w:p>
        </w:tc>
        <w:tc>
          <w:tcPr>
            <w:tcW w:w="1700" w:type="dxa"/>
          </w:tcPr>
          <w:p>
            <w:pPr>
              <w:spacing w:before="120"/>
              <w:ind w:right="198"/>
              <w:jc w:val="right"/>
              <w:rPr>
                <w:rFonts w:ascii="宋体" w:hAnsi="宋体" w:cs="仿宋_GB2312"/>
                <w:kern w:val="0"/>
                <w:sz w:val="20"/>
                <w:szCs w:val="20"/>
              </w:rPr>
            </w:pPr>
          </w:p>
        </w:tc>
        <w:tc>
          <w:tcPr>
            <w:tcW w:w="1843" w:type="dxa"/>
          </w:tcPr>
          <w:p>
            <w:pPr>
              <w:spacing w:before="120"/>
              <w:ind w:right="198"/>
              <w:jc w:val="right"/>
              <w:rPr>
                <w:rFonts w:ascii="宋体" w:hAnsi="宋体" w:cs="仿宋_GB2312"/>
                <w:kern w:val="0"/>
                <w:sz w:val="20"/>
                <w:szCs w:val="20"/>
              </w:rPr>
            </w:pPr>
          </w:p>
        </w:tc>
        <w:tc>
          <w:tcPr>
            <w:tcW w:w="708" w:type="dxa"/>
          </w:tcPr>
          <w:p>
            <w:pPr>
              <w:spacing w:before="120"/>
              <w:ind w:right="198"/>
              <w:jc w:val="right"/>
              <w:rPr>
                <w:rFonts w:ascii="宋体" w:hAnsi="宋体" w:cs="仿宋_GB2312"/>
                <w:kern w:val="0"/>
                <w:sz w:val="20"/>
                <w:szCs w:val="20"/>
              </w:rPr>
            </w:pPr>
          </w:p>
        </w:tc>
        <w:tc>
          <w:tcPr>
            <w:tcW w:w="850" w:type="dxa"/>
          </w:tcPr>
          <w:p>
            <w:pPr>
              <w:spacing w:before="120"/>
              <w:ind w:right="198"/>
              <w:jc w:val="right"/>
              <w:rPr>
                <w:rFonts w:ascii="宋体" w:hAnsi="宋体" w:cs="仿宋_GB2312"/>
                <w:kern w:val="0"/>
                <w:sz w:val="20"/>
                <w:szCs w:val="20"/>
              </w:rPr>
            </w:pPr>
          </w:p>
        </w:tc>
        <w:tc>
          <w:tcPr>
            <w:tcW w:w="764" w:type="dxa"/>
          </w:tcPr>
          <w:p>
            <w:pPr>
              <w:spacing w:before="120"/>
              <w:ind w:right="198"/>
              <w:jc w:val="right"/>
              <w:rPr>
                <w:rFonts w:ascii="宋体" w:hAnsi="宋体" w:cs="仿宋_GB2312"/>
                <w:kern w:val="0"/>
                <w:sz w:val="20"/>
                <w:szCs w:val="20"/>
              </w:rPr>
            </w:pPr>
          </w:p>
        </w:tc>
        <w:tc>
          <w:tcPr>
            <w:tcW w:w="616" w:type="dxa"/>
          </w:tcPr>
          <w:p>
            <w:pPr>
              <w:spacing w:before="120"/>
              <w:ind w:right="198"/>
              <w:jc w:val="right"/>
              <w:rPr>
                <w:rFonts w:ascii="宋体" w:hAnsi="宋体" w:cs="仿宋_GB2312"/>
                <w:kern w:val="0"/>
                <w:sz w:val="20"/>
                <w:szCs w:val="20"/>
              </w:rPr>
            </w:pPr>
          </w:p>
        </w:tc>
      </w:tr>
    </w:tbl>
    <w:p>
      <w:pPr>
        <w:pStyle w:val="22"/>
        <w:spacing w:before="312" w:after="312"/>
        <w:rPr>
          <w:szCs w:val="22"/>
        </w:rPr>
      </w:pPr>
      <w:bookmarkStart w:id="621" w:name="_Toc1893_WPSOffice_Level2"/>
      <w:bookmarkStart w:id="622" w:name="_Toc3354"/>
      <w:bookmarkStart w:id="623" w:name="_Toc21835_WPSOffice_Level2"/>
      <w:bookmarkStart w:id="624" w:name="_Toc18084_WPSOffice_Level2"/>
      <w:bookmarkStart w:id="625" w:name="_Toc2534_WPSOffice_Level2"/>
      <w:bookmarkStart w:id="626" w:name="_Toc26912_WPSOffice_Level2"/>
      <w:r>
        <w:rPr>
          <w:rFonts w:hint="eastAsia"/>
          <w:szCs w:val="22"/>
        </w:rPr>
        <w:t>危险源统计表</w:t>
      </w:r>
      <w:bookmarkEnd w:id="621"/>
      <w:bookmarkEnd w:id="622"/>
      <w:bookmarkEnd w:id="623"/>
      <w:bookmarkEnd w:id="624"/>
      <w:bookmarkEnd w:id="625"/>
      <w:bookmarkEnd w:id="626"/>
    </w:p>
    <w:tbl>
      <w:tblPr>
        <w:tblStyle w:val="13"/>
        <w:tblW w:w="9570"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95"/>
        <w:gridCol w:w="1862"/>
        <w:gridCol w:w="1093"/>
        <w:gridCol w:w="1217"/>
        <w:gridCol w:w="1215"/>
        <w:gridCol w:w="1619"/>
        <w:gridCol w:w="930"/>
        <w:gridCol w:w="73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895" w:type="dxa"/>
            <w:vMerge w:val="restart"/>
            <w:vAlign w:val="center"/>
          </w:tcPr>
          <w:p>
            <w:pPr>
              <w:spacing w:line="0" w:lineRule="atLeast"/>
              <w:jc w:val="center"/>
              <w:rPr>
                <w:rFonts w:ascii="宋体" w:hAnsi="宋体" w:cs="仿宋_GB2312"/>
                <w:sz w:val="18"/>
                <w:szCs w:val="18"/>
              </w:rPr>
            </w:pPr>
            <w:r>
              <w:rPr>
                <w:rFonts w:hint="eastAsia" w:ascii="宋体" w:hAnsi="宋体" w:cs="仿宋_GB2312"/>
                <w:sz w:val="18"/>
                <w:szCs w:val="18"/>
              </w:rPr>
              <w:t>序号</w:t>
            </w:r>
          </w:p>
        </w:tc>
        <w:tc>
          <w:tcPr>
            <w:tcW w:w="1862" w:type="dxa"/>
            <w:vMerge w:val="restart"/>
            <w:vAlign w:val="center"/>
          </w:tcPr>
          <w:p>
            <w:pPr>
              <w:spacing w:line="0" w:lineRule="atLeast"/>
              <w:jc w:val="center"/>
              <w:rPr>
                <w:rFonts w:ascii="宋体" w:hAnsi="宋体"/>
                <w:bCs/>
                <w:sz w:val="18"/>
                <w:szCs w:val="18"/>
              </w:rPr>
            </w:pPr>
            <w:r>
              <w:rPr>
                <w:rFonts w:hint="eastAsia" w:ascii="宋体" w:hAnsi="宋体" w:cs="仿宋_GB2312"/>
                <w:sz w:val="18"/>
                <w:szCs w:val="18"/>
              </w:rPr>
              <w:t>风险点名称</w:t>
            </w:r>
          </w:p>
        </w:tc>
        <w:tc>
          <w:tcPr>
            <w:tcW w:w="5144" w:type="dxa"/>
            <w:gridSpan w:val="4"/>
            <w:vAlign w:val="center"/>
          </w:tcPr>
          <w:p>
            <w:pPr>
              <w:spacing w:line="0" w:lineRule="atLeast"/>
              <w:jc w:val="center"/>
              <w:rPr>
                <w:rFonts w:ascii="宋体" w:hAnsi="宋体"/>
                <w:bCs/>
                <w:sz w:val="18"/>
                <w:szCs w:val="18"/>
              </w:rPr>
            </w:pPr>
            <w:r>
              <w:rPr>
                <w:rFonts w:hint="eastAsia" w:ascii="宋体" w:hAnsi="宋体" w:cs="仿宋_GB2312"/>
                <w:bCs/>
                <w:sz w:val="18"/>
                <w:szCs w:val="18"/>
              </w:rPr>
              <w:t>各等级危险源数量</w:t>
            </w:r>
          </w:p>
        </w:tc>
        <w:tc>
          <w:tcPr>
            <w:tcW w:w="930" w:type="dxa"/>
            <w:vMerge w:val="restart"/>
            <w:vAlign w:val="center"/>
          </w:tcPr>
          <w:p>
            <w:pPr>
              <w:spacing w:line="0" w:lineRule="atLeast"/>
              <w:jc w:val="center"/>
              <w:rPr>
                <w:rFonts w:ascii="宋体" w:hAnsi="宋体"/>
                <w:bCs/>
                <w:sz w:val="18"/>
                <w:szCs w:val="18"/>
              </w:rPr>
            </w:pPr>
            <w:r>
              <w:rPr>
                <w:rFonts w:hint="eastAsia" w:ascii="宋体" w:hAnsi="宋体" w:cs="仿宋_GB2312"/>
                <w:bCs/>
                <w:sz w:val="18"/>
                <w:szCs w:val="18"/>
              </w:rPr>
              <w:t>合计</w:t>
            </w:r>
          </w:p>
        </w:tc>
        <w:tc>
          <w:tcPr>
            <w:tcW w:w="739" w:type="dxa"/>
            <w:vMerge w:val="restart"/>
            <w:vAlign w:val="center"/>
          </w:tcPr>
          <w:p>
            <w:pPr>
              <w:spacing w:line="0" w:lineRule="atLeast"/>
              <w:jc w:val="center"/>
              <w:rPr>
                <w:rFonts w:ascii="宋体" w:hAnsi="宋体"/>
                <w:bCs/>
                <w:sz w:val="18"/>
                <w:szCs w:val="18"/>
              </w:rPr>
            </w:pPr>
            <w:r>
              <w:rPr>
                <w:rFonts w:hint="eastAsia" w:ascii="宋体" w:hAnsi="宋体" w:cs="仿宋_GB2312"/>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895" w:type="dxa"/>
            <w:vMerge w:val="continue"/>
            <w:vAlign w:val="center"/>
          </w:tcPr>
          <w:p>
            <w:pPr>
              <w:spacing w:line="0" w:lineRule="atLeast"/>
              <w:ind w:firstLine="450" w:firstLineChars="250"/>
              <w:rPr>
                <w:rFonts w:ascii="宋体" w:hAnsi="宋体" w:cs="仿宋_GB2312"/>
                <w:sz w:val="18"/>
                <w:szCs w:val="18"/>
              </w:rPr>
            </w:pPr>
          </w:p>
        </w:tc>
        <w:tc>
          <w:tcPr>
            <w:tcW w:w="1862" w:type="dxa"/>
            <w:vMerge w:val="continue"/>
            <w:vAlign w:val="center"/>
          </w:tcPr>
          <w:p>
            <w:pPr>
              <w:spacing w:line="0" w:lineRule="atLeast"/>
              <w:jc w:val="left"/>
              <w:rPr>
                <w:rFonts w:ascii="宋体" w:hAnsi="宋体"/>
                <w:bCs/>
                <w:sz w:val="24"/>
              </w:rPr>
            </w:pPr>
          </w:p>
        </w:tc>
        <w:tc>
          <w:tcPr>
            <w:tcW w:w="1093" w:type="dxa"/>
            <w:vAlign w:val="center"/>
          </w:tcPr>
          <w:p>
            <w:pPr>
              <w:spacing w:line="0" w:lineRule="atLeast"/>
              <w:jc w:val="center"/>
              <w:rPr>
                <w:rFonts w:ascii="宋体" w:hAnsi="宋体"/>
                <w:bCs/>
                <w:sz w:val="18"/>
                <w:szCs w:val="18"/>
              </w:rPr>
            </w:pPr>
            <w:r>
              <w:rPr>
                <w:rFonts w:hint="eastAsia" w:ascii="宋体" w:hAnsi="宋体" w:cs="仿宋_GB2312"/>
                <w:bCs/>
                <w:sz w:val="18"/>
                <w:szCs w:val="18"/>
              </w:rPr>
              <w:t>红（1级）</w:t>
            </w:r>
          </w:p>
        </w:tc>
        <w:tc>
          <w:tcPr>
            <w:tcW w:w="1217" w:type="dxa"/>
            <w:vAlign w:val="center"/>
          </w:tcPr>
          <w:p>
            <w:pPr>
              <w:spacing w:line="0" w:lineRule="atLeast"/>
              <w:jc w:val="center"/>
              <w:rPr>
                <w:rFonts w:ascii="宋体" w:hAnsi="宋体"/>
                <w:bCs/>
                <w:sz w:val="18"/>
                <w:szCs w:val="18"/>
              </w:rPr>
            </w:pPr>
            <w:r>
              <w:rPr>
                <w:rFonts w:hint="eastAsia" w:ascii="宋体" w:hAnsi="宋体" w:cs="仿宋_GB2312"/>
                <w:bCs/>
                <w:sz w:val="18"/>
                <w:szCs w:val="18"/>
              </w:rPr>
              <w:t>橙（2级）</w:t>
            </w:r>
          </w:p>
        </w:tc>
        <w:tc>
          <w:tcPr>
            <w:tcW w:w="1215" w:type="dxa"/>
            <w:vAlign w:val="center"/>
          </w:tcPr>
          <w:p>
            <w:pPr>
              <w:spacing w:line="0" w:lineRule="atLeast"/>
              <w:jc w:val="center"/>
              <w:rPr>
                <w:rFonts w:ascii="宋体" w:hAnsi="宋体"/>
                <w:bCs/>
                <w:sz w:val="18"/>
                <w:szCs w:val="18"/>
              </w:rPr>
            </w:pPr>
            <w:r>
              <w:rPr>
                <w:rFonts w:hint="eastAsia" w:ascii="宋体" w:hAnsi="宋体" w:cs="仿宋_GB2312"/>
                <w:bCs/>
                <w:sz w:val="18"/>
                <w:szCs w:val="18"/>
              </w:rPr>
              <w:t>黄（</w:t>
            </w:r>
            <w:r>
              <w:rPr>
                <w:rFonts w:ascii="宋体" w:hAnsi="宋体" w:cs="仿宋_GB2312"/>
                <w:bCs/>
                <w:sz w:val="18"/>
                <w:szCs w:val="18"/>
              </w:rPr>
              <w:t>3</w:t>
            </w:r>
            <w:r>
              <w:rPr>
                <w:rFonts w:hint="eastAsia" w:ascii="宋体" w:hAnsi="宋体" w:cs="仿宋_GB2312"/>
                <w:bCs/>
                <w:sz w:val="18"/>
                <w:szCs w:val="18"/>
              </w:rPr>
              <w:t>级）</w:t>
            </w:r>
          </w:p>
        </w:tc>
        <w:tc>
          <w:tcPr>
            <w:tcW w:w="1619" w:type="dxa"/>
            <w:vAlign w:val="center"/>
          </w:tcPr>
          <w:p>
            <w:pPr>
              <w:spacing w:line="0" w:lineRule="atLeast"/>
              <w:jc w:val="center"/>
              <w:rPr>
                <w:rFonts w:ascii="宋体" w:hAnsi="宋体"/>
                <w:bCs/>
                <w:sz w:val="18"/>
                <w:szCs w:val="18"/>
              </w:rPr>
            </w:pPr>
            <w:r>
              <w:rPr>
                <w:rFonts w:hint="eastAsia" w:ascii="宋体" w:hAnsi="宋体" w:cs="仿宋_GB2312"/>
                <w:bCs/>
                <w:sz w:val="18"/>
                <w:szCs w:val="18"/>
              </w:rPr>
              <w:t>蓝（4级、5级）</w:t>
            </w:r>
          </w:p>
        </w:tc>
        <w:tc>
          <w:tcPr>
            <w:tcW w:w="930" w:type="dxa"/>
            <w:vMerge w:val="continue"/>
            <w:vAlign w:val="center"/>
          </w:tcPr>
          <w:p>
            <w:pPr>
              <w:spacing w:line="0" w:lineRule="atLeast"/>
              <w:jc w:val="left"/>
              <w:rPr>
                <w:rFonts w:ascii="宋体" w:hAnsi="宋体"/>
                <w:bCs/>
                <w:sz w:val="24"/>
              </w:rPr>
            </w:pPr>
          </w:p>
        </w:tc>
        <w:tc>
          <w:tcPr>
            <w:tcW w:w="739" w:type="dxa"/>
            <w:vMerge w:val="continue"/>
            <w:vAlign w:val="center"/>
          </w:tcPr>
          <w:p>
            <w:pPr>
              <w:spacing w:line="0" w:lineRule="atLeast"/>
              <w:jc w:val="left"/>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895" w:type="dxa"/>
            <w:vAlign w:val="bottom"/>
          </w:tcPr>
          <w:p>
            <w:pPr>
              <w:spacing w:line="0" w:lineRule="atLeast"/>
              <w:ind w:firstLine="450" w:firstLineChars="250"/>
              <w:rPr>
                <w:rFonts w:ascii="宋体" w:hAnsi="宋体" w:cs="仿宋_GB2312"/>
                <w:sz w:val="18"/>
                <w:szCs w:val="18"/>
              </w:rPr>
            </w:pPr>
            <w:r>
              <w:rPr>
                <w:rFonts w:hint="eastAsia" w:ascii="宋体" w:hAnsi="宋体" w:cs="仿宋_GB2312"/>
                <w:sz w:val="18"/>
                <w:szCs w:val="18"/>
              </w:rPr>
              <w:t>　</w:t>
            </w:r>
          </w:p>
        </w:tc>
        <w:tc>
          <w:tcPr>
            <w:tcW w:w="1862" w:type="dxa"/>
            <w:vAlign w:val="bottom"/>
          </w:tcPr>
          <w:p>
            <w:pPr>
              <w:spacing w:line="0" w:lineRule="atLeast"/>
              <w:ind w:firstLine="450" w:firstLineChars="250"/>
              <w:rPr>
                <w:rFonts w:ascii="宋体" w:hAnsi="宋体"/>
                <w:bCs/>
                <w:sz w:val="24"/>
              </w:rPr>
            </w:pPr>
            <w:r>
              <w:rPr>
                <w:rFonts w:hint="eastAsia" w:ascii="宋体" w:hAnsi="宋体" w:cs="仿宋_GB2312"/>
                <w:sz w:val="18"/>
                <w:szCs w:val="18"/>
              </w:rPr>
              <w:t>　</w:t>
            </w:r>
          </w:p>
        </w:tc>
        <w:tc>
          <w:tcPr>
            <w:tcW w:w="1093" w:type="dxa"/>
            <w:vAlign w:val="bottom"/>
          </w:tcPr>
          <w:p>
            <w:pPr>
              <w:spacing w:line="0" w:lineRule="atLeast"/>
              <w:jc w:val="right"/>
              <w:rPr>
                <w:rFonts w:ascii="宋体" w:hAnsi="宋体"/>
                <w:bCs/>
                <w:sz w:val="24"/>
              </w:rPr>
            </w:pPr>
          </w:p>
        </w:tc>
        <w:tc>
          <w:tcPr>
            <w:tcW w:w="1217" w:type="dxa"/>
            <w:vAlign w:val="bottom"/>
          </w:tcPr>
          <w:p>
            <w:pPr>
              <w:spacing w:line="0" w:lineRule="atLeast"/>
              <w:jc w:val="left"/>
              <w:rPr>
                <w:rFonts w:ascii="宋体" w:hAnsi="宋体"/>
                <w:bCs/>
                <w:sz w:val="24"/>
              </w:rPr>
            </w:pPr>
          </w:p>
        </w:tc>
        <w:tc>
          <w:tcPr>
            <w:tcW w:w="1215" w:type="dxa"/>
            <w:vAlign w:val="bottom"/>
          </w:tcPr>
          <w:p>
            <w:pPr>
              <w:spacing w:line="0" w:lineRule="atLeast"/>
              <w:jc w:val="left"/>
              <w:rPr>
                <w:rFonts w:ascii="宋体" w:hAnsi="宋体"/>
                <w:bCs/>
                <w:sz w:val="24"/>
              </w:rPr>
            </w:pPr>
          </w:p>
        </w:tc>
        <w:tc>
          <w:tcPr>
            <w:tcW w:w="1619" w:type="dxa"/>
            <w:vAlign w:val="bottom"/>
          </w:tcPr>
          <w:p>
            <w:pPr>
              <w:spacing w:line="0" w:lineRule="atLeast"/>
              <w:jc w:val="left"/>
              <w:rPr>
                <w:rFonts w:ascii="宋体" w:hAnsi="宋体"/>
                <w:bCs/>
                <w:sz w:val="24"/>
              </w:rPr>
            </w:pPr>
          </w:p>
        </w:tc>
        <w:tc>
          <w:tcPr>
            <w:tcW w:w="930" w:type="dxa"/>
            <w:vAlign w:val="bottom"/>
          </w:tcPr>
          <w:p>
            <w:pPr>
              <w:spacing w:line="0" w:lineRule="atLeast"/>
              <w:jc w:val="right"/>
              <w:rPr>
                <w:rFonts w:ascii="宋体" w:hAnsi="宋体"/>
                <w:bCs/>
                <w:sz w:val="24"/>
              </w:rPr>
            </w:pPr>
          </w:p>
        </w:tc>
        <w:tc>
          <w:tcPr>
            <w:tcW w:w="739" w:type="dxa"/>
            <w:vAlign w:val="bottom"/>
          </w:tcPr>
          <w:p>
            <w:pPr>
              <w:spacing w:line="0" w:lineRule="atLeast"/>
              <w:jc w:val="left"/>
              <w:rPr>
                <w:rFonts w:ascii="宋体" w:hAnsi="宋体"/>
                <w:bCs/>
                <w:sz w:val="24"/>
              </w:rPr>
            </w:pPr>
            <w:r>
              <w:rPr>
                <w:rFonts w:hint="eastAsia" w:ascii="宋体" w:hAnsi="宋体" w:cs="仿宋_GB2312"/>
                <w:bCs/>
                <w:sz w:val="24"/>
              </w:rPr>
              <w:t>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757" w:type="dxa"/>
            <w:gridSpan w:val="2"/>
            <w:vAlign w:val="center"/>
          </w:tcPr>
          <w:p>
            <w:pPr>
              <w:spacing w:line="0" w:lineRule="atLeast"/>
              <w:jc w:val="center"/>
              <w:rPr>
                <w:rFonts w:ascii="宋体" w:hAnsi="宋体" w:cs="仿宋_GB2312"/>
                <w:sz w:val="18"/>
                <w:szCs w:val="18"/>
              </w:rPr>
            </w:pPr>
            <w:r>
              <w:rPr>
                <w:rFonts w:hint="eastAsia" w:ascii="宋体" w:hAnsi="宋体" w:cs="仿宋_GB2312"/>
                <w:sz w:val="18"/>
                <w:szCs w:val="18"/>
              </w:rPr>
              <w:t>合计</w:t>
            </w:r>
          </w:p>
        </w:tc>
        <w:tc>
          <w:tcPr>
            <w:tcW w:w="1093" w:type="dxa"/>
            <w:vAlign w:val="bottom"/>
          </w:tcPr>
          <w:p>
            <w:pPr>
              <w:spacing w:line="0" w:lineRule="atLeast"/>
              <w:jc w:val="right"/>
              <w:rPr>
                <w:rFonts w:ascii="宋体" w:hAnsi="宋体"/>
                <w:bCs/>
                <w:sz w:val="24"/>
              </w:rPr>
            </w:pPr>
          </w:p>
        </w:tc>
        <w:tc>
          <w:tcPr>
            <w:tcW w:w="1217" w:type="dxa"/>
            <w:vAlign w:val="bottom"/>
          </w:tcPr>
          <w:p>
            <w:pPr>
              <w:spacing w:line="0" w:lineRule="atLeast"/>
              <w:jc w:val="left"/>
              <w:rPr>
                <w:rFonts w:ascii="宋体" w:hAnsi="宋体"/>
                <w:bCs/>
                <w:sz w:val="24"/>
              </w:rPr>
            </w:pPr>
          </w:p>
        </w:tc>
        <w:tc>
          <w:tcPr>
            <w:tcW w:w="1215" w:type="dxa"/>
            <w:vAlign w:val="bottom"/>
          </w:tcPr>
          <w:p>
            <w:pPr>
              <w:spacing w:line="0" w:lineRule="atLeast"/>
              <w:jc w:val="left"/>
              <w:rPr>
                <w:rFonts w:ascii="宋体" w:hAnsi="宋体"/>
                <w:bCs/>
                <w:sz w:val="24"/>
              </w:rPr>
            </w:pPr>
          </w:p>
        </w:tc>
        <w:tc>
          <w:tcPr>
            <w:tcW w:w="1619" w:type="dxa"/>
            <w:vAlign w:val="bottom"/>
          </w:tcPr>
          <w:p>
            <w:pPr>
              <w:spacing w:line="0" w:lineRule="atLeast"/>
              <w:jc w:val="left"/>
              <w:rPr>
                <w:rFonts w:ascii="宋体" w:hAnsi="宋体"/>
                <w:bCs/>
                <w:sz w:val="24"/>
              </w:rPr>
            </w:pPr>
          </w:p>
        </w:tc>
        <w:tc>
          <w:tcPr>
            <w:tcW w:w="930" w:type="dxa"/>
            <w:vAlign w:val="bottom"/>
          </w:tcPr>
          <w:p>
            <w:pPr>
              <w:spacing w:line="0" w:lineRule="atLeast"/>
              <w:jc w:val="right"/>
              <w:rPr>
                <w:rFonts w:ascii="宋体" w:hAnsi="宋体"/>
                <w:bCs/>
                <w:sz w:val="24"/>
              </w:rPr>
            </w:pPr>
          </w:p>
        </w:tc>
        <w:tc>
          <w:tcPr>
            <w:tcW w:w="739" w:type="dxa"/>
            <w:vAlign w:val="bottom"/>
          </w:tcPr>
          <w:p>
            <w:pPr>
              <w:spacing w:line="0" w:lineRule="atLeast"/>
              <w:jc w:val="left"/>
              <w:rPr>
                <w:rFonts w:ascii="宋体" w:hAnsi="宋体" w:cs="仿宋_GB2312"/>
                <w:bCs/>
                <w:sz w:val="24"/>
              </w:rPr>
            </w:pPr>
          </w:p>
        </w:tc>
      </w:tr>
    </w:tbl>
    <w:p>
      <w:pPr>
        <w:pStyle w:val="5"/>
        <w:ind w:firstLine="360"/>
      </w:pPr>
      <w:r>
        <w:br w:type="page"/>
      </w:r>
    </w:p>
    <w:p>
      <w:pPr>
        <w:pStyle w:val="5"/>
        <w:ind w:firstLine="360"/>
      </w:pPr>
    </w:p>
    <w:p>
      <w:pPr>
        <w:pStyle w:val="22"/>
        <w:spacing w:before="312" w:after="312"/>
      </w:pPr>
      <w:bookmarkStart w:id="627" w:name="_Toc1426"/>
      <w:bookmarkStart w:id="628" w:name="_Toc23832_WPSOffice_Level2"/>
      <w:bookmarkStart w:id="629" w:name="_Toc1552_WPSOffice_Level2"/>
      <w:bookmarkStart w:id="630" w:name="_Toc15776_WPSOffice_Level2"/>
      <w:bookmarkStart w:id="631" w:name="_Toc29044_WPSOffice_Level2"/>
      <w:bookmarkStart w:id="632" w:name="_Toc10417"/>
      <w:bookmarkStart w:id="633" w:name="_Toc479175351"/>
      <w:bookmarkStart w:id="634" w:name="_Toc479257309"/>
      <w:bookmarkStart w:id="635" w:name="_Toc479171764"/>
      <w:bookmarkStart w:id="636" w:name="_Toc10980_WPSOffice_Level2"/>
      <w:bookmarkStart w:id="637" w:name="_Toc19231_WPSOffice_Level2"/>
      <w:r>
        <w:rPr>
          <w:rFonts w:hint="eastAsia"/>
        </w:rPr>
        <w:t>风险等级对照表</w:t>
      </w:r>
      <w:bookmarkEnd w:id="627"/>
      <w:bookmarkEnd w:id="628"/>
      <w:bookmarkEnd w:id="629"/>
      <w:bookmarkEnd w:id="630"/>
      <w:bookmarkEnd w:id="631"/>
      <w:bookmarkEnd w:id="632"/>
      <w:bookmarkEnd w:id="633"/>
      <w:bookmarkEnd w:id="634"/>
      <w:bookmarkEnd w:id="635"/>
      <w:bookmarkEnd w:id="636"/>
      <w:bookmarkEnd w:id="637"/>
    </w:p>
    <w:tbl>
      <w:tblPr>
        <w:tblStyle w:val="13"/>
        <w:tblpPr w:leftFromText="180" w:rightFromText="180" w:vertAnchor="text" w:horzAnchor="margin" w:tblpXSpec="center" w:tblpY="161"/>
        <w:tblW w:w="8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1"/>
        <w:gridCol w:w="1682"/>
        <w:gridCol w:w="1255"/>
        <w:gridCol w:w="1256"/>
        <w:gridCol w:w="1255"/>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2131" w:type="dxa"/>
            <w:vAlign w:val="center"/>
          </w:tcPr>
          <w:p>
            <w:pPr>
              <w:spacing w:line="0" w:lineRule="atLeast"/>
              <w:rPr>
                <w:rFonts w:ascii="宋体" w:hAnsi="宋体" w:cs="仿宋_GB2312"/>
                <w:color w:val="FF0000"/>
                <w:sz w:val="18"/>
                <w:szCs w:val="18"/>
              </w:rPr>
            </w:pPr>
            <w:r>
              <w:rPr>
                <w:rFonts w:ascii="宋体" w:hAnsi="宋体" w:cs="仿宋_GB2312"/>
                <w:color w:val="FF0000"/>
                <w:sz w:val="18"/>
                <w:szCs w:val="18"/>
              </w:rPr>
              <w:pict>
                <v:group id="_x0000_s3074" o:spid="_x0000_s3074" o:spt="203" style="position:absolute;left:0pt;margin-left:1.2pt;margin-top:6.45pt;height:58.6pt;width:102.1pt;z-index:251665408;mso-width-relative:page;mso-height-relative:page;" coordorigin="13,62" coordsize="26,10312" o:gfxdata="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">
                  <o:lock v:ext="edit"/>
                  <v:line id="__TH_L28" o:spid="_x0000_s3083" o:spt="20" style="position:absolute;left:13;top:62;height:11;width:26;"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path arrowok="t"/>
                    <v:fill focussize="0,0"/>
                    <v:stroke weight="0.5pt"/>
                    <v:imagedata o:title=""/>
                    <o:lock v:ext="edit"/>
                  </v:line>
                  <v:shape id="__TH_B1129" o:spid="_x0000_s3082" o:spt="202" type="#_x0000_t202" style="position:absolute;left:24;top:63;height:2;width:3;" filled="f" stroked="f" coordsize="21600,21600" o:gfxdata="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UylS8AAAA&#10;2wAAAA8AAAAAAAAAAQAgAAAAIgAAAGRycy9kb3ducmV2LnhtbFBLAQIUABQAAAAIAIdO4kAzLwWe&#10;OwAAADkAAAAQAAAAAAAAAAEAIAAAAAsBAABkcnMvc2hhcGV4bWwueG1sUEsFBgAAAAAGAAYAWwEA&#10;ALUDAAAAAA==&#10;">
                    <v:path/>
                    <v:fill on="f" focussize="0,0"/>
                    <v:stroke on="f" joinstyle="miter"/>
                    <v:imagedata o:title=""/>
                    <o:lock v:ext="edit"/>
                    <v:textbox inset="0mm,0mm,0mm,0mm">
                      <w:txbxContent>
                        <w:p>
                          <w:pPr>
                            <w:snapToGrid w:val="0"/>
                          </w:pPr>
                          <w:r>
                            <w:rPr>
                              <w:rFonts w:hint="eastAsia"/>
                            </w:rPr>
                            <w:t>管</w:t>
                          </w:r>
                        </w:p>
                      </w:txbxContent>
                    </v:textbox>
                  </v:shape>
                  <v:shape id="__TH_B1230" o:spid="_x0000_s3081" o:spt="202" type="#_x0000_t202" style="position:absolute;left:28;top:64;height:3;width:2;" filled="f" stroked="f" coordsize="21600,21600" o:gfxdata="UEsDBAoAAAAAAIdO4kAAAAAAAAAAAAAAAAAEAAAAZHJzL1BLAwQUAAAACACHTuJA+thvz7wAAADb&#10;AAAADwAAAGRycy9kb3ducmV2LnhtbEVP32vCMBB+F/Y/hBv4pokT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Yb8+8AAAA&#10;2wAAAA8AAAAAAAAAAQAgAAAAIgAAAGRycy9kb3ducmV2LnhtbFBLAQIUABQAAAAIAIdO4kAzLwWe&#10;OwAAADkAAAAQAAAAAAAAAAEAIAAAAAsBAABkcnMvc2hhcGV4bWwueG1sUEsFBgAAAAAGAAYAWwEA&#10;ALUDAAAAAA==&#10;">
                    <v:path/>
                    <v:fill on="f" focussize="0,0"/>
                    <v:stroke on="f" joinstyle="miter"/>
                    <v:imagedata o:title=""/>
                    <o:lock v:ext="edit"/>
                    <v:textbox inset="0mm,0mm,0mm,0mm">
                      <w:txbxContent>
                        <w:p>
                          <w:pPr>
                            <w:snapToGrid w:val="0"/>
                          </w:pPr>
                          <w:r>
                            <w:rPr>
                              <w:rFonts w:hint="eastAsia"/>
                            </w:rPr>
                            <w:t>控</w:t>
                          </w:r>
                        </w:p>
                      </w:txbxContent>
                    </v:textbox>
                  </v:shape>
                  <v:shape id="__TH_B1331" o:spid="_x0000_s3080" o:spt="202" type="#_x0000_t202" style="position:absolute;left:31;top:66;height:2;width:3;"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path/>
                    <v:fill on="f" focussize="0,0"/>
                    <v:stroke on="f" joinstyle="miter"/>
                    <v:imagedata o:title=""/>
                    <o:lock v:ext="edit"/>
                    <v:textbox inset="0mm,0mm,0mm,0mm">
                      <w:txbxContent>
                        <w:p>
                          <w:pPr>
                            <w:snapToGrid w:val="0"/>
                          </w:pPr>
                          <w:r>
                            <w:rPr>
                              <w:rFonts w:hint="eastAsia"/>
                            </w:rPr>
                            <w:t>级</w:t>
                          </w:r>
                        </w:p>
                      </w:txbxContent>
                    </v:textbox>
                  </v:shape>
                  <v:shape id="__TH_B1432" o:spid="_x0000_s3079" o:spt="202" type="#_x0000_t202" style="position:absolute;left:35;top:67;height:3;width:3;" filled="f" stroked="f" coordsize="21600,21600" o:gfxdata="UEsDBAoAAAAAAIdO4kAAAAAAAAAAAAAAAAAEAAAAZHJzL1BLAwQUAAAACACHTuJAGn1SILwAAADb&#10;AAAADwAAAGRycy9kb3ducmV2LnhtbEVP32vCMBB+F/Y/hBv4pokDRT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9UiC8AAAA&#10;2wAAAA8AAAAAAAAAAQAgAAAAIgAAAGRycy9kb3ducmV2LnhtbFBLAQIUABQAAAAIAIdO4kAzLwWe&#10;OwAAADkAAAAQAAAAAAAAAAEAIAAAAAsBAABkcnMvc2hhcGV4bWwueG1sUEsFBgAAAAAGAAYAWwEA&#10;ALUDAAAAAA==&#10;">
                    <v:path/>
                    <v:fill on="f" focussize="0,0"/>
                    <v:stroke on="f" joinstyle="miter"/>
                    <v:imagedata o:title=""/>
                    <o:lock v:ext="edit"/>
                    <v:textbox inset="0mm,0mm,0mm,0mm">
                      <w:txbxContent>
                        <w:p>
                          <w:pPr>
                            <w:snapToGrid w:val="0"/>
                          </w:pPr>
                          <w:r>
                            <w:rPr>
                              <w:rFonts w:hint="eastAsia"/>
                            </w:rPr>
                            <w:t>别</w:t>
                          </w:r>
                        </w:p>
                      </w:txbxContent>
                    </v:textbox>
                  </v:shape>
                  <v:shape id="__TH_B2133" o:spid="_x0000_s3078" o:spt="202" type="#_x0000_t202" style="position:absolute;left:15;top:66;height:2;width:2;" filled="f" stroked="f" coordsize="21600,21600" o:gfxdata="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qvzFe8AAAA&#10;2wAAAA8AAAAAAAAAAQAgAAAAIgAAAGRycy9kb3ducmV2LnhtbFBLAQIUABQAAAAIAIdO4kAzLwWe&#10;OwAAADkAAAAQAAAAAAAAAAEAIAAAAAsBAABkcnMvc2hhcGV4bWwueG1sUEsFBgAAAAAGAAYAWwEA&#10;ALUDAAAAAA==&#10;">
                    <v:path/>
                    <v:fill on="f" focussize="0,0"/>
                    <v:stroke on="f" joinstyle="miter"/>
                    <v:imagedata o:title=""/>
                    <o:lock v:ext="edit"/>
                    <v:textbox inset="0mm,0mm,0mm,0mm">
                      <w:txbxContent>
                        <w:p>
                          <w:pPr>
                            <w:snapToGrid w:val="0"/>
                          </w:pPr>
                          <w:r>
                            <w:rPr>
                              <w:rFonts w:hint="eastAsia"/>
                            </w:rPr>
                            <w:t>判</w:t>
                          </w:r>
                        </w:p>
                      </w:txbxContent>
                    </v:textbox>
                  </v:shape>
                  <v:shape id="__TH_B2234" o:spid="_x0000_s3077" o:spt="202" type="#_x0000_t202" style="position:absolute;left:18;top:67;height:3;width:2;" filled="f" stroked="f" coordsize="21600,21600" o:gfxdata="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jacy8AAAA&#10;2wAAAA8AAAAAAAAAAQAgAAAAIgAAAGRycy9kb3ducmV2LnhtbFBLAQIUABQAAAAIAIdO4kAzLwWe&#10;OwAAADkAAAAQAAAAAAAAAAEAIAAAAAsBAABkcnMvc2hhcGV4bWwueG1sUEsFBgAAAAAGAAYAWwEA&#10;ALUDAAAAAA==&#10;">
                    <v:path/>
                    <v:fill on="f" focussize="0,0"/>
                    <v:stroke on="f" joinstyle="miter"/>
                    <v:imagedata o:title=""/>
                    <o:lock v:ext="edit"/>
                    <v:textbox inset="0mm,0mm,0mm,0mm">
                      <w:txbxContent>
                        <w:p>
                          <w:pPr>
                            <w:snapToGrid w:val="0"/>
                          </w:pPr>
                          <w:r>
                            <w:rPr>
                              <w:rFonts w:hint="eastAsia"/>
                            </w:rPr>
                            <w:t>定</w:t>
                          </w:r>
                        </w:p>
                      </w:txbxContent>
                    </v:textbox>
                  </v:shape>
                  <v:shape id="__TH_B2335" o:spid="_x0000_s3076" o:spt="202" type="#_x0000_t202" style="position:absolute;left:21;top:68;height:3;width:3;" filled="f" stroked="f" coordsize="21600,21600" o:gfxdata="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Hz9vr4A&#10;AADbAAAADwAAAAAAAAABACAAAAAiAAAAZHJzL2Rvd25yZXYueG1sUEsBAhQAFAAAAAgAh07iQDMv&#10;BZ47AAAAOQAAABAAAAAAAAAAAQAgAAAADQEAAGRycy9zaGFwZXhtbC54bWxQSwUGAAAAAAYABgBb&#10;AQAAtwMAAAAA&#10;">
                    <v:path/>
                    <v:fill on="f" focussize="0,0"/>
                    <v:stroke on="f" joinstyle="miter"/>
                    <v:imagedata o:title=""/>
                    <o:lock v:ext="edit"/>
                    <v:textbox inset="0mm,0mm,0mm,0mm">
                      <w:txbxContent>
                        <w:p>
                          <w:pPr>
                            <w:snapToGrid w:val="0"/>
                          </w:pPr>
                          <w:r>
                            <w:rPr>
                              <w:rFonts w:hint="eastAsia"/>
                            </w:rPr>
                            <w:t>方</w:t>
                          </w:r>
                        </w:p>
                      </w:txbxContent>
                    </v:textbox>
                  </v:shape>
                  <v:shape id="__TH_B2436" o:spid="_x0000_s3075" o:spt="202" type="#_x0000_t202" style="position:absolute;left:25;top:70;height:2;width:2;" filled="f" stroked="f" coordsize="21600,21600" o:gfxdata="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swWCW8AAAA&#10;2wAAAA8AAAAAAAAAAQAgAAAAIgAAAGRycy9kb3ducmV2LnhtbFBLAQIUABQAAAAIAIdO4kAzLwWe&#10;OwAAADkAAAAQAAAAAAAAAAEAIAAAAAsBAABkcnMvc2hhcGV4bWwueG1sUEsFBgAAAAAGAAYAWwEA&#10;ALUDAAAAAA==&#10;">
                    <v:path/>
                    <v:fill on="f" focussize="0,0"/>
                    <v:stroke on="f" joinstyle="miter"/>
                    <v:imagedata o:title=""/>
                    <o:lock v:ext="edit"/>
                    <v:textbox inset="0mm,0mm,0mm,0mm">
                      <w:txbxContent>
                        <w:p>
                          <w:pPr>
                            <w:snapToGrid w:val="0"/>
                          </w:pPr>
                          <w:r>
                            <w:rPr>
                              <w:rFonts w:hint="eastAsia"/>
                            </w:rPr>
                            <w:t>法</w:t>
                          </w:r>
                        </w:p>
                      </w:txbxContent>
                    </v:textbox>
                  </v:shape>
                </v:group>
              </w:pict>
            </w:r>
          </w:p>
        </w:tc>
        <w:tc>
          <w:tcPr>
            <w:tcW w:w="1682" w:type="dxa"/>
            <w:vAlign w:val="center"/>
          </w:tcPr>
          <w:p>
            <w:pPr>
              <w:spacing w:line="0" w:lineRule="atLeast"/>
              <w:jc w:val="center"/>
              <w:rPr>
                <w:rFonts w:ascii="宋体" w:hAnsi="宋体" w:cs="仿宋_GB2312"/>
                <w:szCs w:val="21"/>
              </w:rPr>
            </w:pPr>
            <w:r>
              <w:rPr>
                <w:rFonts w:hint="eastAsia"/>
                <w:szCs w:val="21"/>
              </w:rPr>
              <w:t>重大</w:t>
            </w:r>
            <w:r>
              <w:rPr>
                <w:rFonts w:hint="eastAsia" w:ascii="宋体" w:hAnsi="宋体" w:cs="仿宋_GB2312"/>
                <w:szCs w:val="21"/>
              </w:rPr>
              <w:t>风险</w:t>
            </w:r>
          </w:p>
        </w:tc>
        <w:tc>
          <w:tcPr>
            <w:tcW w:w="1255" w:type="dxa"/>
            <w:vAlign w:val="center"/>
          </w:tcPr>
          <w:p>
            <w:pPr>
              <w:spacing w:line="0" w:lineRule="atLeast"/>
              <w:jc w:val="center"/>
              <w:rPr>
                <w:rFonts w:ascii="宋体" w:hAnsi="宋体" w:cs="仿宋_GB2312"/>
                <w:szCs w:val="21"/>
              </w:rPr>
            </w:pPr>
            <w:r>
              <w:rPr>
                <w:rFonts w:hint="eastAsia" w:ascii="宋体" w:hAnsi="宋体" w:cs="仿宋_GB2312"/>
                <w:szCs w:val="21"/>
              </w:rPr>
              <w:t>较大风险</w:t>
            </w:r>
          </w:p>
        </w:tc>
        <w:tc>
          <w:tcPr>
            <w:tcW w:w="1256" w:type="dxa"/>
            <w:vAlign w:val="center"/>
          </w:tcPr>
          <w:p>
            <w:pPr>
              <w:spacing w:line="0" w:lineRule="atLeast"/>
              <w:jc w:val="center"/>
              <w:rPr>
                <w:rFonts w:ascii="宋体" w:hAnsi="宋体" w:cs="仿宋_GB2312"/>
                <w:szCs w:val="21"/>
              </w:rPr>
            </w:pPr>
            <w:r>
              <w:rPr>
                <w:rFonts w:hint="eastAsia" w:ascii="宋体" w:hAnsi="宋体" w:cs="仿宋_GB2312"/>
                <w:szCs w:val="21"/>
              </w:rPr>
              <w:t>一般风险</w:t>
            </w:r>
          </w:p>
        </w:tc>
        <w:tc>
          <w:tcPr>
            <w:tcW w:w="1255" w:type="dxa"/>
            <w:vAlign w:val="center"/>
          </w:tcPr>
          <w:p>
            <w:pPr>
              <w:spacing w:line="0" w:lineRule="atLeast"/>
              <w:jc w:val="center"/>
              <w:rPr>
                <w:rFonts w:ascii="宋体" w:hAnsi="宋体" w:cs="仿宋_GB2312"/>
                <w:szCs w:val="21"/>
              </w:rPr>
            </w:pPr>
            <w:r>
              <w:rPr>
                <w:rFonts w:hint="eastAsia" w:ascii="宋体" w:hAnsi="宋体" w:cs="仿宋_GB2312"/>
                <w:szCs w:val="21"/>
              </w:rPr>
              <w:t>低风险</w:t>
            </w:r>
          </w:p>
        </w:tc>
        <w:tc>
          <w:tcPr>
            <w:tcW w:w="1217" w:type="dxa"/>
            <w:vAlign w:val="center"/>
          </w:tcPr>
          <w:p>
            <w:pPr>
              <w:spacing w:line="0" w:lineRule="atLeast"/>
              <w:jc w:val="center"/>
              <w:rPr>
                <w:rFonts w:ascii="宋体" w:hAnsi="宋体" w:cs="仿宋_GB2312"/>
                <w:szCs w:val="21"/>
              </w:rPr>
            </w:pPr>
            <w:r>
              <w:rPr>
                <w:rFonts w:hint="eastAsia" w:ascii="宋体" w:hAnsi="宋体" w:cs="仿宋_GB2312"/>
                <w:szCs w:val="21"/>
              </w:rPr>
              <w:t>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131"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采用LEC法或采用LS法</w:t>
            </w:r>
          </w:p>
        </w:tc>
        <w:tc>
          <w:tcPr>
            <w:tcW w:w="1682" w:type="dxa"/>
            <w:vAlign w:val="center"/>
          </w:tcPr>
          <w:p>
            <w:pPr>
              <w:spacing w:line="0" w:lineRule="atLeast"/>
              <w:jc w:val="center"/>
              <w:rPr>
                <w:rFonts w:ascii="宋体" w:hAnsi="宋体" w:cs="仿宋_GB2312"/>
                <w:szCs w:val="21"/>
              </w:rPr>
            </w:pPr>
            <w:r>
              <w:rPr>
                <w:rFonts w:ascii="宋体" w:hAnsi="宋体" w:cs="仿宋_GB2312"/>
                <w:szCs w:val="21"/>
              </w:rPr>
              <w:t>A</w:t>
            </w:r>
            <w:r>
              <w:rPr>
                <w:rFonts w:hint="eastAsia" w:ascii="宋体" w:hAnsi="宋体" w:cs="仿宋_GB2312"/>
                <w:szCs w:val="21"/>
              </w:rPr>
              <w:t>级或</w:t>
            </w:r>
            <w:r>
              <w:rPr>
                <w:rFonts w:ascii="宋体" w:hAnsi="宋体" w:cs="仿宋_GB2312"/>
                <w:szCs w:val="21"/>
              </w:rPr>
              <w:t>1</w:t>
            </w:r>
            <w:r>
              <w:rPr>
                <w:rFonts w:hint="eastAsia" w:ascii="宋体" w:hAnsi="宋体" w:cs="仿宋_GB2312"/>
                <w:szCs w:val="21"/>
              </w:rPr>
              <w:t>级</w:t>
            </w:r>
          </w:p>
        </w:tc>
        <w:tc>
          <w:tcPr>
            <w:tcW w:w="1255" w:type="dxa"/>
            <w:vAlign w:val="center"/>
          </w:tcPr>
          <w:p>
            <w:pPr>
              <w:spacing w:line="0" w:lineRule="atLeast"/>
              <w:jc w:val="center"/>
              <w:rPr>
                <w:rFonts w:ascii="宋体" w:hAnsi="宋体" w:cs="仿宋_GB2312"/>
                <w:szCs w:val="21"/>
              </w:rPr>
            </w:pPr>
            <w:r>
              <w:rPr>
                <w:rFonts w:ascii="宋体" w:hAnsi="宋体" w:cs="仿宋_GB2312"/>
                <w:szCs w:val="21"/>
              </w:rPr>
              <w:t>B</w:t>
            </w:r>
            <w:r>
              <w:rPr>
                <w:rFonts w:hint="eastAsia" w:ascii="宋体" w:hAnsi="宋体" w:cs="仿宋_GB2312"/>
                <w:szCs w:val="21"/>
              </w:rPr>
              <w:t>级或</w:t>
            </w:r>
            <w:r>
              <w:rPr>
                <w:rFonts w:ascii="宋体" w:hAnsi="宋体" w:cs="仿宋_GB2312"/>
                <w:szCs w:val="21"/>
              </w:rPr>
              <w:t>2</w:t>
            </w:r>
            <w:r>
              <w:rPr>
                <w:rFonts w:hint="eastAsia" w:ascii="宋体" w:hAnsi="宋体" w:cs="仿宋_GB2312"/>
                <w:szCs w:val="21"/>
              </w:rPr>
              <w:t>级</w:t>
            </w:r>
          </w:p>
        </w:tc>
        <w:tc>
          <w:tcPr>
            <w:tcW w:w="1256" w:type="dxa"/>
            <w:vAlign w:val="center"/>
          </w:tcPr>
          <w:p>
            <w:pPr>
              <w:spacing w:line="0" w:lineRule="atLeast"/>
              <w:jc w:val="center"/>
              <w:rPr>
                <w:rFonts w:ascii="宋体" w:hAnsi="宋体" w:cs="仿宋_GB2312"/>
                <w:szCs w:val="21"/>
              </w:rPr>
            </w:pPr>
            <w:r>
              <w:rPr>
                <w:rFonts w:ascii="宋体" w:hAnsi="宋体" w:cs="仿宋_GB2312"/>
                <w:szCs w:val="21"/>
              </w:rPr>
              <w:t>C</w:t>
            </w:r>
            <w:r>
              <w:rPr>
                <w:rFonts w:hint="eastAsia" w:ascii="宋体" w:hAnsi="宋体" w:cs="仿宋_GB2312"/>
                <w:szCs w:val="21"/>
              </w:rPr>
              <w:t>级或</w:t>
            </w:r>
            <w:r>
              <w:rPr>
                <w:rFonts w:ascii="宋体" w:hAnsi="宋体" w:cs="仿宋_GB2312"/>
                <w:szCs w:val="21"/>
              </w:rPr>
              <w:t>3</w:t>
            </w:r>
            <w:r>
              <w:rPr>
                <w:rFonts w:hint="eastAsia" w:ascii="宋体" w:hAnsi="宋体" w:cs="仿宋_GB2312"/>
                <w:szCs w:val="21"/>
              </w:rPr>
              <w:t>级</w:t>
            </w:r>
          </w:p>
        </w:tc>
        <w:tc>
          <w:tcPr>
            <w:tcW w:w="1255" w:type="dxa"/>
            <w:vAlign w:val="center"/>
          </w:tcPr>
          <w:p>
            <w:pPr>
              <w:spacing w:line="0" w:lineRule="atLeast"/>
              <w:jc w:val="center"/>
              <w:rPr>
                <w:rFonts w:ascii="宋体" w:hAnsi="宋体" w:cs="仿宋_GB2312"/>
                <w:szCs w:val="21"/>
              </w:rPr>
            </w:pPr>
            <w:r>
              <w:rPr>
                <w:rFonts w:ascii="宋体" w:hAnsi="宋体" w:cs="仿宋_GB2312"/>
                <w:szCs w:val="21"/>
              </w:rPr>
              <w:t>D</w:t>
            </w:r>
            <w:r>
              <w:rPr>
                <w:rFonts w:hint="eastAsia" w:ascii="宋体" w:hAnsi="宋体" w:cs="仿宋_GB2312"/>
                <w:szCs w:val="21"/>
              </w:rPr>
              <w:t>级或</w:t>
            </w:r>
            <w:r>
              <w:rPr>
                <w:rFonts w:ascii="宋体" w:hAnsi="宋体" w:cs="仿宋_GB2312"/>
                <w:szCs w:val="21"/>
              </w:rPr>
              <w:t>4</w:t>
            </w:r>
            <w:r>
              <w:rPr>
                <w:rFonts w:hint="eastAsia" w:ascii="宋体" w:hAnsi="宋体" w:cs="仿宋_GB2312"/>
                <w:szCs w:val="21"/>
              </w:rPr>
              <w:t>级</w:t>
            </w:r>
          </w:p>
        </w:tc>
        <w:tc>
          <w:tcPr>
            <w:tcW w:w="1217" w:type="dxa"/>
            <w:vAlign w:val="center"/>
          </w:tcPr>
          <w:p>
            <w:pPr>
              <w:spacing w:line="0" w:lineRule="atLeast"/>
              <w:jc w:val="center"/>
              <w:rPr>
                <w:rFonts w:ascii="宋体" w:hAnsi="宋体" w:cs="仿宋_GB2312"/>
                <w:szCs w:val="21"/>
              </w:rPr>
            </w:pPr>
            <w:r>
              <w:rPr>
                <w:rFonts w:ascii="宋体" w:hAnsi="宋体" w:cs="仿宋_GB2312"/>
                <w:szCs w:val="21"/>
              </w:rPr>
              <w:t>E</w:t>
            </w:r>
            <w:r>
              <w:rPr>
                <w:rFonts w:hint="eastAsia" w:ascii="宋体" w:hAnsi="宋体" w:cs="仿宋_GB2312"/>
                <w:szCs w:val="21"/>
              </w:rPr>
              <w:t>级或</w:t>
            </w:r>
            <w:r>
              <w:rPr>
                <w:rFonts w:ascii="宋体" w:hAnsi="宋体" w:cs="仿宋_GB2312"/>
                <w:szCs w:val="21"/>
              </w:rPr>
              <w:t>5</w:t>
            </w:r>
            <w:r>
              <w:rPr>
                <w:rFonts w:hint="eastAsia" w:ascii="宋体" w:hAnsi="宋体" w:cs="仿宋_GB2312"/>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131"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风险色度</w:t>
            </w:r>
          </w:p>
        </w:tc>
        <w:tc>
          <w:tcPr>
            <w:tcW w:w="1682" w:type="dxa"/>
            <w:vAlign w:val="center"/>
          </w:tcPr>
          <w:p>
            <w:pPr>
              <w:spacing w:line="0" w:lineRule="atLeast"/>
              <w:jc w:val="center"/>
              <w:rPr>
                <w:rFonts w:ascii="宋体" w:hAnsi="宋体" w:cs="仿宋_GB2312"/>
                <w:szCs w:val="21"/>
              </w:rPr>
            </w:pPr>
            <w:r>
              <w:rPr>
                <w:rFonts w:hint="eastAsia" w:ascii="宋体" w:hAnsi="宋体" w:cs="仿宋_GB2312"/>
                <w:szCs w:val="21"/>
              </w:rPr>
              <w:t>红色</w:t>
            </w:r>
          </w:p>
        </w:tc>
        <w:tc>
          <w:tcPr>
            <w:tcW w:w="1255" w:type="dxa"/>
            <w:vAlign w:val="center"/>
          </w:tcPr>
          <w:p>
            <w:pPr>
              <w:spacing w:line="0" w:lineRule="atLeast"/>
              <w:jc w:val="center"/>
              <w:rPr>
                <w:rFonts w:ascii="宋体" w:hAnsi="宋体" w:cs="仿宋_GB2312"/>
                <w:szCs w:val="21"/>
              </w:rPr>
            </w:pPr>
            <w:r>
              <w:rPr>
                <w:rFonts w:hint="eastAsia" w:ascii="宋体" w:hAnsi="宋体" w:cs="仿宋_GB2312"/>
                <w:szCs w:val="21"/>
              </w:rPr>
              <w:t>橙色</w:t>
            </w:r>
          </w:p>
        </w:tc>
        <w:tc>
          <w:tcPr>
            <w:tcW w:w="1256" w:type="dxa"/>
            <w:vAlign w:val="center"/>
          </w:tcPr>
          <w:p>
            <w:pPr>
              <w:spacing w:line="0" w:lineRule="atLeast"/>
              <w:jc w:val="center"/>
              <w:rPr>
                <w:rFonts w:ascii="宋体" w:hAnsi="宋体" w:cs="仿宋_GB2312"/>
                <w:szCs w:val="21"/>
              </w:rPr>
            </w:pPr>
            <w:r>
              <w:rPr>
                <w:rFonts w:hint="eastAsia" w:ascii="宋体" w:hAnsi="宋体" w:cs="仿宋_GB2312"/>
                <w:szCs w:val="21"/>
              </w:rPr>
              <w:t>黄色</w:t>
            </w:r>
          </w:p>
        </w:tc>
        <w:tc>
          <w:tcPr>
            <w:tcW w:w="1255" w:type="dxa"/>
            <w:vAlign w:val="center"/>
          </w:tcPr>
          <w:p>
            <w:pPr>
              <w:spacing w:line="0" w:lineRule="atLeast"/>
              <w:jc w:val="center"/>
              <w:rPr>
                <w:rFonts w:ascii="宋体" w:hAnsi="宋体" w:cs="仿宋_GB2312"/>
                <w:szCs w:val="21"/>
              </w:rPr>
            </w:pPr>
            <w:r>
              <w:rPr>
                <w:rFonts w:hint="eastAsia" w:ascii="宋体" w:hAnsi="宋体" w:cs="仿宋_GB2312"/>
                <w:szCs w:val="21"/>
              </w:rPr>
              <w:t>蓝色</w:t>
            </w:r>
          </w:p>
        </w:tc>
        <w:tc>
          <w:tcPr>
            <w:tcW w:w="1217" w:type="dxa"/>
            <w:vAlign w:val="center"/>
          </w:tcPr>
          <w:p>
            <w:pPr>
              <w:spacing w:line="0" w:lineRule="atLeast"/>
              <w:jc w:val="center"/>
              <w:rPr>
                <w:rFonts w:ascii="宋体" w:hAnsi="宋体" w:cs="仿宋_GB2312"/>
                <w:szCs w:val="21"/>
              </w:rPr>
            </w:pPr>
            <w:r>
              <w:rPr>
                <w:rFonts w:hint="eastAsia" w:ascii="宋体" w:hAnsi="宋体" w:cs="仿宋_GB2312"/>
                <w:szCs w:val="21"/>
              </w:rPr>
              <w:t>蓝色</w:t>
            </w:r>
          </w:p>
        </w:tc>
      </w:tr>
    </w:tbl>
    <w:p>
      <w:pPr>
        <w:pStyle w:val="22"/>
        <w:spacing w:before="312" w:after="312"/>
      </w:pPr>
      <w:bookmarkStart w:id="638" w:name="_Toc5594_WPSOffice_Level2"/>
      <w:bookmarkStart w:id="639" w:name="_Toc12479_WPSOffice_Level2"/>
      <w:bookmarkStart w:id="640" w:name="_Toc5244_WPSOffice_Level2"/>
      <w:bookmarkStart w:id="641" w:name="_Toc19598_WPSOffice_Level2"/>
      <w:bookmarkStart w:id="642" w:name="_Toc11447_WPSOffice_Level2"/>
      <w:r>
        <w:rPr>
          <w:rFonts w:hint="eastAsia"/>
        </w:rPr>
        <w:t>职业危害风险清单</w:t>
      </w:r>
      <w:bookmarkEnd w:id="638"/>
      <w:bookmarkEnd w:id="639"/>
      <w:bookmarkEnd w:id="640"/>
      <w:bookmarkEnd w:id="641"/>
      <w:bookmarkEnd w:id="642"/>
    </w:p>
    <w:tbl>
      <w:tblPr>
        <w:tblStyle w:val="14"/>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8"/>
        <w:gridCol w:w="1469"/>
        <w:gridCol w:w="1717"/>
        <w:gridCol w:w="1862"/>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78"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序号</w:t>
            </w:r>
          </w:p>
        </w:tc>
        <w:tc>
          <w:tcPr>
            <w:tcW w:w="1469"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岗位</w:t>
            </w:r>
          </w:p>
        </w:tc>
        <w:tc>
          <w:tcPr>
            <w:tcW w:w="1717"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职业危害因素</w:t>
            </w:r>
          </w:p>
        </w:tc>
        <w:tc>
          <w:tcPr>
            <w:tcW w:w="1862"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检测结果</w:t>
            </w: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劳动强度</w:t>
            </w: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岗位定员</w:t>
            </w: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78" w:type="dxa"/>
            <w:vAlign w:val="center"/>
          </w:tcPr>
          <w:p>
            <w:pPr>
              <w:pStyle w:val="21"/>
              <w:numPr>
                <w:ilvl w:val="0"/>
                <w:numId w:val="0"/>
              </w:numPr>
              <w:shd w:val="clear" w:color="auto" w:fill="auto"/>
              <w:outlineLvl w:val="1"/>
              <w:rPr>
                <w:rFonts w:ascii="宋体" w:hAnsi="宋体" w:eastAsia="宋体" w:cs="宋体"/>
                <w:sz w:val="24"/>
                <w:szCs w:val="24"/>
              </w:rPr>
            </w:pPr>
          </w:p>
        </w:tc>
        <w:tc>
          <w:tcPr>
            <w:tcW w:w="1469" w:type="dxa"/>
            <w:vAlign w:val="center"/>
          </w:tcPr>
          <w:p>
            <w:pPr>
              <w:pStyle w:val="21"/>
              <w:numPr>
                <w:ilvl w:val="0"/>
                <w:numId w:val="0"/>
              </w:numPr>
              <w:shd w:val="clear" w:color="auto" w:fill="auto"/>
              <w:outlineLvl w:val="1"/>
              <w:rPr>
                <w:rFonts w:ascii="宋体" w:hAnsi="宋体" w:eastAsia="宋体" w:cs="宋体"/>
                <w:sz w:val="24"/>
                <w:szCs w:val="24"/>
              </w:rPr>
            </w:pPr>
          </w:p>
        </w:tc>
        <w:tc>
          <w:tcPr>
            <w:tcW w:w="1717" w:type="dxa"/>
            <w:vAlign w:val="center"/>
          </w:tcPr>
          <w:p>
            <w:pPr>
              <w:pStyle w:val="21"/>
              <w:numPr>
                <w:ilvl w:val="0"/>
                <w:numId w:val="0"/>
              </w:numPr>
              <w:shd w:val="clear" w:color="auto" w:fill="auto"/>
              <w:outlineLvl w:val="1"/>
              <w:rPr>
                <w:rFonts w:ascii="宋体" w:hAnsi="宋体" w:eastAsia="宋体" w:cs="宋体"/>
                <w:sz w:val="24"/>
                <w:szCs w:val="24"/>
              </w:rPr>
            </w:pPr>
          </w:p>
        </w:tc>
        <w:tc>
          <w:tcPr>
            <w:tcW w:w="1862" w:type="dxa"/>
            <w:vAlign w:val="center"/>
          </w:tcPr>
          <w:p>
            <w:pPr>
              <w:pStyle w:val="21"/>
              <w:numPr>
                <w:ilvl w:val="0"/>
                <w:numId w:val="0"/>
              </w:numPr>
              <w:shd w:val="clear" w:color="auto" w:fill="auto"/>
              <w:outlineLvl w:val="1"/>
              <w:rPr>
                <w:rFonts w:ascii="宋体" w:hAnsi="宋体" w:eastAsia="宋体" w:cs="宋体"/>
                <w:sz w:val="24"/>
                <w:szCs w:val="24"/>
              </w:rPr>
            </w:pP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p>
        </w:tc>
      </w:tr>
    </w:tbl>
    <w:p>
      <w:pPr>
        <w:pStyle w:val="21"/>
        <w:outlineLvl w:val="1"/>
      </w:pPr>
      <w:r>
        <w:rPr>
          <w:rFonts w:hint="eastAsia" w:ascii="宋体" w:hAnsi="宋体" w:eastAsia="宋体" w:cs="宋体"/>
          <w:sz w:val="28"/>
          <w:szCs w:val="28"/>
        </w:rPr>
        <w:br w:type="page"/>
      </w:r>
      <w:bookmarkStart w:id="643" w:name="_Toc18779"/>
      <w:bookmarkStart w:id="644" w:name="_Toc11509"/>
      <w:r>
        <w:br w:type="textWrapping"/>
      </w:r>
      <w:bookmarkStart w:id="645" w:name="_Toc7213_WPSOffice_Level1"/>
      <w:bookmarkStart w:id="646" w:name="_Toc23847_WPSOffice_Level1"/>
      <w:bookmarkStart w:id="647" w:name="_Toc13663_WPSOffice_Level1"/>
      <w:bookmarkStart w:id="648" w:name="_Toc483486622"/>
      <w:bookmarkStart w:id="649" w:name="_Toc5234_WPSOffice_Level2"/>
      <w:bookmarkStart w:id="650" w:name="_Toc1238_WPSOffice_Level1"/>
      <w:bookmarkStart w:id="651" w:name="_Toc29476_WPSOffice_Level1"/>
      <w:bookmarkStart w:id="652" w:name="_Toc483486532"/>
      <w:bookmarkStart w:id="653" w:name="_Toc29775_WPSOffice_Level1"/>
      <w:r>
        <w:rPr>
          <w:rFonts w:hint="eastAsia"/>
        </w:rPr>
        <w:t>（资料性附录）</w:t>
      </w:r>
      <w:r>
        <w:br w:type="textWrapping"/>
      </w:r>
      <w:r>
        <w:rPr>
          <w:rFonts w:hint="eastAsia"/>
        </w:rPr>
        <w:t>工作危害分析法（JHA）</w:t>
      </w:r>
      <w:bookmarkEnd w:id="643"/>
      <w:bookmarkEnd w:id="644"/>
      <w:bookmarkEnd w:id="645"/>
      <w:bookmarkEnd w:id="646"/>
      <w:bookmarkEnd w:id="647"/>
      <w:bookmarkEnd w:id="648"/>
      <w:bookmarkEnd w:id="649"/>
      <w:bookmarkEnd w:id="650"/>
      <w:bookmarkEnd w:id="651"/>
      <w:bookmarkEnd w:id="652"/>
      <w:bookmarkEnd w:id="653"/>
    </w:p>
    <w:p>
      <w:pPr>
        <w:pStyle w:val="22"/>
        <w:spacing w:before="312" w:after="312"/>
      </w:pPr>
      <w:bookmarkStart w:id="654" w:name="_Toc479175353"/>
      <w:bookmarkStart w:id="655" w:name="_Toc479257311"/>
      <w:bookmarkStart w:id="656" w:name="_Toc25708_WPSOffice_Level2"/>
      <w:bookmarkStart w:id="657" w:name="_Toc26700_WPSOffice_Level2"/>
      <w:bookmarkStart w:id="658" w:name="_Toc8249"/>
      <w:bookmarkStart w:id="659" w:name="_Toc30732_WPSOffice_Level2"/>
      <w:bookmarkStart w:id="660" w:name="_Toc479171766"/>
      <w:bookmarkStart w:id="661" w:name="_Toc18992_WPSOffice_Level2"/>
      <w:bookmarkStart w:id="662" w:name="_Toc15835_WPSOffice_Level2"/>
      <w:bookmarkStart w:id="663" w:name="_Toc21795"/>
      <w:bookmarkStart w:id="664" w:name="_Toc22988_WPSOffice_Level2"/>
      <w:r>
        <w:rPr>
          <w:rFonts w:hint="eastAsia"/>
        </w:rPr>
        <w:t>方法概述</w:t>
      </w:r>
      <w:bookmarkEnd w:id="654"/>
      <w:bookmarkEnd w:id="655"/>
      <w:bookmarkEnd w:id="656"/>
      <w:bookmarkEnd w:id="657"/>
      <w:bookmarkEnd w:id="658"/>
      <w:bookmarkEnd w:id="659"/>
      <w:bookmarkEnd w:id="660"/>
      <w:bookmarkEnd w:id="661"/>
      <w:bookmarkEnd w:id="662"/>
      <w:bookmarkEnd w:id="663"/>
      <w:bookmarkEnd w:id="664"/>
    </w:p>
    <w:p>
      <w:pPr>
        <w:pStyle w:val="18"/>
        <w:ind w:firstLine="0" w:firstLineChars="0"/>
      </w:pPr>
      <w:r>
        <w:rPr>
          <w:rFonts w:hint="eastAsia"/>
        </w:rPr>
        <w:t>通过对工作过程的逐步分析，找出具有危险的工作步骤，进行控制和预防，是辨识危害因素及其风险的方法之一。适合于对作业活动中存在的风险进行分析。包括作业活动划分、选定、危险源辨识等步骤。</w:t>
      </w:r>
    </w:p>
    <w:p>
      <w:pPr>
        <w:pStyle w:val="22"/>
        <w:spacing w:before="312" w:after="312"/>
      </w:pPr>
      <w:bookmarkStart w:id="665" w:name="_Toc479175354"/>
      <w:bookmarkStart w:id="666" w:name="_Toc479257312"/>
      <w:bookmarkStart w:id="667" w:name="_Toc2923_WPSOffice_Level2"/>
      <w:bookmarkStart w:id="668" w:name="_Toc26536_WPSOffice_Level2"/>
      <w:bookmarkStart w:id="669" w:name="_Toc25376_WPSOffice_Level2"/>
      <w:bookmarkStart w:id="670" w:name="_Toc5395"/>
      <w:bookmarkStart w:id="671" w:name="_Toc24481"/>
      <w:bookmarkStart w:id="672" w:name="_Toc22440_WPSOffice_Level2"/>
      <w:bookmarkStart w:id="673" w:name="_Toc479171767"/>
      <w:bookmarkStart w:id="674" w:name="_Toc14970_WPSOffice_Level2"/>
      <w:bookmarkStart w:id="675" w:name="_Toc30008_WPSOffice_Level2"/>
      <w:r>
        <w:rPr>
          <w:rFonts w:hint="eastAsia"/>
        </w:rPr>
        <w:t>作业活动划分</w:t>
      </w:r>
      <w:bookmarkEnd w:id="665"/>
      <w:bookmarkEnd w:id="666"/>
      <w:bookmarkEnd w:id="667"/>
      <w:bookmarkEnd w:id="668"/>
      <w:bookmarkEnd w:id="669"/>
      <w:bookmarkEnd w:id="670"/>
      <w:bookmarkEnd w:id="671"/>
      <w:bookmarkEnd w:id="672"/>
      <w:bookmarkEnd w:id="673"/>
      <w:bookmarkEnd w:id="674"/>
      <w:bookmarkEnd w:id="675"/>
    </w:p>
    <w:p>
      <w:pPr>
        <w:pStyle w:val="18"/>
        <w:ind w:firstLine="0" w:firstLineChars="0"/>
      </w:pPr>
      <w:r>
        <w:rPr>
          <w:rFonts w:hint="eastAsia"/>
        </w:rPr>
        <w:t>按生产流程、区域位置、装置、作业任务、生产阶段／服务阶段或部门划分。包括但不限于：</w:t>
      </w:r>
    </w:p>
    <w:p>
      <w:pPr>
        <w:pStyle w:val="24"/>
        <w:ind w:firstLine="0"/>
      </w:pPr>
      <w:r>
        <w:rPr>
          <w:rFonts w:hint="eastAsia"/>
        </w:rPr>
        <w:t>日常操作：工艺、设备设施操作、现场巡检；</w:t>
      </w:r>
    </w:p>
    <w:p>
      <w:pPr>
        <w:pStyle w:val="24"/>
        <w:ind w:firstLine="0"/>
      </w:pPr>
      <w:r>
        <w:rPr>
          <w:rFonts w:hint="eastAsia"/>
        </w:rPr>
        <w:t>异常情况处理：停水、停电、停气（汽）、停风、停止进料的处理，设备故障处理；</w:t>
      </w:r>
    </w:p>
    <w:p>
      <w:pPr>
        <w:pStyle w:val="24"/>
        <w:ind w:firstLine="0"/>
      </w:pPr>
      <w:r>
        <w:rPr>
          <w:rFonts w:hint="eastAsia"/>
        </w:rPr>
        <w:t>开停车：开车、停车及交付前的安全条件确认；</w:t>
      </w:r>
    </w:p>
    <w:p>
      <w:pPr>
        <w:pStyle w:val="24"/>
        <w:ind w:firstLine="0"/>
      </w:pPr>
      <w:r>
        <w:rPr>
          <w:rFonts w:hint="eastAsia"/>
        </w:rPr>
        <w:t>作业活动：动火、高处、临时用电等特殊作业；检维修作业、生产作业等；</w:t>
      </w:r>
    </w:p>
    <w:p>
      <w:pPr>
        <w:pStyle w:val="24"/>
        <w:ind w:firstLine="0"/>
      </w:pPr>
      <w:r>
        <w:rPr>
          <w:rFonts w:hint="eastAsia"/>
        </w:rPr>
        <w:t>管理活动：变更管理、现场监督检查、应急演练、公众聚集活动等；</w:t>
      </w:r>
    </w:p>
    <w:p>
      <w:pPr>
        <w:pStyle w:val="24"/>
        <w:ind w:firstLine="0"/>
      </w:pPr>
      <w:r>
        <w:rPr>
          <w:rFonts w:hint="eastAsia"/>
        </w:rPr>
        <w:t>按岗位工作任务和作业流程划分作业活动，填入《作业活动清单》。</w:t>
      </w:r>
    </w:p>
    <w:p>
      <w:pPr>
        <w:pStyle w:val="22"/>
        <w:spacing w:before="312" w:after="312"/>
      </w:pPr>
      <w:bookmarkStart w:id="676" w:name="_Toc23675_WPSOffice_Level2"/>
      <w:bookmarkStart w:id="677" w:name="_Toc479257313"/>
      <w:bookmarkStart w:id="678" w:name="_Toc479171768"/>
      <w:bookmarkStart w:id="679" w:name="_Toc9664"/>
      <w:bookmarkStart w:id="680" w:name="_Toc479175355"/>
      <w:bookmarkStart w:id="681" w:name="_Toc31321_WPSOffice_Level2"/>
      <w:bookmarkStart w:id="682" w:name="_Toc13164_WPSOffice_Level2"/>
      <w:bookmarkStart w:id="683" w:name="_Toc12634"/>
      <w:bookmarkStart w:id="684" w:name="_Toc8753_WPSOffice_Level2"/>
      <w:bookmarkStart w:id="685" w:name="_Toc3209_WPSOffice_Level2"/>
      <w:bookmarkStart w:id="686" w:name="_Toc6533_WPSOffice_Level2"/>
      <w:r>
        <w:rPr>
          <w:rFonts w:hint="eastAsia"/>
        </w:rPr>
        <w:t>工作危害分析（</w:t>
      </w:r>
      <w:r>
        <w:t>JHA</w:t>
      </w:r>
      <w:r>
        <w:rPr>
          <w:rFonts w:hint="eastAsia"/>
        </w:rPr>
        <w:t>）评价步骤</w:t>
      </w:r>
      <w:bookmarkEnd w:id="676"/>
      <w:bookmarkEnd w:id="677"/>
      <w:bookmarkEnd w:id="678"/>
      <w:bookmarkEnd w:id="679"/>
      <w:bookmarkEnd w:id="680"/>
      <w:bookmarkEnd w:id="681"/>
      <w:bookmarkEnd w:id="682"/>
      <w:bookmarkEnd w:id="683"/>
      <w:bookmarkEnd w:id="684"/>
      <w:bookmarkEnd w:id="685"/>
      <w:bookmarkEnd w:id="686"/>
    </w:p>
    <w:p>
      <w:pPr>
        <w:pStyle w:val="18"/>
        <w:ind w:firstLine="0" w:firstLineChars="0"/>
      </w:pPr>
      <w:r>
        <w:rPr>
          <w:rFonts w:hint="eastAsia"/>
        </w:rPr>
        <w:t>评价步骤如下：</w:t>
      </w:r>
    </w:p>
    <w:p>
      <w:pPr>
        <w:pStyle w:val="25"/>
        <w:ind w:firstLine="0"/>
      </w:pPr>
      <w:r>
        <w:rPr>
          <w:rFonts w:hint="eastAsia"/>
        </w:rPr>
        <w:t>将《作业活动清单》中的每项活动分解为若干个相连的工作步骤；</w:t>
      </w:r>
    </w:p>
    <w:p>
      <w:pPr>
        <w:pStyle w:val="25"/>
        <w:ind w:firstLine="0"/>
      </w:pPr>
      <w:r>
        <w:rPr>
          <w:rFonts w:hint="eastAsia"/>
        </w:rPr>
        <w:t>根据GB/T 13861的规定，辨识每一步骤的危险源及潜在事件；</w:t>
      </w:r>
    </w:p>
    <w:p>
      <w:pPr>
        <w:pStyle w:val="25"/>
        <w:ind w:firstLine="0"/>
      </w:pPr>
      <w:r>
        <w:rPr>
          <w:rFonts w:hint="eastAsia"/>
        </w:rPr>
        <w:t>根据GB 6441规定，分析造成的后果；</w:t>
      </w:r>
    </w:p>
    <w:p>
      <w:pPr>
        <w:pStyle w:val="25"/>
        <w:ind w:firstLine="0"/>
      </w:pPr>
      <w:r>
        <w:rPr>
          <w:rFonts w:hint="eastAsia"/>
        </w:rPr>
        <w:t>识别现有控制措施。从工程控制、管理措施、培训教育、个体防护、应急处置等方面评估现有控制措施的有效性；</w:t>
      </w:r>
    </w:p>
    <w:p>
      <w:pPr>
        <w:pStyle w:val="25"/>
        <w:ind w:firstLine="0"/>
      </w:pPr>
      <w:r>
        <w:rPr>
          <w:rFonts w:hint="eastAsia"/>
        </w:rPr>
        <w:t>根据风险判定准则评估风险，判定等级；</w:t>
      </w:r>
    </w:p>
    <w:p>
      <w:pPr>
        <w:pStyle w:val="25"/>
        <w:ind w:firstLine="0"/>
      </w:pPr>
      <w:r>
        <w:rPr>
          <w:rFonts w:hint="eastAsia"/>
        </w:rPr>
        <w:t>将分析结果，填入《工作危害分析（JHA）评价记录》（见附录A4）中。</w:t>
      </w:r>
    </w:p>
    <w:p>
      <w:pPr>
        <w:pStyle w:val="26"/>
        <w:ind w:firstLine="0"/>
      </w:pPr>
      <w:bookmarkStart w:id="687" w:name="_Toc5775"/>
      <w:bookmarkEnd w:id="687"/>
      <w:bookmarkStart w:id="688" w:name="_Toc30323"/>
      <w:bookmarkEnd w:id="688"/>
      <w:bookmarkStart w:id="689" w:name="_Toc15523"/>
      <w:bookmarkEnd w:id="689"/>
    </w:p>
    <w:p>
      <w:pPr>
        <w:pStyle w:val="27"/>
        <w:ind w:firstLine="0"/>
      </w:pPr>
      <w:bookmarkStart w:id="690" w:name="_Toc18954"/>
      <w:bookmarkEnd w:id="690"/>
      <w:bookmarkStart w:id="691" w:name="_Toc3787"/>
      <w:bookmarkEnd w:id="691"/>
      <w:bookmarkStart w:id="692" w:name="_Toc25687"/>
      <w:bookmarkEnd w:id="692"/>
    </w:p>
    <w:p>
      <w:pPr>
        <w:pStyle w:val="21"/>
        <w:outlineLvl w:val="1"/>
      </w:pPr>
      <w:bookmarkStart w:id="693" w:name="_Toc28559"/>
      <w:bookmarkStart w:id="694" w:name="_Toc11911"/>
      <w:r>
        <w:br w:type="textWrapping"/>
      </w:r>
      <w:bookmarkStart w:id="695" w:name="_Toc27042_WPSOffice_Level1"/>
      <w:bookmarkStart w:id="696" w:name="_Toc24759_WPSOffice_Level1"/>
      <w:bookmarkStart w:id="697" w:name="_Toc17384_WPSOffice_Level2"/>
      <w:bookmarkStart w:id="698" w:name="_Toc483486623"/>
      <w:bookmarkStart w:id="699" w:name="_Toc29898_WPSOffice_Level1"/>
      <w:bookmarkStart w:id="700" w:name="_Toc14745_WPSOffice_Level1"/>
      <w:bookmarkStart w:id="701" w:name="_Toc483486533"/>
      <w:bookmarkStart w:id="702" w:name="_Toc9918_WPSOffice_Level1"/>
      <w:bookmarkStart w:id="703" w:name="_Toc11200_WPSOffice_Level1"/>
      <w:r>
        <w:rPr>
          <w:rFonts w:hint="eastAsia"/>
        </w:rPr>
        <w:t>（资料性附录）</w:t>
      </w:r>
      <w:r>
        <w:br w:type="textWrapping"/>
      </w:r>
      <w:r>
        <w:rPr>
          <w:rFonts w:hint="eastAsia"/>
        </w:rPr>
        <w:t>安全检查表法（SCL）</w:t>
      </w:r>
      <w:bookmarkEnd w:id="693"/>
      <w:bookmarkEnd w:id="694"/>
      <w:bookmarkEnd w:id="695"/>
      <w:bookmarkEnd w:id="696"/>
      <w:bookmarkEnd w:id="697"/>
      <w:bookmarkEnd w:id="698"/>
      <w:bookmarkEnd w:id="699"/>
      <w:bookmarkEnd w:id="700"/>
      <w:bookmarkEnd w:id="701"/>
      <w:bookmarkEnd w:id="702"/>
      <w:bookmarkEnd w:id="703"/>
    </w:p>
    <w:p>
      <w:pPr>
        <w:pStyle w:val="22"/>
        <w:spacing w:before="312" w:after="312"/>
      </w:pPr>
      <w:bookmarkStart w:id="704" w:name="_Toc14667_WPSOffice_Level2"/>
      <w:bookmarkStart w:id="705" w:name="_Toc28492_WPSOffice_Level2"/>
      <w:bookmarkStart w:id="706" w:name="_Toc11702_WPSOffice_Level2"/>
      <w:bookmarkStart w:id="707" w:name="_Toc2576"/>
      <w:bookmarkStart w:id="708" w:name="_Toc479175357"/>
      <w:bookmarkStart w:id="709" w:name="_Toc30202"/>
      <w:bookmarkStart w:id="710" w:name="_Toc479257315"/>
      <w:bookmarkStart w:id="711" w:name="_Toc15397_WPSOffice_Level2"/>
      <w:bookmarkStart w:id="712" w:name="_Toc25512_WPSOffice_Level2"/>
      <w:bookmarkStart w:id="713" w:name="_Toc479171770"/>
      <w:bookmarkStart w:id="714" w:name="_Toc10442_WPSOffice_Level2"/>
      <w:r>
        <w:rPr>
          <w:rFonts w:hint="eastAsia"/>
        </w:rPr>
        <w:t>方法概述</w:t>
      </w:r>
      <w:bookmarkEnd w:id="704"/>
      <w:bookmarkEnd w:id="705"/>
      <w:bookmarkEnd w:id="706"/>
      <w:bookmarkEnd w:id="707"/>
      <w:bookmarkEnd w:id="708"/>
      <w:bookmarkEnd w:id="709"/>
      <w:bookmarkEnd w:id="710"/>
      <w:bookmarkEnd w:id="711"/>
      <w:bookmarkEnd w:id="712"/>
      <w:bookmarkEnd w:id="713"/>
      <w:bookmarkEnd w:id="714"/>
    </w:p>
    <w:p>
      <w:pPr>
        <w:pStyle w:val="18"/>
        <w:ind w:firstLine="0" w:firstLineChars="0"/>
        <w:rPr>
          <w:color w:val="000000" w:themeColor="text1"/>
        </w:rPr>
      </w:pPr>
      <w:r>
        <w:rPr>
          <w:rFonts w:hint="eastAsia"/>
        </w:rPr>
        <w:t>依据相关的标准、规范，对工程、系统中已知的危险类别、设计缺陷以及与一般工艺设备、操作、管理有关的潜在危险有害因素进行判别检查。适用于对设备设施、建构筑物、安全间距、作业环境等存在的风险进行分析。包括编制</w:t>
      </w:r>
      <w:r>
        <w:rPr>
          <w:rFonts w:hint="eastAsia"/>
          <w:color w:val="000000" w:themeColor="text1"/>
        </w:rPr>
        <w:t>安全检查表、列出设备设施清单、进行危险源辨识等步骤。</w:t>
      </w:r>
    </w:p>
    <w:p>
      <w:pPr>
        <w:pStyle w:val="22"/>
        <w:spacing w:before="312" w:after="312"/>
      </w:pPr>
      <w:bookmarkStart w:id="715" w:name="_Toc3409_WPSOffice_Level2"/>
      <w:bookmarkStart w:id="716" w:name="_Toc479257316"/>
      <w:bookmarkStart w:id="717" w:name="_Toc13893_WPSOffice_Level2"/>
      <w:bookmarkStart w:id="718" w:name="_Toc479175358"/>
      <w:bookmarkStart w:id="719" w:name="_Toc28921_WPSOffice_Level2"/>
      <w:bookmarkStart w:id="720" w:name="_Toc30867"/>
      <w:bookmarkStart w:id="721" w:name="_Toc23589_WPSOffice_Level2"/>
      <w:bookmarkStart w:id="722" w:name="_Toc14723_WPSOffice_Level2"/>
      <w:bookmarkStart w:id="723" w:name="_Toc479171771"/>
      <w:bookmarkStart w:id="724" w:name="_Toc18656"/>
      <w:bookmarkStart w:id="725" w:name="_Toc32107_WPSOffice_Level2"/>
      <w:r>
        <w:rPr>
          <w:rFonts w:hint="eastAsia"/>
        </w:rPr>
        <w:t>安全检查表编制依据</w:t>
      </w:r>
      <w:bookmarkEnd w:id="715"/>
      <w:bookmarkEnd w:id="716"/>
      <w:bookmarkEnd w:id="717"/>
      <w:bookmarkEnd w:id="718"/>
      <w:bookmarkEnd w:id="719"/>
      <w:bookmarkEnd w:id="720"/>
      <w:bookmarkEnd w:id="721"/>
      <w:bookmarkEnd w:id="722"/>
      <w:bookmarkEnd w:id="723"/>
      <w:bookmarkEnd w:id="724"/>
      <w:bookmarkEnd w:id="725"/>
    </w:p>
    <w:p>
      <w:pPr>
        <w:pStyle w:val="18"/>
        <w:ind w:firstLine="0" w:firstLineChars="0"/>
      </w:pPr>
      <w:r>
        <w:rPr>
          <w:rFonts w:hint="eastAsia"/>
        </w:rPr>
        <w:t>编制依据包括：</w:t>
      </w:r>
    </w:p>
    <w:p>
      <w:pPr>
        <w:pStyle w:val="24"/>
        <w:ind w:firstLine="0"/>
      </w:pPr>
      <w:r>
        <w:rPr>
          <w:rFonts w:hint="eastAsia"/>
        </w:rPr>
        <w:t>有关法规、标准、规范及规定；</w:t>
      </w:r>
    </w:p>
    <w:p>
      <w:pPr>
        <w:pStyle w:val="24"/>
        <w:ind w:firstLine="0"/>
      </w:pPr>
      <w:r>
        <w:rPr>
          <w:rFonts w:hint="eastAsia"/>
        </w:rPr>
        <w:t>国内外事故案例和企业以往事故情况；</w:t>
      </w:r>
    </w:p>
    <w:p>
      <w:pPr>
        <w:pStyle w:val="24"/>
        <w:ind w:firstLine="0"/>
      </w:pPr>
      <w:r>
        <w:rPr>
          <w:rFonts w:hint="eastAsia"/>
        </w:rPr>
        <w:t>系统分析确定的危险部位及防范措施；</w:t>
      </w:r>
    </w:p>
    <w:p>
      <w:pPr>
        <w:pStyle w:val="24"/>
        <w:ind w:firstLine="0"/>
      </w:pPr>
      <w:r>
        <w:rPr>
          <w:rFonts w:hint="eastAsia"/>
        </w:rPr>
        <w:t>分析人员的经验和可靠的参考资料；</w:t>
      </w:r>
    </w:p>
    <w:p>
      <w:pPr>
        <w:pStyle w:val="24"/>
        <w:ind w:firstLine="0"/>
      </w:pPr>
      <w:r>
        <w:rPr>
          <w:rFonts w:hint="eastAsia"/>
        </w:rPr>
        <w:t>有关研究成果，同行业或类似行业检查表等。</w:t>
      </w:r>
    </w:p>
    <w:p>
      <w:pPr>
        <w:pStyle w:val="22"/>
        <w:spacing w:before="312" w:after="312"/>
      </w:pPr>
      <w:bookmarkStart w:id="726" w:name="_Toc24322_WPSOffice_Level2"/>
      <w:bookmarkStart w:id="727" w:name="_Toc479257317"/>
      <w:bookmarkStart w:id="728" w:name="_Toc16431_WPSOffice_Level2"/>
      <w:bookmarkStart w:id="729" w:name="_Toc5478"/>
      <w:bookmarkStart w:id="730" w:name="_Toc7426_WPSOffice_Level2"/>
      <w:bookmarkStart w:id="731" w:name="_Toc28512_WPSOffice_Level2"/>
      <w:bookmarkStart w:id="732" w:name="_Toc420_WPSOffice_Level2"/>
      <w:bookmarkStart w:id="733" w:name="_Toc479175359"/>
      <w:bookmarkStart w:id="734" w:name="_Toc15011_WPSOffice_Level2"/>
      <w:bookmarkStart w:id="735" w:name="_Toc15584"/>
      <w:bookmarkStart w:id="736" w:name="_Toc479171772"/>
      <w:r>
        <w:rPr>
          <w:rFonts w:hint="eastAsia"/>
        </w:rPr>
        <w:t>编制安全检查表</w:t>
      </w:r>
      <w:bookmarkEnd w:id="726"/>
      <w:bookmarkEnd w:id="727"/>
      <w:bookmarkEnd w:id="728"/>
      <w:bookmarkEnd w:id="729"/>
      <w:bookmarkEnd w:id="730"/>
      <w:bookmarkEnd w:id="731"/>
      <w:bookmarkEnd w:id="732"/>
      <w:bookmarkEnd w:id="733"/>
      <w:bookmarkEnd w:id="734"/>
      <w:bookmarkEnd w:id="735"/>
      <w:bookmarkEnd w:id="736"/>
    </w:p>
    <w:p>
      <w:pPr>
        <w:pStyle w:val="18"/>
        <w:ind w:firstLine="0" w:firstLineChars="0"/>
      </w:pPr>
      <w:r>
        <w:rPr>
          <w:rFonts w:hint="eastAsia"/>
        </w:rPr>
        <w:t>编制工作包括：</w:t>
      </w:r>
    </w:p>
    <w:p>
      <w:pPr>
        <w:pStyle w:val="24"/>
        <w:ind w:left="424" w:leftChars="202" w:firstLine="0"/>
      </w:pPr>
      <w:r>
        <w:rPr>
          <w:rFonts w:hint="eastAsia"/>
        </w:rPr>
        <w:t>确定编制人员。包括熟悉系统的工段长、安全员、技术员、设备员等各方面人员；</w:t>
      </w:r>
    </w:p>
    <w:p>
      <w:pPr>
        <w:pStyle w:val="24"/>
        <w:ind w:left="424" w:leftChars="202" w:firstLine="0"/>
      </w:pPr>
      <w:r>
        <w:rPr>
          <w:rFonts w:hint="eastAsia"/>
        </w:rPr>
        <w:t>熟悉系统。包括系统的结构、功能、工艺流程、操作条件、布置和已有的安全卫生设施。</w:t>
      </w:r>
    </w:p>
    <w:p>
      <w:pPr>
        <w:pStyle w:val="24"/>
        <w:ind w:left="424" w:leftChars="202" w:firstLine="0"/>
      </w:pPr>
      <w:r>
        <w:rPr>
          <w:rFonts w:hint="eastAsia"/>
        </w:rPr>
        <w:t>收集资料。收集有关安全法律、法规、规程、标准、制度及本系统过去发生的事故事件资料，作为编制安全检查表的依据；</w:t>
      </w:r>
    </w:p>
    <w:p>
      <w:pPr>
        <w:pStyle w:val="24"/>
        <w:ind w:left="424" w:leftChars="202" w:firstLine="0"/>
      </w:pPr>
      <w:r>
        <w:rPr>
          <w:rFonts w:hint="eastAsia"/>
        </w:rPr>
        <w:t>编制表格。确定检查项目、检查标准、不符合标准的情况及后果、安全控制措施等要素（参照附录A5中表5-1或表5-2相关栏目内容，可单独编制或直接采用该表）。</w:t>
      </w:r>
    </w:p>
    <w:p>
      <w:pPr>
        <w:pStyle w:val="22"/>
        <w:spacing w:before="312" w:after="312"/>
      </w:pPr>
      <w:bookmarkStart w:id="737" w:name="_Toc10911_WPSOffice_Level2"/>
      <w:bookmarkStart w:id="738" w:name="_Toc17790_WPSOffice_Level2"/>
      <w:bookmarkStart w:id="739" w:name="_Toc26684_WPSOffice_Level2"/>
      <w:bookmarkStart w:id="740" w:name="_Toc479171773"/>
      <w:bookmarkStart w:id="741" w:name="_Toc479257318"/>
      <w:bookmarkStart w:id="742" w:name="_Toc8569"/>
      <w:bookmarkStart w:id="743" w:name="_Toc4699_WPSOffice_Level2"/>
      <w:bookmarkStart w:id="744" w:name="_Toc3525_WPSOffice_Level2"/>
      <w:bookmarkStart w:id="745" w:name="_Toc479175360"/>
      <w:bookmarkStart w:id="746" w:name="_Toc24194"/>
      <w:bookmarkStart w:id="747" w:name="_Toc14008_WPSOffice_Level2"/>
      <w:r>
        <w:rPr>
          <w:rFonts w:hint="eastAsia"/>
        </w:rPr>
        <w:t>安全检查表分析评价</w:t>
      </w:r>
      <w:bookmarkEnd w:id="737"/>
      <w:bookmarkEnd w:id="738"/>
      <w:bookmarkEnd w:id="739"/>
      <w:bookmarkEnd w:id="740"/>
      <w:bookmarkEnd w:id="741"/>
      <w:bookmarkEnd w:id="742"/>
      <w:bookmarkEnd w:id="743"/>
      <w:bookmarkEnd w:id="744"/>
      <w:bookmarkEnd w:id="745"/>
      <w:bookmarkEnd w:id="746"/>
      <w:bookmarkEnd w:id="747"/>
    </w:p>
    <w:p>
      <w:pPr>
        <w:pStyle w:val="18"/>
        <w:ind w:firstLine="0" w:firstLineChars="0"/>
      </w:pPr>
      <w:r>
        <w:rPr>
          <w:rFonts w:hint="eastAsia"/>
        </w:rPr>
        <w:t>分析评价步骤如下：</w:t>
      </w:r>
    </w:p>
    <w:p>
      <w:pPr>
        <w:pStyle w:val="24"/>
        <w:ind w:left="424" w:leftChars="202" w:firstLine="0"/>
        <w:rPr>
          <w:color w:val="000000" w:themeColor="text1"/>
        </w:rPr>
      </w:pPr>
      <w:r>
        <w:rPr>
          <w:rFonts w:hint="eastAsia"/>
          <w:color w:val="000000" w:themeColor="text1"/>
        </w:rPr>
        <w:t>列出《设备设施清单》（见附录A3）；</w:t>
      </w:r>
    </w:p>
    <w:p>
      <w:pPr>
        <w:pStyle w:val="24"/>
        <w:ind w:left="424" w:leftChars="202" w:firstLine="0"/>
        <w:rPr>
          <w:color w:val="000000" w:themeColor="text1"/>
        </w:rPr>
      </w:pPr>
      <w:r>
        <w:rPr>
          <w:rFonts w:hint="eastAsia"/>
          <w:color w:val="000000" w:themeColor="text1"/>
        </w:rPr>
        <w:t>依据《设备设施清单》，按功能或结构划分为若干危险源，对照安全检查表逐个分析潜在的危害；</w:t>
      </w:r>
    </w:p>
    <w:p>
      <w:pPr>
        <w:pStyle w:val="24"/>
        <w:ind w:left="424" w:leftChars="202" w:firstLine="0"/>
        <w:rPr>
          <w:color w:val="000000" w:themeColor="text1"/>
        </w:rPr>
      </w:pPr>
      <w:r>
        <w:rPr>
          <w:rFonts w:hint="eastAsia"/>
          <w:color w:val="000000" w:themeColor="text1"/>
        </w:rPr>
        <w:t>对每个危险源，按照《安全检查表分析（</w:t>
      </w:r>
      <w:r>
        <w:rPr>
          <w:color w:val="000000" w:themeColor="text1"/>
        </w:rPr>
        <w:t>SCL</w:t>
      </w:r>
      <w:r>
        <w:rPr>
          <w:rFonts w:hint="eastAsia"/>
          <w:color w:val="000000" w:themeColor="text1"/>
        </w:rPr>
        <w:t>）评价记录》（见附录A5）进行全过程的系统分析和记录。</w:t>
      </w:r>
    </w:p>
    <w:p>
      <w:pPr>
        <w:pStyle w:val="22"/>
        <w:spacing w:before="312" w:after="312"/>
      </w:pPr>
      <w:bookmarkStart w:id="748" w:name="_Toc479171774"/>
      <w:bookmarkStart w:id="749" w:name="_Toc479175361"/>
      <w:bookmarkStart w:id="750" w:name="_Toc19050_WPSOffice_Level2"/>
      <w:bookmarkStart w:id="751" w:name="_Toc19580_WPSOffice_Level2"/>
      <w:bookmarkStart w:id="752" w:name="_Toc24016"/>
      <w:bookmarkStart w:id="753" w:name="_Toc714_WPSOffice_Level2"/>
      <w:bookmarkStart w:id="754" w:name="_Toc6784_WPSOffice_Level2"/>
      <w:bookmarkStart w:id="755" w:name="_Toc479257319"/>
      <w:bookmarkStart w:id="756" w:name="_Toc19704_WPSOffice_Level2"/>
      <w:bookmarkStart w:id="757" w:name="_Toc23137"/>
      <w:bookmarkStart w:id="758" w:name="_Toc31211_WPSOffice_Level2"/>
      <w:r>
        <w:rPr>
          <w:rFonts w:hint="eastAsia"/>
        </w:rPr>
        <w:t>检查表分析要求</w:t>
      </w:r>
      <w:bookmarkEnd w:id="748"/>
      <w:bookmarkEnd w:id="749"/>
      <w:bookmarkEnd w:id="750"/>
      <w:bookmarkEnd w:id="751"/>
      <w:bookmarkEnd w:id="752"/>
      <w:bookmarkEnd w:id="753"/>
      <w:bookmarkEnd w:id="754"/>
      <w:bookmarkEnd w:id="755"/>
      <w:bookmarkEnd w:id="756"/>
      <w:bookmarkEnd w:id="757"/>
      <w:bookmarkEnd w:id="758"/>
    </w:p>
    <w:p>
      <w:pPr>
        <w:pStyle w:val="18"/>
        <w:ind w:firstLine="0" w:firstLineChars="0"/>
      </w:pPr>
      <w:r>
        <w:rPr>
          <w:rFonts w:hint="eastAsia"/>
        </w:rPr>
        <w:t>综合考虑设备设施内外部和工艺危害。识别顺序：</w:t>
      </w:r>
    </w:p>
    <w:p>
      <w:pPr>
        <w:pStyle w:val="25"/>
        <w:numPr>
          <w:ilvl w:val="0"/>
          <w:numId w:val="18"/>
        </w:numPr>
        <w:ind w:firstLine="0"/>
        <w:rPr>
          <w:color w:val="000000" w:themeColor="text1"/>
        </w:rPr>
      </w:pPr>
      <w:bookmarkStart w:id="759" w:name="_Toc22799_WPSOffice_Level2"/>
      <w:r>
        <w:rPr>
          <w:rFonts w:hint="eastAsia"/>
          <w:color w:val="000000" w:themeColor="text1"/>
        </w:rPr>
        <w:t>厂址、地形、地貌、地质、周围环境、周边安全距离方面的危害；</w:t>
      </w:r>
      <w:bookmarkEnd w:id="759"/>
    </w:p>
    <w:p>
      <w:pPr>
        <w:pStyle w:val="25"/>
        <w:ind w:firstLine="0"/>
        <w:rPr>
          <w:color w:val="000000" w:themeColor="text1"/>
        </w:rPr>
      </w:pPr>
      <w:bookmarkStart w:id="760" w:name="_Toc27190_WPSOffice_Level2"/>
      <w:r>
        <w:rPr>
          <w:rFonts w:hint="eastAsia"/>
          <w:color w:val="000000" w:themeColor="text1"/>
        </w:rPr>
        <w:t>厂区内平面布局、功能分区、设备设施布置、内部安全距离等方面的危害；</w:t>
      </w:r>
      <w:bookmarkEnd w:id="760"/>
    </w:p>
    <w:p>
      <w:pPr>
        <w:pStyle w:val="25"/>
        <w:ind w:firstLine="0"/>
        <w:rPr>
          <w:color w:val="000000" w:themeColor="text1"/>
        </w:rPr>
      </w:pPr>
      <w:bookmarkStart w:id="761" w:name="_Toc10746_WPSOffice_Level2"/>
      <w:r>
        <w:rPr>
          <w:rFonts w:hint="eastAsia"/>
          <w:color w:val="000000" w:themeColor="text1"/>
        </w:rPr>
        <w:t>具体的建构筑物等。</w:t>
      </w:r>
      <w:bookmarkEnd w:id="761"/>
      <w:bookmarkStart w:id="762" w:name="_Toc15796"/>
      <w:bookmarkEnd w:id="762"/>
      <w:bookmarkStart w:id="763" w:name="_Toc5940"/>
      <w:bookmarkEnd w:id="763"/>
      <w:bookmarkStart w:id="764" w:name="_Toc24813"/>
      <w:bookmarkEnd w:id="764"/>
      <w:bookmarkStart w:id="765" w:name="_Toc24144"/>
      <w:bookmarkEnd w:id="765"/>
      <w:bookmarkStart w:id="766" w:name="_Toc3548"/>
      <w:bookmarkEnd w:id="766"/>
      <w:bookmarkStart w:id="767" w:name="_Toc9878"/>
      <w:bookmarkEnd w:id="767"/>
    </w:p>
    <w:p>
      <w:pPr>
        <w:pStyle w:val="27"/>
        <w:ind w:firstLine="0"/>
        <w:rPr>
          <w:color w:val="000000" w:themeColor="text1"/>
        </w:rPr>
      </w:pPr>
      <w:bookmarkStart w:id="768" w:name="_Toc24613"/>
      <w:bookmarkEnd w:id="768"/>
      <w:bookmarkStart w:id="769" w:name="_Toc32607"/>
      <w:bookmarkEnd w:id="769"/>
      <w:bookmarkStart w:id="770" w:name="_Toc15017"/>
      <w:bookmarkEnd w:id="770"/>
    </w:p>
    <w:p>
      <w:pPr>
        <w:pStyle w:val="21"/>
        <w:outlineLvl w:val="1"/>
      </w:pPr>
      <w:bookmarkStart w:id="771" w:name="_Toc11269"/>
      <w:bookmarkStart w:id="772" w:name="_Toc25525"/>
      <w:r>
        <w:br w:type="textWrapping"/>
      </w:r>
      <w:bookmarkStart w:id="773" w:name="_Toc31384_WPSOffice_Level2"/>
      <w:bookmarkStart w:id="774" w:name="_Toc483486625"/>
      <w:bookmarkStart w:id="775" w:name="_Toc6029_WPSOffice_Level1"/>
      <w:bookmarkStart w:id="776" w:name="_Toc434_WPSOffice_Level1"/>
      <w:bookmarkStart w:id="777" w:name="_Toc483486535"/>
      <w:bookmarkStart w:id="778" w:name="_Toc7928_WPSOffice_Level1"/>
      <w:bookmarkStart w:id="779" w:name="_Toc1893_WPSOffice_Level1"/>
      <w:bookmarkStart w:id="780" w:name="_Toc2486_WPSOffice_Level1"/>
      <w:bookmarkStart w:id="781" w:name="_Toc22329_WPSOffice_Level1"/>
      <w:r>
        <w:rPr>
          <w:rFonts w:hint="eastAsia"/>
        </w:rPr>
        <w:t>（资料性附录）</w:t>
      </w:r>
      <w:r>
        <w:br w:type="textWrapping"/>
      </w:r>
      <w:r>
        <w:rPr>
          <w:rFonts w:hint="eastAsia"/>
        </w:rPr>
        <w:t>作业条件危险性分析评价法（LEC）</w:t>
      </w:r>
      <w:bookmarkEnd w:id="771"/>
      <w:bookmarkEnd w:id="772"/>
      <w:bookmarkEnd w:id="773"/>
      <w:bookmarkEnd w:id="774"/>
      <w:bookmarkEnd w:id="775"/>
      <w:bookmarkEnd w:id="776"/>
      <w:bookmarkEnd w:id="777"/>
      <w:bookmarkEnd w:id="778"/>
      <w:bookmarkEnd w:id="779"/>
      <w:bookmarkEnd w:id="780"/>
      <w:bookmarkEnd w:id="781"/>
    </w:p>
    <w:p>
      <w:pPr>
        <w:pStyle w:val="18"/>
        <w:ind w:firstLine="0" w:firstLineChars="0"/>
        <w:rPr>
          <w:color w:val="FF0000"/>
        </w:rPr>
      </w:pPr>
      <w:r>
        <w:rPr>
          <w:rFonts w:hint="eastAsia"/>
        </w:rPr>
        <w:t>作业条件危险性分析评价法（简称LEC）。</w:t>
      </w:r>
      <w:r>
        <w:t>L(likelihood</w:t>
      </w:r>
      <w:r>
        <w:rPr>
          <w:rFonts w:hint="eastAsia"/>
        </w:rPr>
        <w:t>，事故发生的可能性</w:t>
      </w:r>
      <w:r>
        <w:t>)</w:t>
      </w:r>
      <w:r>
        <w:rPr>
          <w:rFonts w:hint="eastAsia"/>
        </w:rPr>
        <w:t>、</w:t>
      </w:r>
      <w:r>
        <w:t>E(exposure</w:t>
      </w:r>
      <w:r>
        <w:rPr>
          <w:rFonts w:hint="eastAsia"/>
        </w:rPr>
        <w:t>，人员暴露于危险环境中的频繁程度</w:t>
      </w:r>
      <w:r>
        <w:t>)</w:t>
      </w:r>
      <w:r>
        <w:rPr>
          <w:rFonts w:hint="eastAsia"/>
        </w:rPr>
        <w:t>和</w:t>
      </w:r>
      <w:r>
        <w:t>C(consequence</w:t>
      </w:r>
      <w:r>
        <w:rPr>
          <w:rFonts w:hint="eastAsia"/>
        </w:rPr>
        <w:t>，一旦发生事故可能造成的后果</w:t>
      </w:r>
      <w:r>
        <w:t>)</w:t>
      </w:r>
      <w:r>
        <w:rPr>
          <w:rFonts w:hint="eastAsia"/>
        </w:rPr>
        <w:t>。给三种因素的不同等级分别确定不同的分值，再以三个分值的乘积</w:t>
      </w:r>
      <w:r>
        <w:t>D(danger</w:t>
      </w:r>
      <w:r>
        <w:rPr>
          <w:rFonts w:hint="eastAsia"/>
        </w:rPr>
        <w:t>，危险性</w:t>
      </w:r>
      <w:r>
        <w:t>)</w:t>
      </w:r>
      <w:r>
        <w:rPr>
          <w:rFonts w:hint="eastAsia"/>
        </w:rPr>
        <w:t>来评价作业条件危险性的大小，即</w:t>
      </w:r>
      <w:r>
        <w:t>:D=L</w:t>
      </w:r>
      <w:r>
        <w:rPr>
          <w:rFonts w:hint="eastAsia"/>
        </w:rPr>
        <w:t>×</w:t>
      </w:r>
      <w:r>
        <w:t>E</w:t>
      </w:r>
      <w:r>
        <w:rPr>
          <w:rFonts w:hint="eastAsia"/>
        </w:rPr>
        <w:t>×</w:t>
      </w:r>
      <w:r>
        <w:t>C</w:t>
      </w:r>
      <w:r>
        <w:rPr>
          <w:rFonts w:hint="eastAsia"/>
        </w:rPr>
        <w:t>。D值越大，说明该作业活动危险性大、风险大。</w:t>
      </w:r>
    </w:p>
    <w:p>
      <w:pPr>
        <w:pStyle w:val="17"/>
        <w:numPr>
          <w:ilvl w:val="1"/>
          <w:numId w:val="0"/>
        </w:numPr>
        <w:spacing w:before="156" w:after="156"/>
      </w:pPr>
      <w:bookmarkStart w:id="782" w:name="_Toc479175370"/>
      <w:bookmarkStart w:id="783" w:name="_Toc479171783"/>
      <w:bookmarkStart w:id="784" w:name="_Toc479257328"/>
      <w:bookmarkStart w:id="785" w:name="_Toc14090_WPSOffice_Level2"/>
      <w:r>
        <w:rPr>
          <w:rFonts w:hint="eastAsia"/>
        </w:rPr>
        <w:t>事故事件发生的可能性（</w:t>
      </w:r>
      <w:r>
        <w:t>L</w:t>
      </w:r>
      <w:r>
        <w:rPr>
          <w:rFonts w:hint="eastAsia"/>
        </w:rPr>
        <w:t>）判断准则</w:t>
      </w:r>
      <w:bookmarkEnd w:id="782"/>
      <w:bookmarkEnd w:id="783"/>
      <w:bookmarkEnd w:id="784"/>
      <w:bookmarkEnd w:id="785"/>
    </w:p>
    <w:tbl>
      <w:tblPr>
        <w:tblStyle w:val="13"/>
        <w:tblW w:w="8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7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813" w:type="dxa"/>
            <w:vAlign w:val="center"/>
          </w:tcPr>
          <w:p>
            <w:pPr>
              <w:jc w:val="center"/>
              <w:rPr>
                <w:rFonts w:ascii="宋体" w:hAnsi="宋体"/>
                <w:b/>
                <w:bCs/>
                <w:sz w:val="18"/>
                <w:szCs w:val="18"/>
              </w:rPr>
            </w:pPr>
            <w:r>
              <w:rPr>
                <w:rFonts w:hint="eastAsia" w:ascii="宋体" w:hAnsi="宋体" w:cs="仿宋_GB2312"/>
                <w:b/>
                <w:bCs/>
                <w:sz w:val="18"/>
                <w:szCs w:val="18"/>
              </w:rPr>
              <w:t>分值</w:t>
            </w:r>
          </w:p>
        </w:tc>
        <w:tc>
          <w:tcPr>
            <w:tcW w:w="7871" w:type="dxa"/>
            <w:vAlign w:val="center"/>
          </w:tcPr>
          <w:p>
            <w:pPr>
              <w:jc w:val="center"/>
              <w:rPr>
                <w:rFonts w:ascii="宋体" w:hAnsi="宋体"/>
                <w:b/>
                <w:bCs/>
                <w:sz w:val="18"/>
                <w:szCs w:val="18"/>
              </w:rPr>
            </w:pPr>
            <w:r>
              <w:rPr>
                <w:rFonts w:hint="eastAsia" w:ascii="宋体" w:hAnsi="宋体" w:cs="仿宋_GB2312"/>
                <w:b/>
                <w:bCs/>
                <w:sz w:val="18"/>
                <w:szCs w:val="18"/>
              </w:rPr>
              <w:t>事故、事件或偏差发生的可能性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3" w:type="dxa"/>
            <w:vAlign w:val="center"/>
          </w:tcPr>
          <w:p>
            <w:pPr>
              <w:jc w:val="center"/>
              <w:rPr>
                <w:rFonts w:ascii="宋体" w:hAnsi="宋体"/>
                <w:sz w:val="18"/>
                <w:szCs w:val="18"/>
              </w:rPr>
            </w:pPr>
            <w:r>
              <w:rPr>
                <w:rFonts w:ascii="宋体" w:hAnsi="宋体" w:cs="仿宋_GB2312"/>
                <w:sz w:val="18"/>
                <w:szCs w:val="18"/>
              </w:rPr>
              <w:t>10</w:t>
            </w:r>
          </w:p>
        </w:tc>
        <w:tc>
          <w:tcPr>
            <w:tcW w:w="7871" w:type="dxa"/>
            <w:vAlign w:val="center"/>
          </w:tcPr>
          <w:p>
            <w:pPr>
              <w:rPr>
                <w:rFonts w:ascii="宋体" w:hAnsi="宋体"/>
                <w:sz w:val="18"/>
                <w:szCs w:val="18"/>
              </w:rPr>
            </w:pPr>
            <w:r>
              <w:rPr>
                <w:rFonts w:hint="eastAsia" w:ascii="宋体" w:hAnsi="宋体" w:cs="仿宋_GB2312"/>
                <w:sz w:val="18"/>
                <w:szCs w:val="18"/>
              </w:rPr>
              <w:t>完全可以预料。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6</w:t>
            </w:r>
          </w:p>
        </w:tc>
        <w:tc>
          <w:tcPr>
            <w:tcW w:w="7871" w:type="dxa"/>
            <w:vAlign w:val="center"/>
          </w:tcPr>
          <w:p>
            <w:pPr>
              <w:jc w:val="left"/>
              <w:rPr>
                <w:rFonts w:ascii="宋体" w:hAnsi="宋体"/>
                <w:sz w:val="18"/>
                <w:szCs w:val="18"/>
              </w:rPr>
            </w:pPr>
            <w:r>
              <w:rPr>
                <w:rFonts w:hint="eastAsia" w:ascii="宋体" w:hAnsi="宋体" w:cs="仿宋_GB2312"/>
                <w:sz w:val="18"/>
                <w:szCs w:val="18"/>
              </w:rPr>
              <w:t>相当可能；或危害的发生不能被发现（没有监测系统）；或在现场没有采取防范、监测、保护、控制措施；或在正常情况下经常发生此类事故、事件或偏差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3</w:t>
            </w:r>
          </w:p>
        </w:tc>
        <w:tc>
          <w:tcPr>
            <w:tcW w:w="7871" w:type="dxa"/>
            <w:vAlign w:val="center"/>
          </w:tcPr>
          <w:p>
            <w:pPr>
              <w:jc w:val="left"/>
              <w:rPr>
                <w:rFonts w:ascii="宋体" w:hAnsi="宋体"/>
                <w:sz w:val="18"/>
                <w:szCs w:val="18"/>
              </w:rPr>
            </w:pPr>
            <w:r>
              <w:rPr>
                <w:rFonts w:hint="eastAsia" w:ascii="宋体" w:hAnsi="宋体" w:cs="仿宋_GB2312"/>
                <w:sz w:val="18"/>
                <w:szCs w:val="18"/>
              </w:rPr>
              <w:t>可能，但不经常；或危害的发生不容易被发现；现场没有检测系统或保护措施（如没有保护装置、没有个人防护用品等），也未作过任何监测；或未严格按操作规程执行；或在现场有控制措施，但未有效执行或控制措施不当；或危害在预期情况下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1</w:t>
            </w:r>
          </w:p>
        </w:tc>
        <w:tc>
          <w:tcPr>
            <w:tcW w:w="7871" w:type="dxa"/>
            <w:vAlign w:val="center"/>
          </w:tcPr>
          <w:p>
            <w:pPr>
              <w:jc w:val="left"/>
              <w:rPr>
                <w:rFonts w:ascii="宋体" w:hAnsi="宋体"/>
                <w:sz w:val="18"/>
                <w:szCs w:val="18"/>
              </w:rPr>
            </w:pPr>
            <w:r>
              <w:rPr>
                <w:rFonts w:hint="eastAsia" w:ascii="宋体" w:hAnsi="宋体" w:cs="仿宋_GB2312"/>
                <w:sz w:val="18"/>
                <w:szCs w:val="18"/>
              </w:rPr>
              <w:t>可能性小，完全意外；或危害的发生容易被发现；现场有监测系统或曾经作过监测；或过去曾经发生类似事故、事件或偏差；或在异常情况下发生过类似事故、事件或偏差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0.5</w:t>
            </w:r>
          </w:p>
        </w:tc>
        <w:tc>
          <w:tcPr>
            <w:tcW w:w="7871" w:type="dxa"/>
            <w:vAlign w:val="center"/>
          </w:tcPr>
          <w:p>
            <w:pPr>
              <w:jc w:val="left"/>
              <w:rPr>
                <w:rFonts w:ascii="宋体" w:hAnsi="宋体"/>
                <w:sz w:val="18"/>
                <w:szCs w:val="18"/>
              </w:rPr>
            </w:pPr>
            <w:r>
              <w:rPr>
                <w:rFonts w:hint="eastAsia" w:ascii="宋体" w:hAnsi="宋体" w:cs="仿宋_GB2312"/>
                <w:sz w:val="18"/>
                <w:szCs w:val="18"/>
              </w:rPr>
              <w:t>很不可能，可以设想；危害一旦发生能及时发现，并能定期进行监测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0.2</w:t>
            </w:r>
          </w:p>
        </w:tc>
        <w:tc>
          <w:tcPr>
            <w:tcW w:w="7871" w:type="dxa"/>
            <w:vAlign w:val="center"/>
          </w:tcPr>
          <w:p>
            <w:pPr>
              <w:jc w:val="left"/>
              <w:rPr>
                <w:rFonts w:ascii="宋体" w:hAnsi="宋体"/>
                <w:sz w:val="18"/>
                <w:szCs w:val="18"/>
              </w:rPr>
            </w:pPr>
            <w:r>
              <w:rPr>
                <w:rFonts w:hint="eastAsia" w:ascii="宋体" w:hAnsi="宋体" w:cs="仿宋_GB2312"/>
                <w:sz w:val="18"/>
                <w:szCs w:val="18"/>
              </w:rPr>
              <w:t>极不可能；有充分、有效的防范、控制、监测、保护措施；或员工安全卫生意识相当高，严格执行操作规程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0.1</w:t>
            </w:r>
          </w:p>
        </w:tc>
        <w:tc>
          <w:tcPr>
            <w:tcW w:w="7871" w:type="dxa"/>
            <w:vAlign w:val="center"/>
          </w:tcPr>
          <w:p>
            <w:pPr>
              <w:jc w:val="left"/>
              <w:rPr>
                <w:rFonts w:ascii="宋体" w:hAnsi="宋体"/>
                <w:sz w:val="18"/>
                <w:szCs w:val="18"/>
              </w:rPr>
            </w:pPr>
            <w:r>
              <w:rPr>
                <w:rFonts w:hint="eastAsia" w:ascii="宋体" w:hAnsi="宋体" w:cs="仿宋_GB2312"/>
                <w:sz w:val="18"/>
                <w:szCs w:val="18"/>
              </w:rPr>
              <w:t>实际不可能</w:t>
            </w:r>
          </w:p>
        </w:tc>
      </w:tr>
    </w:tbl>
    <w:p>
      <w:pPr>
        <w:rPr>
          <w:rFonts w:ascii="宋体" w:hAnsi="宋体"/>
          <w:sz w:val="24"/>
        </w:rPr>
      </w:pPr>
    </w:p>
    <w:p>
      <w:pPr>
        <w:pStyle w:val="17"/>
        <w:numPr>
          <w:ilvl w:val="1"/>
          <w:numId w:val="0"/>
        </w:numPr>
        <w:spacing w:before="156" w:after="156"/>
      </w:pPr>
      <w:bookmarkStart w:id="786" w:name="_Toc479171784"/>
      <w:bookmarkStart w:id="787" w:name="_Toc479175371"/>
      <w:bookmarkStart w:id="788" w:name="_Toc479257329"/>
      <w:bookmarkStart w:id="789" w:name="_Toc20564_WPSOffice_Level2"/>
      <w:r>
        <w:rPr>
          <w:rFonts w:hint="eastAsia"/>
        </w:rPr>
        <w:t>暴露于危险环境的频繁程度（</w:t>
      </w:r>
      <w:r>
        <w:t>E</w:t>
      </w:r>
      <w:r>
        <w:rPr>
          <w:rFonts w:hint="eastAsia"/>
        </w:rPr>
        <w:t>）判断准则</w:t>
      </w:r>
      <w:bookmarkEnd w:id="786"/>
      <w:bookmarkEnd w:id="787"/>
      <w:bookmarkEnd w:id="788"/>
      <w:bookmarkEnd w:id="789"/>
    </w:p>
    <w:tbl>
      <w:tblPr>
        <w:tblStyle w:val="1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3262"/>
        <w:gridCol w:w="1507"/>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jc w:val="center"/>
              <w:rPr>
                <w:rFonts w:ascii="宋体" w:hAnsi="宋体"/>
                <w:b/>
                <w:bCs/>
                <w:sz w:val="18"/>
                <w:szCs w:val="18"/>
              </w:rPr>
            </w:pPr>
            <w:r>
              <w:rPr>
                <w:rFonts w:hint="eastAsia" w:ascii="宋体" w:hAnsi="宋体" w:cs="仿宋_GB2312"/>
                <w:b/>
                <w:bCs/>
                <w:sz w:val="18"/>
                <w:szCs w:val="18"/>
              </w:rPr>
              <w:t>分值</w:t>
            </w:r>
          </w:p>
        </w:tc>
        <w:tc>
          <w:tcPr>
            <w:tcW w:w="3262" w:type="dxa"/>
            <w:vAlign w:val="center"/>
          </w:tcPr>
          <w:p>
            <w:pPr>
              <w:jc w:val="center"/>
              <w:rPr>
                <w:rFonts w:ascii="宋体" w:hAnsi="宋体"/>
                <w:b/>
                <w:bCs/>
                <w:sz w:val="18"/>
                <w:szCs w:val="18"/>
              </w:rPr>
            </w:pPr>
            <w:r>
              <w:rPr>
                <w:rFonts w:hint="eastAsia" w:ascii="宋体" w:hAnsi="宋体" w:cs="仿宋_GB2312"/>
                <w:b/>
                <w:bCs/>
                <w:sz w:val="18"/>
                <w:szCs w:val="18"/>
              </w:rPr>
              <w:t>频繁程度</w:t>
            </w:r>
          </w:p>
        </w:tc>
        <w:tc>
          <w:tcPr>
            <w:tcW w:w="1507" w:type="dxa"/>
            <w:vAlign w:val="center"/>
          </w:tcPr>
          <w:p>
            <w:pPr>
              <w:jc w:val="center"/>
              <w:rPr>
                <w:rFonts w:ascii="宋体" w:hAnsi="宋体"/>
                <w:b/>
                <w:bCs/>
                <w:sz w:val="18"/>
                <w:szCs w:val="18"/>
              </w:rPr>
            </w:pPr>
            <w:r>
              <w:rPr>
                <w:rFonts w:hint="eastAsia" w:ascii="宋体" w:hAnsi="宋体" w:cs="仿宋_GB2312"/>
                <w:b/>
                <w:bCs/>
                <w:sz w:val="18"/>
                <w:szCs w:val="18"/>
              </w:rPr>
              <w:t>分值</w:t>
            </w:r>
          </w:p>
        </w:tc>
        <w:tc>
          <w:tcPr>
            <w:tcW w:w="2816" w:type="dxa"/>
            <w:vAlign w:val="center"/>
          </w:tcPr>
          <w:p>
            <w:pPr>
              <w:jc w:val="center"/>
              <w:rPr>
                <w:rFonts w:ascii="宋体" w:hAnsi="宋体"/>
                <w:b/>
                <w:bCs/>
                <w:sz w:val="18"/>
                <w:szCs w:val="18"/>
              </w:rPr>
            </w:pPr>
            <w:r>
              <w:rPr>
                <w:rFonts w:hint="eastAsia" w:ascii="宋体" w:hAnsi="宋体" w:cs="仿宋_GB2312"/>
                <w:b/>
                <w:bCs/>
                <w:sz w:val="18"/>
                <w:szCs w:val="18"/>
              </w:rPr>
              <w:t>频繁程度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jc w:val="center"/>
              <w:rPr>
                <w:rFonts w:ascii="宋体" w:hAnsi="宋体"/>
                <w:b/>
                <w:bCs/>
                <w:sz w:val="18"/>
                <w:szCs w:val="18"/>
              </w:rPr>
            </w:pPr>
            <w:r>
              <w:rPr>
                <w:rFonts w:ascii="宋体" w:hAnsi="宋体" w:cs="仿宋_GB2312"/>
                <w:sz w:val="18"/>
                <w:szCs w:val="18"/>
              </w:rPr>
              <w:t>10</w:t>
            </w:r>
          </w:p>
        </w:tc>
        <w:tc>
          <w:tcPr>
            <w:tcW w:w="3262" w:type="dxa"/>
            <w:vAlign w:val="center"/>
          </w:tcPr>
          <w:p>
            <w:pPr>
              <w:rPr>
                <w:rFonts w:ascii="宋体" w:hAnsi="宋体"/>
                <w:b/>
                <w:bCs/>
                <w:sz w:val="18"/>
                <w:szCs w:val="18"/>
              </w:rPr>
            </w:pPr>
            <w:r>
              <w:rPr>
                <w:rFonts w:hint="eastAsia" w:ascii="宋体" w:hAnsi="宋体" w:cs="仿宋_GB2312"/>
                <w:sz w:val="18"/>
                <w:szCs w:val="18"/>
              </w:rPr>
              <w:t>连续暴露</w:t>
            </w:r>
          </w:p>
        </w:tc>
        <w:tc>
          <w:tcPr>
            <w:tcW w:w="1507" w:type="dxa"/>
            <w:vAlign w:val="center"/>
          </w:tcPr>
          <w:p>
            <w:pPr>
              <w:jc w:val="center"/>
              <w:rPr>
                <w:rFonts w:ascii="宋体" w:hAnsi="宋体"/>
                <w:b/>
                <w:bCs/>
                <w:sz w:val="18"/>
                <w:szCs w:val="18"/>
              </w:rPr>
            </w:pPr>
            <w:r>
              <w:rPr>
                <w:rFonts w:ascii="宋体" w:hAnsi="宋体" w:cs="仿宋_GB2312"/>
                <w:sz w:val="18"/>
                <w:szCs w:val="18"/>
              </w:rPr>
              <w:t>2</w:t>
            </w:r>
          </w:p>
        </w:tc>
        <w:tc>
          <w:tcPr>
            <w:tcW w:w="2816" w:type="dxa"/>
            <w:vAlign w:val="center"/>
          </w:tcPr>
          <w:p>
            <w:pPr>
              <w:jc w:val="left"/>
              <w:rPr>
                <w:rFonts w:ascii="宋体" w:hAnsi="宋体"/>
                <w:b/>
                <w:bCs/>
                <w:sz w:val="18"/>
                <w:szCs w:val="18"/>
              </w:rPr>
            </w:pPr>
            <w:r>
              <w:rPr>
                <w:rFonts w:hint="eastAsia" w:ascii="宋体" w:hAnsi="宋体" w:cs="仿宋_GB2312"/>
                <w:sz w:val="18"/>
                <w:szCs w:val="18"/>
              </w:rPr>
              <w:t>每月一次暴露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jc w:val="center"/>
              <w:rPr>
                <w:rFonts w:ascii="宋体" w:hAnsi="宋体"/>
                <w:b/>
                <w:bCs/>
                <w:sz w:val="18"/>
                <w:szCs w:val="18"/>
              </w:rPr>
            </w:pPr>
            <w:r>
              <w:rPr>
                <w:rFonts w:ascii="宋体" w:hAnsi="宋体" w:cs="仿宋_GB2312"/>
                <w:sz w:val="18"/>
                <w:szCs w:val="18"/>
              </w:rPr>
              <w:t>6</w:t>
            </w:r>
          </w:p>
        </w:tc>
        <w:tc>
          <w:tcPr>
            <w:tcW w:w="3262" w:type="dxa"/>
            <w:vAlign w:val="center"/>
          </w:tcPr>
          <w:p>
            <w:pPr>
              <w:rPr>
                <w:rFonts w:ascii="宋体" w:hAnsi="宋体"/>
                <w:b/>
                <w:bCs/>
                <w:sz w:val="18"/>
                <w:szCs w:val="18"/>
              </w:rPr>
            </w:pPr>
            <w:r>
              <w:rPr>
                <w:rFonts w:hint="eastAsia" w:ascii="宋体" w:hAnsi="宋体" w:cs="仿宋_GB2312"/>
                <w:sz w:val="18"/>
                <w:szCs w:val="18"/>
              </w:rPr>
              <w:t>每天工作时间内暴露</w:t>
            </w:r>
          </w:p>
        </w:tc>
        <w:tc>
          <w:tcPr>
            <w:tcW w:w="1507" w:type="dxa"/>
            <w:vAlign w:val="center"/>
          </w:tcPr>
          <w:p>
            <w:pPr>
              <w:jc w:val="center"/>
              <w:rPr>
                <w:rFonts w:ascii="宋体" w:hAnsi="宋体"/>
                <w:b/>
                <w:bCs/>
                <w:sz w:val="18"/>
                <w:szCs w:val="18"/>
              </w:rPr>
            </w:pPr>
            <w:r>
              <w:rPr>
                <w:rFonts w:ascii="宋体" w:hAnsi="宋体" w:cs="仿宋_GB2312"/>
                <w:sz w:val="18"/>
                <w:szCs w:val="18"/>
              </w:rPr>
              <w:t>1</w:t>
            </w:r>
          </w:p>
        </w:tc>
        <w:tc>
          <w:tcPr>
            <w:tcW w:w="2816" w:type="dxa"/>
            <w:vAlign w:val="center"/>
          </w:tcPr>
          <w:p>
            <w:pPr>
              <w:jc w:val="left"/>
              <w:rPr>
                <w:rFonts w:ascii="宋体" w:hAnsi="宋体"/>
                <w:b/>
                <w:bCs/>
                <w:sz w:val="18"/>
                <w:szCs w:val="18"/>
              </w:rPr>
            </w:pPr>
            <w:r>
              <w:rPr>
                <w:rFonts w:hint="eastAsia" w:ascii="宋体" w:hAnsi="宋体" w:cs="仿宋_GB2312"/>
                <w:sz w:val="18"/>
                <w:szCs w:val="18"/>
              </w:rPr>
              <w:t>每年几次暴露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jc w:val="center"/>
              <w:rPr>
                <w:rFonts w:ascii="宋体" w:hAnsi="宋体" w:cs="仿宋_GB2312"/>
                <w:sz w:val="18"/>
                <w:szCs w:val="18"/>
              </w:rPr>
            </w:pPr>
            <w:r>
              <w:rPr>
                <w:rFonts w:ascii="宋体" w:hAnsi="宋体" w:cs="仿宋_GB2312"/>
                <w:sz w:val="18"/>
                <w:szCs w:val="18"/>
              </w:rPr>
              <w:t>3</w:t>
            </w:r>
          </w:p>
        </w:tc>
        <w:tc>
          <w:tcPr>
            <w:tcW w:w="3262" w:type="dxa"/>
            <w:vAlign w:val="center"/>
          </w:tcPr>
          <w:p>
            <w:pPr>
              <w:rPr>
                <w:rFonts w:ascii="宋体" w:hAnsi="宋体"/>
                <w:sz w:val="18"/>
                <w:szCs w:val="18"/>
              </w:rPr>
            </w:pPr>
            <w:r>
              <w:rPr>
                <w:rFonts w:hint="eastAsia" w:ascii="宋体" w:hAnsi="宋体" w:cs="仿宋_GB2312"/>
                <w:sz w:val="18"/>
                <w:szCs w:val="18"/>
              </w:rPr>
              <w:t>每周一次或偶然暴露</w:t>
            </w:r>
          </w:p>
        </w:tc>
        <w:tc>
          <w:tcPr>
            <w:tcW w:w="1507" w:type="dxa"/>
            <w:vAlign w:val="center"/>
          </w:tcPr>
          <w:p>
            <w:pPr>
              <w:jc w:val="center"/>
              <w:rPr>
                <w:rFonts w:ascii="宋体" w:hAnsi="宋体" w:cs="仿宋_GB2312"/>
                <w:sz w:val="18"/>
                <w:szCs w:val="18"/>
              </w:rPr>
            </w:pPr>
            <w:r>
              <w:rPr>
                <w:rFonts w:ascii="宋体" w:hAnsi="宋体" w:cs="仿宋_GB2312"/>
                <w:sz w:val="18"/>
                <w:szCs w:val="18"/>
              </w:rPr>
              <w:t>0.5</w:t>
            </w:r>
          </w:p>
        </w:tc>
        <w:tc>
          <w:tcPr>
            <w:tcW w:w="2816" w:type="dxa"/>
            <w:vAlign w:val="center"/>
          </w:tcPr>
          <w:p>
            <w:pPr>
              <w:jc w:val="left"/>
              <w:rPr>
                <w:rFonts w:ascii="宋体" w:hAnsi="宋体"/>
                <w:sz w:val="18"/>
                <w:szCs w:val="18"/>
              </w:rPr>
            </w:pPr>
            <w:r>
              <w:rPr>
                <w:rFonts w:hint="eastAsia" w:ascii="宋体" w:hAnsi="宋体" w:cs="仿宋_GB2312"/>
                <w:sz w:val="18"/>
                <w:szCs w:val="18"/>
              </w:rPr>
              <w:t>非常罕见地暴露</w:t>
            </w:r>
          </w:p>
        </w:tc>
      </w:tr>
    </w:tbl>
    <w:p>
      <w:pPr>
        <w:pStyle w:val="18"/>
        <w:ind w:firstLine="0" w:firstLineChars="0"/>
      </w:pPr>
      <w:bookmarkStart w:id="790" w:name="_Toc479171785"/>
      <w:bookmarkStart w:id="791" w:name="_Toc479257330"/>
      <w:bookmarkStart w:id="792" w:name="_Toc479175372"/>
    </w:p>
    <w:p>
      <w:pPr>
        <w:pStyle w:val="18"/>
        <w:ind w:firstLine="0" w:firstLineChars="0"/>
      </w:pPr>
    </w:p>
    <w:p>
      <w:pPr>
        <w:pStyle w:val="18"/>
        <w:ind w:firstLine="0" w:firstLineChars="0"/>
      </w:pPr>
      <w:r>
        <w:rPr>
          <w:rFonts w:hint="eastAsia"/>
        </w:rPr>
        <w:br w:type="page"/>
      </w:r>
    </w:p>
    <w:p>
      <w:pPr>
        <w:pStyle w:val="18"/>
        <w:ind w:firstLine="0" w:firstLineChars="0"/>
      </w:pPr>
    </w:p>
    <w:p>
      <w:pPr>
        <w:pStyle w:val="18"/>
        <w:ind w:firstLine="0" w:firstLineChars="0"/>
      </w:pPr>
    </w:p>
    <w:p>
      <w:pPr>
        <w:pStyle w:val="17"/>
        <w:numPr>
          <w:ilvl w:val="1"/>
          <w:numId w:val="0"/>
        </w:numPr>
        <w:spacing w:before="156" w:after="156"/>
      </w:pPr>
      <w:bookmarkStart w:id="793" w:name="_Toc18179_WPSOffice_Level2"/>
      <w:r>
        <w:rPr>
          <w:rFonts w:hint="eastAsia"/>
        </w:rPr>
        <w:t>发生事故事件偏差产生的后果严重性（</w:t>
      </w:r>
      <w:r>
        <w:t>C</w:t>
      </w:r>
      <w:r>
        <w:rPr>
          <w:rFonts w:hint="eastAsia"/>
        </w:rPr>
        <w:t>）判别准则</w:t>
      </w:r>
      <w:bookmarkEnd w:id="790"/>
      <w:bookmarkEnd w:id="791"/>
      <w:bookmarkEnd w:id="792"/>
      <w:bookmarkEnd w:id="793"/>
    </w:p>
    <w:tbl>
      <w:tblPr>
        <w:tblStyle w:val="13"/>
        <w:tblW w:w="8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660"/>
        <w:gridCol w:w="2129"/>
        <w:gridCol w:w="1320"/>
        <w:gridCol w:w="851"/>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72" w:type="dxa"/>
            <w:vAlign w:val="center"/>
          </w:tcPr>
          <w:p>
            <w:pPr>
              <w:jc w:val="center"/>
              <w:rPr>
                <w:rFonts w:ascii="宋体" w:hAnsi="宋体"/>
                <w:b/>
                <w:bCs/>
                <w:sz w:val="18"/>
                <w:szCs w:val="18"/>
              </w:rPr>
            </w:pPr>
            <w:r>
              <w:rPr>
                <w:rFonts w:hint="eastAsia" w:ascii="宋体" w:hAnsi="宋体" w:cs="仿宋_GB2312"/>
                <w:b/>
                <w:bCs/>
                <w:sz w:val="18"/>
                <w:szCs w:val="18"/>
              </w:rPr>
              <w:t>分值</w:t>
            </w:r>
          </w:p>
        </w:tc>
        <w:tc>
          <w:tcPr>
            <w:tcW w:w="1660" w:type="dxa"/>
            <w:vAlign w:val="center"/>
          </w:tcPr>
          <w:p>
            <w:pPr>
              <w:jc w:val="center"/>
              <w:rPr>
                <w:rFonts w:ascii="宋体" w:hAnsi="宋体" w:cs="仿宋_GB2312"/>
                <w:b/>
                <w:bCs/>
                <w:sz w:val="18"/>
                <w:szCs w:val="18"/>
              </w:rPr>
            </w:pPr>
            <w:r>
              <w:rPr>
                <w:rFonts w:hint="eastAsia" w:ascii="宋体" w:hAnsi="宋体" w:cs="仿宋_GB2312"/>
                <w:b/>
                <w:bCs/>
                <w:sz w:val="18"/>
                <w:szCs w:val="18"/>
              </w:rPr>
              <w:t>法律法规</w:t>
            </w:r>
          </w:p>
          <w:p>
            <w:pPr>
              <w:jc w:val="center"/>
              <w:rPr>
                <w:rFonts w:ascii="宋体" w:hAnsi="宋体"/>
                <w:b/>
                <w:bCs/>
                <w:sz w:val="18"/>
                <w:szCs w:val="18"/>
              </w:rPr>
            </w:pPr>
            <w:r>
              <w:rPr>
                <w:rFonts w:hint="eastAsia" w:ascii="宋体" w:hAnsi="宋体" w:cs="仿宋_GB2312"/>
                <w:b/>
                <w:bCs/>
                <w:sz w:val="18"/>
                <w:szCs w:val="18"/>
              </w:rPr>
              <w:t>及其他要求</w:t>
            </w:r>
          </w:p>
        </w:tc>
        <w:tc>
          <w:tcPr>
            <w:tcW w:w="2129" w:type="dxa"/>
            <w:vAlign w:val="center"/>
          </w:tcPr>
          <w:p>
            <w:pPr>
              <w:jc w:val="center"/>
              <w:rPr>
                <w:rFonts w:ascii="宋体" w:hAnsi="宋体"/>
                <w:b/>
                <w:bCs/>
                <w:sz w:val="18"/>
                <w:szCs w:val="18"/>
              </w:rPr>
            </w:pPr>
            <w:r>
              <w:rPr>
                <w:rFonts w:hint="eastAsia" w:ascii="宋体" w:hAnsi="宋体" w:cs="仿宋_GB2312"/>
                <w:b/>
                <w:bCs/>
                <w:sz w:val="18"/>
                <w:szCs w:val="18"/>
              </w:rPr>
              <w:t>人员伤亡</w:t>
            </w:r>
          </w:p>
        </w:tc>
        <w:tc>
          <w:tcPr>
            <w:tcW w:w="1320" w:type="dxa"/>
            <w:vAlign w:val="center"/>
          </w:tcPr>
          <w:p>
            <w:pPr>
              <w:jc w:val="center"/>
              <w:rPr>
                <w:rFonts w:ascii="宋体" w:hAnsi="宋体"/>
                <w:b/>
                <w:bCs/>
                <w:sz w:val="18"/>
                <w:szCs w:val="18"/>
              </w:rPr>
            </w:pPr>
            <w:r>
              <w:rPr>
                <w:rFonts w:hint="eastAsia" w:ascii="宋体" w:hAnsi="宋体" w:cs="仿宋_GB2312"/>
                <w:b/>
                <w:bCs/>
                <w:sz w:val="18"/>
                <w:szCs w:val="18"/>
              </w:rPr>
              <w:t>直接经济损失</w:t>
            </w:r>
          </w:p>
          <w:p>
            <w:pPr>
              <w:jc w:val="center"/>
              <w:rPr>
                <w:rFonts w:ascii="宋体" w:hAnsi="宋体"/>
                <w:b/>
                <w:bCs/>
                <w:sz w:val="18"/>
                <w:szCs w:val="18"/>
              </w:rPr>
            </w:pPr>
            <w:r>
              <w:rPr>
                <w:rFonts w:hint="eastAsia" w:ascii="宋体" w:hAnsi="宋体" w:cs="仿宋_GB2312"/>
                <w:b/>
                <w:bCs/>
                <w:sz w:val="18"/>
                <w:szCs w:val="18"/>
              </w:rPr>
              <w:t>（万元）</w:t>
            </w:r>
          </w:p>
        </w:tc>
        <w:tc>
          <w:tcPr>
            <w:tcW w:w="851" w:type="dxa"/>
            <w:vAlign w:val="center"/>
          </w:tcPr>
          <w:p>
            <w:pPr>
              <w:jc w:val="center"/>
              <w:rPr>
                <w:rFonts w:ascii="宋体" w:hAnsi="宋体"/>
                <w:b/>
                <w:bCs/>
                <w:sz w:val="18"/>
                <w:szCs w:val="18"/>
              </w:rPr>
            </w:pPr>
            <w:r>
              <w:rPr>
                <w:rFonts w:hint="eastAsia" w:ascii="宋体" w:hAnsi="宋体" w:cs="仿宋_GB2312"/>
                <w:b/>
                <w:bCs/>
                <w:sz w:val="18"/>
                <w:szCs w:val="18"/>
              </w:rPr>
              <w:t>停工</w:t>
            </w:r>
          </w:p>
        </w:tc>
        <w:tc>
          <w:tcPr>
            <w:tcW w:w="1909" w:type="dxa"/>
            <w:vAlign w:val="center"/>
          </w:tcPr>
          <w:p>
            <w:pPr>
              <w:jc w:val="center"/>
              <w:rPr>
                <w:rFonts w:ascii="宋体" w:hAnsi="宋体"/>
                <w:b/>
                <w:bCs/>
                <w:sz w:val="18"/>
                <w:szCs w:val="18"/>
              </w:rPr>
            </w:pPr>
            <w:r>
              <w:rPr>
                <w:rFonts w:hint="eastAsia" w:ascii="宋体" w:hAnsi="宋体" w:cs="仿宋_GB2312"/>
                <w:b/>
                <w:bCs/>
                <w:sz w:val="18"/>
                <w:szCs w:val="18"/>
              </w:rPr>
              <w:t>公司形象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100</w:t>
            </w:r>
          </w:p>
        </w:tc>
        <w:tc>
          <w:tcPr>
            <w:tcW w:w="1660" w:type="dxa"/>
            <w:vAlign w:val="center"/>
          </w:tcPr>
          <w:p>
            <w:pPr>
              <w:rPr>
                <w:rFonts w:ascii="宋体" w:hAnsi="宋体"/>
                <w:sz w:val="18"/>
                <w:szCs w:val="18"/>
              </w:rPr>
            </w:pPr>
            <w:r>
              <w:rPr>
                <w:rFonts w:hint="eastAsia" w:ascii="宋体" w:hAnsi="宋体" w:cs="仿宋_GB2312"/>
                <w:sz w:val="18"/>
                <w:szCs w:val="18"/>
              </w:rPr>
              <w:t>严重违反法律法规和标准</w:t>
            </w:r>
          </w:p>
        </w:tc>
        <w:tc>
          <w:tcPr>
            <w:tcW w:w="2129" w:type="dxa"/>
            <w:vAlign w:val="center"/>
          </w:tcPr>
          <w:p>
            <w:pPr>
              <w:rPr>
                <w:rFonts w:ascii="宋体" w:hAnsi="宋体"/>
                <w:sz w:val="18"/>
                <w:szCs w:val="18"/>
              </w:rPr>
            </w:pPr>
            <w:r>
              <w:rPr>
                <w:rFonts w:hint="eastAsia" w:ascii="宋体" w:hAnsi="宋体" w:cs="仿宋_GB2312"/>
                <w:sz w:val="18"/>
                <w:szCs w:val="18"/>
              </w:rPr>
              <w:t>10人以上死亡，或50人以上重伤</w:t>
            </w:r>
          </w:p>
        </w:tc>
        <w:tc>
          <w:tcPr>
            <w:tcW w:w="1320" w:type="dxa"/>
            <w:vAlign w:val="center"/>
          </w:tcPr>
          <w:p>
            <w:pPr>
              <w:rPr>
                <w:rFonts w:ascii="宋体" w:hAnsi="宋体"/>
                <w:sz w:val="18"/>
                <w:szCs w:val="18"/>
              </w:rPr>
            </w:pPr>
            <w:r>
              <w:rPr>
                <w:rFonts w:hint="eastAsia" w:ascii="宋体" w:hAnsi="宋体" w:cs="仿宋_GB2312"/>
                <w:sz w:val="18"/>
                <w:szCs w:val="18"/>
              </w:rPr>
              <w:t>5000以上</w:t>
            </w:r>
          </w:p>
        </w:tc>
        <w:tc>
          <w:tcPr>
            <w:tcW w:w="851" w:type="dxa"/>
            <w:vAlign w:val="center"/>
          </w:tcPr>
          <w:p>
            <w:pPr>
              <w:jc w:val="center"/>
              <w:rPr>
                <w:rFonts w:ascii="宋体" w:hAnsi="宋体"/>
                <w:sz w:val="18"/>
                <w:szCs w:val="18"/>
              </w:rPr>
            </w:pPr>
            <w:r>
              <w:rPr>
                <w:rFonts w:hint="eastAsia" w:ascii="宋体" w:hAnsi="宋体" w:cs="仿宋_GB2312"/>
                <w:sz w:val="18"/>
                <w:szCs w:val="18"/>
              </w:rPr>
              <w:t>公司</w:t>
            </w:r>
          </w:p>
          <w:p>
            <w:pPr>
              <w:jc w:val="center"/>
              <w:rPr>
                <w:rFonts w:ascii="宋体" w:hAnsi="宋体"/>
                <w:sz w:val="18"/>
                <w:szCs w:val="18"/>
              </w:rPr>
            </w:pPr>
            <w:r>
              <w:rPr>
                <w:rFonts w:hint="eastAsia" w:ascii="宋体" w:hAnsi="宋体" w:cs="仿宋_GB2312"/>
                <w:sz w:val="18"/>
                <w:szCs w:val="18"/>
              </w:rPr>
              <w:t>停产</w:t>
            </w:r>
          </w:p>
        </w:tc>
        <w:tc>
          <w:tcPr>
            <w:tcW w:w="1909" w:type="dxa"/>
            <w:vAlign w:val="center"/>
          </w:tcPr>
          <w:p>
            <w:pPr>
              <w:rPr>
                <w:rFonts w:ascii="宋体" w:hAnsi="宋体"/>
                <w:sz w:val="18"/>
                <w:szCs w:val="18"/>
              </w:rPr>
            </w:pPr>
            <w:r>
              <w:rPr>
                <w:rFonts w:hint="eastAsia" w:ascii="宋体" w:hAnsi="宋体" w:cs="仿宋_GB2312"/>
                <w:sz w:val="18"/>
                <w:szCs w:val="18"/>
              </w:rPr>
              <w:t>重大国际、国内影响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40</w:t>
            </w:r>
          </w:p>
        </w:tc>
        <w:tc>
          <w:tcPr>
            <w:tcW w:w="1660" w:type="dxa"/>
            <w:vAlign w:val="center"/>
          </w:tcPr>
          <w:p>
            <w:pPr>
              <w:rPr>
                <w:rFonts w:ascii="宋体" w:hAnsi="宋体"/>
                <w:sz w:val="18"/>
                <w:szCs w:val="18"/>
              </w:rPr>
            </w:pPr>
            <w:r>
              <w:rPr>
                <w:rFonts w:hint="eastAsia" w:ascii="宋体" w:hAnsi="宋体" w:cs="仿宋_GB2312"/>
                <w:sz w:val="18"/>
                <w:szCs w:val="18"/>
              </w:rPr>
              <w:t>违反法律法规和标准</w:t>
            </w:r>
          </w:p>
        </w:tc>
        <w:tc>
          <w:tcPr>
            <w:tcW w:w="2129" w:type="dxa"/>
            <w:vAlign w:val="center"/>
          </w:tcPr>
          <w:p>
            <w:pPr>
              <w:rPr>
                <w:rFonts w:ascii="宋体" w:hAnsi="宋体"/>
                <w:sz w:val="18"/>
                <w:szCs w:val="18"/>
              </w:rPr>
            </w:pPr>
            <w:r>
              <w:rPr>
                <w:rFonts w:hint="eastAsia" w:ascii="宋体" w:hAnsi="宋体" w:cs="仿宋_GB2312"/>
                <w:sz w:val="18"/>
                <w:szCs w:val="18"/>
              </w:rPr>
              <w:t>3人以上10人以下死亡，或10人以上50人以下重伤</w:t>
            </w:r>
          </w:p>
        </w:tc>
        <w:tc>
          <w:tcPr>
            <w:tcW w:w="1320" w:type="dxa"/>
            <w:vAlign w:val="center"/>
          </w:tcPr>
          <w:p>
            <w:pPr>
              <w:rPr>
                <w:rFonts w:ascii="宋体" w:hAnsi="宋体"/>
                <w:sz w:val="18"/>
                <w:szCs w:val="18"/>
              </w:rPr>
            </w:pPr>
            <w:r>
              <w:rPr>
                <w:rFonts w:hint="eastAsia" w:ascii="宋体" w:hAnsi="宋体" w:cs="仿宋_GB2312"/>
                <w:sz w:val="18"/>
                <w:szCs w:val="18"/>
              </w:rPr>
              <w:t>1000以上</w:t>
            </w:r>
          </w:p>
        </w:tc>
        <w:tc>
          <w:tcPr>
            <w:tcW w:w="851" w:type="dxa"/>
            <w:vAlign w:val="center"/>
          </w:tcPr>
          <w:p>
            <w:pPr>
              <w:jc w:val="center"/>
              <w:rPr>
                <w:rFonts w:ascii="宋体" w:hAnsi="宋体"/>
                <w:sz w:val="18"/>
                <w:szCs w:val="18"/>
              </w:rPr>
            </w:pPr>
            <w:r>
              <w:rPr>
                <w:rFonts w:hint="eastAsia" w:ascii="宋体" w:hAnsi="宋体" w:cs="仿宋_GB2312"/>
                <w:sz w:val="18"/>
                <w:szCs w:val="18"/>
              </w:rPr>
              <w:t>装置</w:t>
            </w:r>
          </w:p>
          <w:p>
            <w:pPr>
              <w:jc w:val="center"/>
              <w:rPr>
                <w:rFonts w:ascii="宋体" w:hAnsi="宋体"/>
                <w:sz w:val="18"/>
                <w:szCs w:val="18"/>
              </w:rPr>
            </w:pPr>
            <w:r>
              <w:rPr>
                <w:rFonts w:hint="eastAsia" w:ascii="宋体" w:hAnsi="宋体" w:cs="仿宋_GB2312"/>
                <w:sz w:val="18"/>
                <w:szCs w:val="18"/>
              </w:rPr>
              <w:t>停工</w:t>
            </w:r>
          </w:p>
        </w:tc>
        <w:tc>
          <w:tcPr>
            <w:tcW w:w="1909" w:type="dxa"/>
            <w:vAlign w:val="center"/>
          </w:tcPr>
          <w:p>
            <w:pPr>
              <w:rPr>
                <w:rFonts w:ascii="宋体" w:hAnsi="宋体"/>
                <w:sz w:val="18"/>
                <w:szCs w:val="18"/>
              </w:rPr>
            </w:pPr>
            <w:r>
              <w:rPr>
                <w:rFonts w:hint="eastAsia" w:ascii="宋体" w:hAnsi="宋体" w:cs="仿宋_GB2312"/>
                <w:sz w:val="18"/>
                <w:szCs w:val="18"/>
              </w:rPr>
              <w:t>行业内、省内影响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15</w:t>
            </w:r>
          </w:p>
        </w:tc>
        <w:tc>
          <w:tcPr>
            <w:tcW w:w="1660" w:type="dxa"/>
            <w:vAlign w:val="center"/>
          </w:tcPr>
          <w:p>
            <w:pPr>
              <w:rPr>
                <w:rFonts w:ascii="宋体" w:hAnsi="宋体"/>
                <w:sz w:val="18"/>
                <w:szCs w:val="18"/>
              </w:rPr>
            </w:pPr>
            <w:r>
              <w:rPr>
                <w:rFonts w:hint="eastAsia" w:ascii="宋体" w:hAnsi="宋体" w:cs="仿宋_GB2312"/>
                <w:sz w:val="18"/>
                <w:szCs w:val="18"/>
              </w:rPr>
              <w:t>潜在违反法规和标准</w:t>
            </w:r>
          </w:p>
        </w:tc>
        <w:tc>
          <w:tcPr>
            <w:tcW w:w="2129" w:type="dxa"/>
            <w:vAlign w:val="center"/>
          </w:tcPr>
          <w:p>
            <w:pPr>
              <w:rPr>
                <w:rFonts w:ascii="宋体" w:hAnsi="宋体"/>
                <w:sz w:val="18"/>
                <w:szCs w:val="18"/>
              </w:rPr>
            </w:pPr>
            <w:r>
              <w:rPr>
                <w:rFonts w:hint="eastAsia" w:ascii="宋体" w:hAnsi="宋体" w:cs="仿宋_GB2312"/>
                <w:sz w:val="18"/>
                <w:szCs w:val="18"/>
              </w:rPr>
              <w:t>3人以下死亡，或10人以下重伤</w:t>
            </w:r>
          </w:p>
        </w:tc>
        <w:tc>
          <w:tcPr>
            <w:tcW w:w="1320" w:type="dxa"/>
            <w:vAlign w:val="center"/>
          </w:tcPr>
          <w:p>
            <w:pPr>
              <w:rPr>
                <w:rFonts w:ascii="宋体" w:hAnsi="宋体"/>
                <w:sz w:val="18"/>
                <w:szCs w:val="18"/>
              </w:rPr>
            </w:pPr>
            <w:r>
              <w:rPr>
                <w:rFonts w:hint="eastAsia" w:ascii="宋体" w:hAnsi="宋体" w:cs="仿宋_GB2312"/>
                <w:sz w:val="18"/>
                <w:szCs w:val="18"/>
              </w:rPr>
              <w:t>100以上</w:t>
            </w:r>
          </w:p>
        </w:tc>
        <w:tc>
          <w:tcPr>
            <w:tcW w:w="851" w:type="dxa"/>
            <w:vAlign w:val="center"/>
          </w:tcPr>
          <w:p>
            <w:pPr>
              <w:jc w:val="center"/>
              <w:rPr>
                <w:rFonts w:ascii="宋体" w:hAnsi="宋体"/>
                <w:sz w:val="18"/>
                <w:szCs w:val="18"/>
              </w:rPr>
            </w:pPr>
            <w:r>
              <w:rPr>
                <w:rFonts w:hint="eastAsia" w:ascii="宋体" w:hAnsi="宋体" w:cs="仿宋_GB2312"/>
                <w:sz w:val="18"/>
                <w:szCs w:val="18"/>
              </w:rPr>
              <w:t>部分装置停工</w:t>
            </w:r>
          </w:p>
        </w:tc>
        <w:tc>
          <w:tcPr>
            <w:tcW w:w="1909" w:type="dxa"/>
            <w:vAlign w:val="center"/>
          </w:tcPr>
          <w:p>
            <w:pPr>
              <w:rPr>
                <w:rFonts w:ascii="宋体" w:hAnsi="宋体"/>
                <w:sz w:val="18"/>
                <w:szCs w:val="18"/>
              </w:rPr>
            </w:pPr>
            <w:r>
              <w:rPr>
                <w:rFonts w:hint="eastAsia" w:ascii="宋体" w:hAnsi="宋体" w:cs="仿宋_GB2312"/>
                <w:sz w:val="18"/>
                <w:szCs w:val="18"/>
              </w:rPr>
              <w:t>地区影响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7</w:t>
            </w:r>
          </w:p>
        </w:tc>
        <w:tc>
          <w:tcPr>
            <w:tcW w:w="1660" w:type="dxa"/>
            <w:vAlign w:val="center"/>
          </w:tcPr>
          <w:p>
            <w:pPr>
              <w:rPr>
                <w:rFonts w:ascii="宋体" w:hAnsi="宋体"/>
                <w:sz w:val="18"/>
                <w:szCs w:val="18"/>
              </w:rPr>
            </w:pPr>
            <w:r>
              <w:rPr>
                <w:rFonts w:hint="eastAsia" w:ascii="宋体" w:hAnsi="宋体" w:cs="仿宋_GB2312"/>
                <w:sz w:val="18"/>
                <w:szCs w:val="18"/>
              </w:rPr>
              <w:t>不符合上级或行业的安全方针、制度、规定等</w:t>
            </w:r>
          </w:p>
        </w:tc>
        <w:tc>
          <w:tcPr>
            <w:tcW w:w="2129" w:type="dxa"/>
            <w:vAlign w:val="center"/>
          </w:tcPr>
          <w:p>
            <w:pPr>
              <w:rPr>
                <w:rFonts w:ascii="宋体" w:hAnsi="宋体"/>
                <w:sz w:val="18"/>
                <w:szCs w:val="18"/>
              </w:rPr>
            </w:pPr>
            <w:r>
              <w:rPr>
                <w:rFonts w:hint="eastAsia" w:ascii="宋体" w:hAnsi="宋体" w:cs="仿宋_GB2312"/>
                <w:sz w:val="18"/>
                <w:szCs w:val="18"/>
              </w:rPr>
              <w:t>丧失劳动力、截肢、骨折、听力丧失、慢性病</w:t>
            </w:r>
          </w:p>
        </w:tc>
        <w:tc>
          <w:tcPr>
            <w:tcW w:w="1320" w:type="dxa"/>
            <w:vAlign w:val="center"/>
          </w:tcPr>
          <w:p>
            <w:pPr>
              <w:rPr>
                <w:rFonts w:ascii="宋体" w:hAnsi="宋体"/>
                <w:sz w:val="18"/>
                <w:szCs w:val="18"/>
              </w:rPr>
            </w:pPr>
            <w:r>
              <w:rPr>
                <w:rFonts w:hint="eastAsia" w:ascii="宋体" w:hAnsi="宋体" w:cs="仿宋_GB2312"/>
                <w:sz w:val="18"/>
                <w:szCs w:val="18"/>
              </w:rPr>
              <w:t>10万以上</w:t>
            </w:r>
          </w:p>
        </w:tc>
        <w:tc>
          <w:tcPr>
            <w:tcW w:w="851" w:type="dxa"/>
            <w:vAlign w:val="center"/>
          </w:tcPr>
          <w:p>
            <w:pPr>
              <w:jc w:val="center"/>
              <w:rPr>
                <w:rFonts w:ascii="宋体" w:hAnsi="宋体"/>
                <w:sz w:val="18"/>
                <w:szCs w:val="18"/>
              </w:rPr>
            </w:pPr>
            <w:r>
              <w:rPr>
                <w:rFonts w:hint="eastAsia" w:ascii="宋体" w:hAnsi="宋体" w:cs="仿宋_GB2312"/>
                <w:sz w:val="18"/>
                <w:szCs w:val="18"/>
              </w:rPr>
              <w:t>部分设备停工</w:t>
            </w:r>
          </w:p>
        </w:tc>
        <w:tc>
          <w:tcPr>
            <w:tcW w:w="1909" w:type="dxa"/>
            <w:vAlign w:val="center"/>
          </w:tcPr>
          <w:p>
            <w:pPr>
              <w:rPr>
                <w:rFonts w:ascii="宋体" w:hAnsi="宋体"/>
                <w:sz w:val="18"/>
                <w:szCs w:val="18"/>
              </w:rPr>
            </w:pPr>
            <w:r>
              <w:rPr>
                <w:rFonts w:hint="eastAsia" w:ascii="宋体" w:hAnsi="宋体" w:cs="仿宋_GB2312"/>
                <w:sz w:val="18"/>
                <w:szCs w:val="18"/>
              </w:rPr>
              <w:t>公司及周边范围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2</w:t>
            </w:r>
          </w:p>
        </w:tc>
        <w:tc>
          <w:tcPr>
            <w:tcW w:w="1660" w:type="dxa"/>
            <w:vAlign w:val="center"/>
          </w:tcPr>
          <w:p>
            <w:pPr>
              <w:rPr>
                <w:rFonts w:ascii="宋体" w:hAnsi="宋体"/>
                <w:sz w:val="18"/>
                <w:szCs w:val="18"/>
              </w:rPr>
            </w:pPr>
            <w:r>
              <w:rPr>
                <w:rFonts w:hint="eastAsia" w:ascii="宋体" w:hAnsi="宋体" w:cs="仿宋_GB2312"/>
                <w:sz w:val="18"/>
                <w:szCs w:val="18"/>
              </w:rPr>
              <w:t>不符合公司的安全操作程序、规定</w:t>
            </w:r>
          </w:p>
        </w:tc>
        <w:tc>
          <w:tcPr>
            <w:tcW w:w="2129" w:type="dxa"/>
            <w:vAlign w:val="center"/>
          </w:tcPr>
          <w:p>
            <w:pPr>
              <w:rPr>
                <w:rFonts w:ascii="宋体" w:hAnsi="宋体"/>
                <w:sz w:val="18"/>
                <w:szCs w:val="18"/>
              </w:rPr>
            </w:pPr>
            <w:r>
              <w:rPr>
                <w:rFonts w:hint="eastAsia" w:ascii="宋体" w:hAnsi="宋体" w:cs="仿宋_GB2312"/>
                <w:sz w:val="18"/>
                <w:szCs w:val="18"/>
              </w:rPr>
              <w:t>轻微受伤、间歇不舒服</w:t>
            </w:r>
          </w:p>
        </w:tc>
        <w:tc>
          <w:tcPr>
            <w:tcW w:w="1320" w:type="dxa"/>
            <w:vAlign w:val="center"/>
          </w:tcPr>
          <w:p>
            <w:pPr>
              <w:rPr>
                <w:rFonts w:ascii="宋体" w:hAnsi="宋体"/>
                <w:sz w:val="18"/>
                <w:szCs w:val="18"/>
              </w:rPr>
            </w:pPr>
            <w:r>
              <w:rPr>
                <w:rFonts w:hint="eastAsia" w:ascii="宋体" w:hAnsi="宋体" w:cs="仿宋_GB2312"/>
                <w:sz w:val="18"/>
                <w:szCs w:val="18"/>
              </w:rPr>
              <w:t>1万以上</w:t>
            </w:r>
          </w:p>
        </w:tc>
        <w:tc>
          <w:tcPr>
            <w:tcW w:w="851" w:type="dxa"/>
            <w:vAlign w:val="center"/>
          </w:tcPr>
          <w:p>
            <w:pPr>
              <w:jc w:val="center"/>
              <w:rPr>
                <w:rFonts w:ascii="宋体" w:hAnsi="宋体"/>
                <w:sz w:val="18"/>
                <w:szCs w:val="18"/>
              </w:rPr>
            </w:pPr>
            <w:r>
              <w:rPr>
                <w:rFonts w:hint="eastAsia" w:ascii="宋体" w:hAnsi="宋体" w:cs="仿宋_GB2312"/>
                <w:sz w:val="18"/>
                <w:szCs w:val="18"/>
              </w:rPr>
              <w:t>1套设备停工</w:t>
            </w:r>
          </w:p>
        </w:tc>
        <w:tc>
          <w:tcPr>
            <w:tcW w:w="1909" w:type="dxa"/>
            <w:vAlign w:val="center"/>
          </w:tcPr>
          <w:p>
            <w:pPr>
              <w:rPr>
                <w:rFonts w:ascii="宋体" w:hAnsi="宋体"/>
                <w:sz w:val="18"/>
                <w:szCs w:val="18"/>
              </w:rPr>
            </w:pPr>
            <w:r>
              <w:rPr>
                <w:rFonts w:hint="eastAsia" w:ascii="宋体" w:hAnsi="宋体" w:cs="仿宋_GB2312"/>
                <w:sz w:val="18"/>
                <w:szCs w:val="18"/>
              </w:rPr>
              <w:t>引人关注，不利于基本的安全卫生要求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1</w:t>
            </w:r>
          </w:p>
        </w:tc>
        <w:tc>
          <w:tcPr>
            <w:tcW w:w="1660" w:type="dxa"/>
            <w:vAlign w:val="center"/>
          </w:tcPr>
          <w:p>
            <w:pPr>
              <w:rPr>
                <w:rFonts w:ascii="宋体" w:hAnsi="宋体"/>
                <w:sz w:val="18"/>
                <w:szCs w:val="18"/>
              </w:rPr>
            </w:pPr>
            <w:r>
              <w:rPr>
                <w:rFonts w:hint="eastAsia" w:ascii="宋体" w:hAnsi="宋体" w:cs="仿宋_GB2312"/>
                <w:sz w:val="18"/>
                <w:szCs w:val="18"/>
              </w:rPr>
              <w:t>完全符合</w:t>
            </w:r>
          </w:p>
        </w:tc>
        <w:tc>
          <w:tcPr>
            <w:tcW w:w="2129" w:type="dxa"/>
            <w:vAlign w:val="center"/>
          </w:tcPr>
          <w:p>
            <w:pPr>
              <w:rPr>
                <w:rFonts w:ascii="宋体" w:hAnsi="宋体"/>
                <w:sz w:val="18"/>
                <w:szCs w:val="18"/>
              </w:rPr>
            </w:pPr>
            <w:r>
              <w:rPr>
                <w:rFonts w:hint="eastAsia" w:ascii="宋体" w:hAnsi="宋体" w:cs="仿宋_GB2312"/>
                <w:sz w:val="18"/>
                <w:szCs w:val="18"/>
              </w:rPr>
              <w:t>无伤亡</w:t>
            </w:r>
          </w:p>
        </w:tc>
        <w:tc>
          <w:tcPr>
            <w:tcW w:w="1320" w:type="dxa"/>
            <w:vAlign w:val="center"/>
          </w:tcPr>
          <w:p>
            <w:pPr>
              <w:rPr>
                <w:rFonts w:ascii="宋体" w:hAnsi="宋体"/>
                <w:sz w:val="18"/>
                <w:szCs w:val="18"/>
              </w:rPr>
            </w:pPr>
            <w:r>
              <w:rPr>
                <w:rFonts w:hint="eastAsia" w:ascii="宋体" w:hAnsi="宋体" w:cs="仿宋_GB2312"/>
                <w:sz w:val="18"/>
                <w:szCs w:val="18"/>
              </w:rPr>
              <w:t>1万以下</w:t>
            </w:r>
          </w:p>
        </w:tc>
        <w:tc>
          <w:tcPr>
            <w:tcW w:w="851" w:type="dxa"/>
            <w:vAlign w:val="center"/>
          </w:tcPr>
          <w:p>
            <w:pPr>
              <w:jc w:val="center"/>
              <w:rPr>
                <w:rFonts w:ascii="宋体" w:hAnsi="宋体"/>
                <w:sz w:val="18"/>
                <w:szCs w:val="18"/>
              </w:rPr>
            </w:pPr>
            <w:r>
              <w:rPr>
                <w:rFonts w:hint="eastAsia" w:ascii="宋体" w:hAnsi="宋体" w:cs="仿宋_GB2312"/>
                <w:sz w:val="18"/>
                <w:szCs w:val="18"/>
              </w:rPr>
              <w:t>没有</w:t>
            </w:r>
          </w:p>
          <w:p>
            <w:pPr>
              <w:jc w:val="center"/>
              <w:rPr>
                <w:rFonts w:ascii="宋体" w:hAnsi="宋体"/>
                <w:sz w:val="18"/>
                <w:szCs w:val="18"/>
              </w:rPr>
            </w:pPr>
            <w:r>
              <w:rPr>
                <w:rFonts w:hint="eastAsia" w:ascii="宋体" w:hAnsi="宋体" w:cs="仿宋_GB2312"/>
                <w:sz w:val="18"/>
                <w:szCs w:val="18"/>
              </w:rPr>
              <w:t>停工</w:t>
            </w:r>
          </w:p>
        </w:tc>
        <w:tc>
          <w:tcPr>
            <w:tcW w:w="1909" w:type="dxa"/>
            <w:vAlign w:val="center"/>
          </w:tcPr>
          <w:p>
            <w:pPr>
              <w:rPr>
                <w:rFonts w:ascii="宋体" w:hAnsi="宋体"/>
                <w:sz w:val="18"/>
                <w:szCs w:val="18"/>
              </w:rPr>
            </w:pPr>
            <w:r>
              <w:rPr>
                <w:rFonts w:hint="eastAsia" w:ascii="宋体" w:hAnsi="宋体" w:cs="仿宋_GB2312"/>
                <w:sz w:val="18"/>
                <w:szCs w:val="18"/>
              </w:rPr>
              <w:t>形象没有受损</w:t>
            </w:r>
          </w:p>
        </w:tc>
      </w:tr>
    </w:tbl>
    <w:p>
      <w:pPr>
        <w:jc w:val="center"/>
        <w:rPr>
          <w:rFonts w:ascii="宋体" w:hAnsi="宋体" w:cs="仿宋_GB2312"/>
          <w:b/>
          <w:bCs/>
          <w:sz w:val="24"/>
        </w:rPr>
      </w:pPr>
    </w:p>
    <w:p>
      <w:pPr>
        <w:pStyle w:val="17"/>
        <w:numPr>
          <w:ilvl w:val="1"/>
          <w:numId w:val="0"/>
        </w:numPr>
        <w:spacing w:before="156" w:after="156"/>
      </w:pPr>
      <w:bookmarkStart w:id="794" w:name="_Toc479257331"/>
      <w:bookmarkStart w:id="795" w:name="_Toc479171786"/>
      <w:bookmarkStart w:id="796" w:name="_Toc479175373"/>
      <w:bookmarkStart w:id="797" w:name="_Toc24641_WPSOffice_Level2"/>
      <w:r>
        <w:rPr>
          <w:rFonts w:hint="eastAsia"/>
        </w:rPr>
        <w:t>风险等级判定准则及控制措施（</w:t>
      </w:r>
      <w:r>
        <w:t>D</w:t>
      </w:r>
      <w:r>
        <w:rPr>
          <w:rFonts w:hint="eastAsia"/>
        </w:rPr>
        <w:t>）</w:t>
      </w:r>
      <w:bookmarkEnd w:id="794"/>
      <w:bookmarkEnd w:id="795"/>
      <w:bookmarkEnd w:id="796"/>
      <w:bookmarkEnd w:id="797"/>
    </w:p>
    <w:tbl>
      <w:tblPr>
        <w:tblStyle w:val="13"/>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96"/>
        <w:gridCol w:w="1134"/>
        <w:gridCol w:w="3980"/>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343" w:type="dxa"/>
            <w:tcBorders>
              <w:bottom w:val="single" w:color="auto" w:sz="4" w:space="0"/>
            </w:tcBorders>
            <w:vAlign w:val="center"/>
          </w:tcPr>
          <w:p>
            <w:pPr>
              <w:jc w:val="center"/>
              <w:rPr>
                <w:rFonts w:ascii="宋体" w:hAnsi="宋体"/>
                <w:b/>
                <w:bCs/>
                <w:spacing w:val="20"/>
                <w:sz w:val="18"/>
                <w:szCs w:val="18"/>
              </w:rPr>
            </w:pPr>
            <w:r>
              <w:rPr>
                <w:rFonts w:hint="eastAsia" w:ascii="宋体" w:hAnsi="宋体" w:cs="仿宋_GB2312"/>
                <w:b/>
                <w:bCs/>
                <w:spacing w:val="20"/>
                <w:sz w:val="18"/>
                <w:szCs w:val="18"/>
              </w:rPr>
              <w:t>风险值</w:t>
            </w:r>
          </w:p>
        </w:tc>
        <w:tc>
          <w:tcPr>
            <w:tcW w:w="1830" w:type="dxa"/>
            <w:gridSpan w:val="2"/>
          </w:tcPr>
          <w:p>
            <w:pPr>
              <w:jc w:val="center"/>
              <w:rPr>
                <w:rFonts w:ascii="宋体" w:hAnsi="宋体"/>
                <w:b/>
                <w:bCs/>
                <w:spacing w:val="20"/>
                <w:sz w:val="18"/>
                <w:szCs w:val="18"/>
              </w:rPr>
            </w:pPr>
            <w:r>
              <w:rPr>
                <w:rFonts w:hint="eastAsia" w:ascii="宋体" w:hAnsi="宋体" w:cs="仿宋_GB2312"/>
                <w:b/>
                <w:bCs/>
                <w:spacing w:val="20"/>
                <w:sz w:val="18"/>
                <w:szCs w:val="18"/>
              </w:rPr>
              <w:t>风险等级</w:t>
            </w:r>
          </w:p>
        </w:tc>
        <w:tc>
          <w:tcPr>
            <w:tcW w:w="3980" w:type="dxa"/>
            <w:vAlign w:val="center"/>
          </w:tcPr>
          <w:p>
            <w:pPr>
              <w:jc w:val="center"/>
              <w:rPr>
                <w:rFonts w:ascii="宋体" w:hAnsi="宋体"/>
                <w:b/>
                <w:bCs/>
                <w:spacing w:val="20"/>
                <w:sz w:val="18"/>
                <w:szCs w:val="18"/>
              </w:rPr>
            </w:pPr>
            <w:r>
              <w:rPr>
                <w:rFonts w:hint="eastAsia" w:ascii="宋体" w:hAnsi="宋体" w:cs="仿宋_GB2312"/>
                <w:b/>
                <w:bCs/>
                <w:spacing w:val="20"/>
                <w:sz w:val="18"/>
                <w:szCs w:val="18"/>
              </w:rPr>
              <w:t>应采取的行动</w:t>
            </w:r>
            <w:r>
              <w:rPr>
                <w:rFonts w:ascii="宋体" w:hAnsi="宋体" w:cs="仿宋_GB2312"/>
                <w:b/>
                <w:bCs/>
                <w:spacing w:val="20"/>
                <w:sz w:val="18"/>
                <w:szCs w:val="18"/>
              </w:rPr>
              <w:t>/</w:t>
            </w:r>
            <w:r>
              <w:rPr>
                <w:rFonts w:hint="eastAsia" w:ascii="宋体" w:hAnsi="宋体" w:cs="仿宋_GB2312"/>
                <w:b/>
                <w:bCs/>
                <w:spacing w:val="20"/>
                <w:sz w:val="18"/>
                <w:szCs w:val="18"/>
              </w:rPr>
              <w:t>控制措施</w:t>
            </w:r>
          </w:p>
        </w:tc>
        <w:tc>
          <w:tcPr>
            <w:tcW w:w="1458" w:type="dxa"/>
            <w:vAlign w:val="center"/>
          </w:tcPr>
          <w:p>
            <w:pPr>
              <w:jc w:val="center"/>
              <w:rPr>
                <w:rFonts w:ascii="宋体" w:hAnsi="宋体"/>
                <w:b/>
                <w:bCs/>
                <w:spacing w:val="20"/>
                <w:sz w:val="18"/>
                <w:szCs w:val="18"/>
              </w:rPr>
            </w:pPr>
            <w:r>
              <w:rPr>
                <w:rFonts w:hint="eastAsia" w:ascii="宋体" w:hAnsi="宋体" w:cs="仿宋_GB2312"/>
                <w:b/>
                <w:bCs/>
                <w:spacing w:val="20"/>
                <w:sz w:val="18"/>
                <w:szCs w:val="18"/>
              </w:rPr>
              <w:t>实施期限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343" w:type="dxa"/>
            <w:tcBorders>
              <w:bottom w:val="single" w:color="auto" w:sz="4" w:space="0"/>
            </w:tcBorders>
            <w:shd w:val="clear" w:color="auto" w:fill="FFFFFF"/>
            <w:vAlign w:val="center"/>
          </w:tcPr>
          <w:p>
            <w:pPr>
              <w:jc w:val="center"/>
              <w:rPr>
                <w:rFonts w:ascii="宋体" w:hAnsi="宋体" w:cs="仿宋_GB2312"/>
                <w:b/>
                <w:bCs/>
                <w:spacing w:val="20"/>
                <w:sz w:val="18"/>
                <w:szCs w:val="18"/>
              </w:rPr>
            </w:pPr>
            <w:r>
              <w:rPr>
                <w:rFonts w:ascii="宋体" w:hAnsi="宋体" w:cs="仿宋_GB2312"/>
                <w:b/>
                <w:bCs/>
                <w:sz w:val="18"/>
                <w:szCs w:val="18"/>
              </w:rPr>
              <w:t>&gt;</w:t>
            </w:r>
            <w:r>
              <w:rPr>
                <w:rFonts w:ascii="宋体" w:hAnsi="宋体" w:cs="仿宋_GB2312"/>
                <w:b/>
                <w:bCs/>
                <w:spacing w:val="20"/>
                <w:sz w:val="18"/>
                <w:szCs w:val="18"/>
              </w:rPr>
              <w:t>320</w:t>
            </w:r>
          </w:p>
        </w:tc>
        <w:tc>
          <w:tcPr>
            <w:tcW w:w="696" w:type="dxa"/>
            <w:vAlign w:val="center"/>
          </w:tcPr>
          <w:p>
            <w:pPr>
              <w:rPr>
                <w:rFonts w:ascii="宋体" w:hAnsi="宋体" w:cs="仿宋_GB2312"/>
                <w:sz w:val="18"/>
                <w:szCs w:val="18"/>
              </w:rPr>
            </w:pPr>
            <w:r>
              <w:rPr>
                <w:rFonts w:hint="eastAsia" w:ascii="宋体" w:hAnsi="宋体" w:cs="仿宋_GB2312"/>
                <w:sz w:val="18"/>
                <w:szCs w:val="18"/>
              </w:rPr>
              <w:t>A/</w:t>
            </w:r>
            <w:r>
              <w:rPr>
                <w:rFonts w:ascii="宋体" w:hAnsi="宋体" w:cs="仿宋_GB2312"/>
                <w:sz w:val="18"/>
                <w:szCs w:val="18"/>
              </w:rPr>
              <w:t>1</w:t>
            </w:r>
            <w:r>
              <w:rPr>
                <w:rFonts w:hint="eastAsia" w:ascii="宋体" w:hAnsi="宋体" w:cs="仿宋_GB2312"/>
                <w:sz w:val="18"/>
                <w:szCs w:val="18"/>
              </w:rPr>
              <w:t>级</w:t>
            </w:r>
          </w:p>
        </w:tc>
        <w:tc>
          <w:tcPr>
            <w:tcW w:w="1134" w:type="dxa"/>
            <w:vAlign w:val="center"/>
          </w:tcPr>
          <w:p>
            <w:pPr>
              <w:rPr>
                <w:rFonts w:ascii="宋体" w:hAnsi="宋体" w:cs="仿宋_GB2312"/>
                <w:sz w:val="18"/>
                <w:szCs w:val="18"/>
              </w:rPr>
            </w:pPr>
            <w:r>
              <w:rPr>
                <w:rFonts w:hint="eastAsia" w:ascii="宋体" w:hAnsi="宋体" w:cs="仿宋_GB2312"/>
                <w:sz w:val="18"/>
                <w:szCs w:val="18"/>
              </w:rPr>
              <w:t>极其危险</w:t>
            </w:r>
          </w:p>
        </w:tc>
        <w:tc>
          <w:tcPr>
            <w:tcW w:w="3980" w:type="dxa"/>
            <w:vAlign w:val="center"/>
          </w:tcPr>
          <w:p>
            <w:pPr>
              <w:rPr>
                <w:rFonts w:ascii="宋体" w:hAnsi="宋体" w:cs="仿宋_GB2312"/>
                <w:sz w:val="18"/>
                <w:szCs w:val="18"/>
              </w:rPr>
            </w:pPr>
            <w:r>
              <w:rPr>
                <w:rFonts w:hint="eastAsia" w:ascii="宋体" w:hAnsi="宋体" w:cs="仿宋_GB2312"/>
                <w:sz w:val="18"/>
                <w:szCs w:val="18"/>
              </w:rPr>
              <w:t>在采取措施降低危害前</w:t>
            </w:r>
            <w:r>
              <w:rPr>
                <w:rFonts w:ascii="宋体" w:hAnsi="宋体" w:cs="仿宋_GB2312"/>
                <w:sz w:val="18"/>
                <w:szCs w:val="18"/>
              </w:rPr>
              <w:t>,</w:t>
            </w:r>
            <w:r>
              <w:rPr>
                <w:rFonts w:hint="eastAsia" w:ascii="宋体" w:hAnsi="宋体" w:cs="仿宋_GB2312"/>
                <w:sz w:val="18"/>
                <w:szCs w:val="18"/>
              </w:rPr>
              <w:t>不能继续作业</w:t>
            </w:r>
            <w:r>
              <w:rPr>
                <w:rFonts w:ascii="宋体" w:hAnsi="宋体" w:cs="仿宋_GB2312"/>
                <w:sz w:val="18"/>
                <w:szCs w:val="18"/>
              </w:rPr>
              <w:t>,</w:t>
            </w:r>
            <w:r>
              <w:rPr>
                <w:rFonts w:hint="eastAsia" w:ascii="宋体" w:hAnsi="宋体" w:cs="仿宋_GB2312"/>
                <w:sz w:val="18"/>
                <w:szCs w:val="18"/>
              </w:rPr>
              <w:t>对改进措施进行评估</w:t>
            </w:r>
          </w:p>
        </w:tc>
        <w:tc>
          <w:tcPr>
            <w:tcW w:w="1458" w:type="dxa"/>
            <w:vAlign w:val="center"/>
          </w:tcPr>
          <w:p>
            <w:pPr>
              <w:rPr>
                <w:rFonts w:ascii="宋体" w:hAnsi="宋体" w:cs="仿宋_GB2312"/>
                <w:sz w:val="18"/>
                <w:szCs w:val="18"/>
              </w:rPr>
            </w:pPr>
            <w:r>
              <w:rPr>
                <w:rFonts w:hint="eastAsia" w:ascii="宋体" w:hAnsi="宋体" w:cs="仿宋_GB2312"/>
                <w:sz w:val="18"/>
                <w:szCs w:val="18"/>
              </w:rPr>
              <w:t>立刻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43" w:type="dxa"/>
            <w:tcBorders>
              <w:bottom w:val="single" w:color="auto" w:sz="4" w:space="0"/>
            </w:tcBorders>
            <w:shd w:val="clear" w:color="auto" w:fill="FFFFFF"/>
            <w:vAlign w:val="center"/>
          </w:tcPr>
          <w:p>
            <w:pPr>
              <w:jc w:val="center"/>
              <w:rPr>
                <w:rFonts w:ascii="宋体" w:hAnsi="宋体"/>
                <w:b/>
                <w:bCs/>
                <w:spacing w:val="20"/>
                <w:sz w:val="18"/>
                <w:szCs w:val="18"/>
              </w:rPr>
            </w:pPr>
            <w:r>
              <w:rPr>
                <w:rFonts w:ascii="宋体" w:hAnsi="宋体" w:cs="仿宋_GB2312"/>
                <w:b/>
                <w:bCs/>
                <w:sz w:val="18"/>
                <w:szCs w:val="18"/>
              </w:rPr>
              <w:t>160</w:t>
            </w:r>
            <w:r>
              <w:rPr>
                <w:rFonts w:hint="eastAsia" w:ascii="宋体" w:hAnsi="宋体" w:cs="仿宋_GB2312"/>
                <w:b/>
                <w:bCs/>
                <w:sz w:val="18"/>
                <w:szCs w:val="18"/>
              </w:rPr>
              <w:t>～</w:t>
            </w:r>
            <w:r>
              <w:rPr>
                <w:rFonts w:ascii="宋体" w:hAnsi="宋体" w:cs="仿宋_GB2312"/>
                <w:b/>
                <w:bCs/>
                <w:sz w:val="18"/>
                <w:szCs w:val="18"/>
              </w:rPr>
              <w:t>320</w:t>
            </w:r>
          </w:p>
        </w:tc>
        <w:tc>
          <w:tcPr>
            <w:tcW w:w="696" w:type="dxa"/>
            <w:vAlign w:val="center"/>
          </w:tcPr>
          <w:p>
            <w:pPr>
              <w:rPr>
                <w:rFonts w:ascii="宋体" w:hAnsi="宋体" w:cs="仿宋_GB2312"/>
                <w:sz w:val="18"/>
                <w:szCs w:val="18"/>
              </w:rPr>
            </w:pPr>
            <w:r>
              <w:rPr>
                <w:rFonts w:hint="eastAsia" w:ascii="宋体" w:hAnsi="宋体" w:cs="仿宋_GB2312"/>
                <w:sz w:val="18"/>
                <w:szCs w:val="18"/>
              </w:rPr>
              <w:t>B/</w:t>
            </w:r>
            <w:r>
              <w:rPr>
                <w:rFonts w:ascii="宋体" w:hAnsi="宋体" w:cs="仿宋_GB2312"/>
                <w:sz w:val="18"/>
                <w:szCs w:val="18"/>
              </w:rPr>
              <w:t>2</w:t>
            </w:r>
            <w:r>
              <w:rPr>
                <w:rFonts w:hint="eastAsia" w:ascii="宋体" w:hAnsi="宋体" w:cs="仿宋_GB2312"/>
                <w:sz w:val="18"/>
                <w:szCs w:val="18"/>
              </w:rPr>
              <w:t>级</w:t>
            </w:r>
          </w:p>
        </w:tc>
        <w:tc>
          <w:tcPr>
            <w:tcW w:w="1134" w:type="dxa"/>
            <w:vAlign w:val="center"/>
          </w:tcPr>
          <w:p>
            <w:pPr>
              <w:rPr>
                <w:rFonts w:ascii="宋体" w:hAnsi="宋体" w:cs="仿宋_GB2312"/>
                <w:sz w:val="18"/>
                <w:szCs w:val="18"/>
              </w:rPr>
            </w:pPr>
            <w:r>
              <w:rPr>
                <w:rFonts w:hint="eastAsia" w:ascii="宋体" w:hAnsi="宋体" w:cs="仿宋_GB2312"/>
                <w:sz w:val="18"/>
                <w:szCs w:val="18"/>
              </w:rPr>
              <w:t>高度危险</w:t>
            </w:r>
          </w:p>
        </w:tc>
        <w:tc>
          <w:tcPr>
            <w:tcW w:w="3980" w:type="dxa"/>
            <w:vAlign w:val="center"/>
          </w:tcPr>
          <w:p>
            <w:pPr>
              <w:rPr>
                <w:rFonts w:ascii="宋体" w:hAnsi="宋体" w:cs="仿宋_GB2312"/>
                <w:sz w:val="18"/>
                <w:szCs w:val="18"/>
              </w:rPr>
            </w:pPr>
            <w:r>
              <w:rPr>
                <w:rFonts w:hint="eastAsia" w:ascii="宋体" w:hAnsi="宋体" w:cs="仿宋_GB2312"/>
                <w:sz w:val="18"/>
                <w:szCs w:val="18"/>
              </w:rPr>
              <w:t>采取紧急措施降低风险，建立运行控制程序，定期检查、测量及评估</w:t>
            </w:r>
          </w:p>
        </w:tc>
        <w:tc>
          <w:tcPr>
            <w:tcW w:w="1458" w:type="dxa"/>
            <w:vAlign w:val="center"/>
          </w:tcPr>
          <w:p>
            <w:pPr>
              <w:rPr>
                <w:rFonts w:ascii="宋体" w:hAnsi="宋体" w:cs="仿宋_GB2312"/>
                <w:sz w:val="18"/>
                <w:szCs w:val="18"/>
              </w:rPr>
            </w:pPr>
            <w:r>
              <w:rPr>
                <w:rFonts w:hint="eastAsia" w:ascii="宋体" w:hAnsi="宋体" w:cs="仿宋_GB2312"/>
                <w:sz w:val="18"/>
                <w:szCs w:val="18"/>
              </w:rPr>
              <w:t>立即或近期整改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343" w:type="dxa"/>
            <w:tcBorders>
              <w:bottom w:val="single" w:color="auto" w:sz="4" w:space="0"/>
            </w:tcBorders>
            <w:shd w:val="clear" w:color="auto" w:fill="FFFFFF"/>
            <w:vAlign w:val="center"/>
          </w:tcPr>
          <w:p>
            <w:pPr>
              <w:jc w:val="center"/>
              <w:rPr>
                <w:rFonts w:ascii="宋体" w:hAnsi="宋体"/>
                <w:b/>
                <w:bCs/>
                <w:spacing w:val="20"/>
                <w:sz w:val="18"/>
                <w:szCs w:val="18"/>
              </w:rPr>
            </w:pPr>
            <w:r>
              <w:rPr>
                <w:rFonts w:ascii="宋体" w:hAnsi="宋体" w:cs="仿宋_GB2312"/>
                <w:b/>
                <w:sz w:val="18"/>
                <w:szCs w:val="18"/>
              </w:rPr>
              <w:t>70</w:t>
            </w:r>
            <w:r>
              <w:rPr>
                <w:rFonts w:hint="eastAsia" w:ascii="宋体" w:hAnsi="宋体" w:cs="仿宋_GB2312"/>
                <w:b/>
                <w:sz w:val="18"/>
                <w:szCs w:val="18"/>
              </w:rPr>
              <w:t>～</w:t>
            </w:r>
            <w:r>
              <w:rPr>
                <w:rFonts w:ascii="宋体" w:hAnsi="宋体" w:cs="仿宋_GB2312"/>
                <w:b/>
                <w:sz w:val="18"/>
                <w:szCs w:val="18"/>
              </w:rPr>
              <w:t>160</w:t>
            </w:r>
          </w:p>
        </w:tc>
        <w:tc>
          <w:tcPr>
            <w:tcW w:w="696" w:type="dxa"/>
            <w:vAlign w:val="center"/>
          </w:tcPr>
          <w:p>
            <w:pPr>
              <w:rPr>
                <w:rFonts w:ascii="宋体" w:hAnsi="宋体" w:cs="仿宋_GB2312"/>
                <w:sz w:val="18"/>
                <w:szCs w:val="18"/>
              </w:rPr>
            </w:pPr>
            <w:r>
              <w:rPr>
                <w:rFonts w:hint="eastAsia" w:ascii="宋体" w:hAnsi="宋体" w:cs="仿宋_GB2312"/>
                <w:sz w:val="18"/>
                <w:szCs w:val="18"/>
              </w:rPr>
              <w:t>C/</w:t>
            </w:r>
            <w:r>
              <w:rPr>
                <w:rFonts w:ascii="宋体" w:hAnsi="宋体" w:cs="仿宋_GB2312"/>
                <w:sz w:val="18"/>
                <w:szCs w:val="18"/>
              </w:rPr>
              <w:t>3</w:t>
            </w:r>
            <w:r>
              <w:rPr>
                <w:rFonts w:hint="eastAsia" w:ascii="宋体" w:hAnsi="宋体" w:cs="仿宋_GB2312"/>
                <w:sz w:val="18"/>
                <w:szCs w:val="18"/>
              </w:rPr>
              <w:t>级</w:t>
            </w:r>
          </w:p>
        </w:tc>
        <w:tc>
          <w:tcPr>
            <w:tcW w:w="1134" w:type="dxa"/>
            <w:vAlign w:val="center"/>
          </w:tcPr>
          <w:p>
            <w:pPr>
              <w:rPr>
                <w:rFonts w:ascii="宋体" w:hAnsi="宋体" w:cs="仿宋_GB2312"/>
                <w:sz w:val="18"/>
                <w:szCs w:val="18"/>
              </w:rPr>
            </w:pPr>
            <w:r>
              <w:rPr>
                <w:rFonts w:hint="eastAsia" w:ascii="宋体" w:hAnsi="宋体" w:cs="仿宋_GB2312"/>
                <w:sz w:val="18"/>
                <w:szCs w:val="18"/>
              </w:rPr>
              <w:t>显著危险</w:t>
            </w:r>
          </w:p>
        </w:tc>
        <w:tc>
          <w:tcPr>
            <w:tcW w:w="3980" w:type="dxa"/>
            <w:vAlign w:val="center"/>
          </w:tcPr>
          <w:p>
            <w:pPr>
              <w:rPr>
                <w:rFonts w:ascii="宋体" w:hAnsi="宋体" w:cs="仿宋_GB2312"/>
                <w:sz w:val="18"/>
                <w:szCs w:val="18"/>
              </w:rPr>
            </w:pPr>
            <w:r>
              <w:rPr>
                <w:rFonts w:hint="eastAsia" w:ascii="宋体" w:hAnsi="宋体" w:cs="仿宋_GB2312"/>
                <w:sz w:val="18"/>
                <w:szCs w:val="18"/>
              </w:rPr>
              <w:t>可考虑建立目标、建立操作规程，加强培训及沟通</w:t>
            </w:r>
          </w:p>
        </w:tc>
        <w:tc>
          <w:tcPr>
            <w:tcW w:w="1458" w:type="dxa"/>
            <w:vAlign w:val="center"/>
          </w:tcPr>
          <w:p>
            <w:pPr>
              <w:rPr>
                <w:rFonts w:ascii="宋体" w:hAnsi="宋体" w:cs="仿宋_GB2312"/>
                <w:sz w:val="18"/>
                <w:szCs w:val="18"/>
              </w:rPr>
            </w:pPr>
            <w:r>
              <w:rPr>
                <w:rFonts w:ascii="宋体" w:hAnsi="宋体" w:cs="仿宋_GB2312"/>
                <w:sz w:val="18"/>
                <w:szCs w:val="18"/>
              </w:rPr>
              <w:t>2</w:t>
            </w:r>
            <w:r>
              <w:rPr>
                <w:rFonts w:hint="eastAsia" w:ascii="宋体" w:hAnsi="宋体" w:cs="仿宋_GB2312"/>
                <w:sz w:val="18"/>
                <w:szCs w:val="18"/>
              </w:rPr>
              <w:t>年内治理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343" w:type="dxa"/>
            <w:tcBorders>
              <w:bottom w:val="single" w:color="auto" w:sz="4" w:space="0"/>
            </w:tcBorders>
            <w:shd w:val="clear" w:color="auto" w:fill="FFFFFF"/>
            <w:vAlign w:val="center"/>
          </w:tcPr>
          <w:p>
            <w:pPr>
              <w:jc w:val="center"/>
              <w:rPr>
                <w:rFonts w:ascii="宋体" w:hAnsi="宋体"/>
                <w:b/>
                <w:bCs/>
                <w:spacing w:val="20"/>
                <w:sz w:val="18"/>
                <w:szCs w:val="18"/>
              </w:rPr>
            </w:pPr>
            <w:r>
              <w:rPr>
                <w:rFonts w:hint="eastAsia" w:ascii="宋体" w:hAnsi="宋体" w:cs="仿宋_GB2312"/>
                <w:b/>
                <w:sz w:val="18"/>
                <w:szCs w:val="18"/>
              </w:rPr>
              <w:t>0～</w:t>
            </w:r>
            <w:r>
              <w:rPr>
                <w:rFonts w:ascii="宋体" w:hAnsi="宋体" w:cs="仿宋_GB2312"/>
                <w:b/>
                <w:sz w:val="18"/>
                <w:szCs w:val="18"/>
              </w:rPr>
              <w:t>70</w:t>
            </w:r>
          </w:p>
        </w:tc>
        <w:tc>
          <w:tcPr>
            <w:tcW w:w="696" w:type="dxa"/>
            <w:vAlign w:val="center"/>
          </w:tcPr>
          <w:p>
            <w:pPr>
              <w:rPr>
                <w:rFonts w:ascii="宋体" w:hAnsi="宋体" w:cs="仿宋_GB2312"/>
                <w:sz w:val="18"/>
                <w:szCs w:val="18"/>
              </w:rPr>
            </w:pPr>
            <w:r>
              <w:rPr>
                <w:rFonts w:hint="eastAsia" w:ascii="宋体" w:hAnsi="宋体" w:cs="仿宋_GB2312"/>
                <w:sz w:val="18"/>
                <w:szCs w:val="18"/>
              </w:rPr>
              <w:t>D/</w:t>
            </w:r>
            <w:r>
              <w:rPr>
                <w:rFonts w:ascii="宋体" w:hAnsi="宋体" w:cs="仿宋_GB2312"/>
                <w:sz w:val="18"/>
                <w:szCs w:val="18"/>
              </w:rPr>
              <w:t>4</w:t>
            </w:r>
            <w:r>
              <w:rPr>
                <w:rFonts w:hint="eastAsia" w:ascii="宋体" w:hAnsi="宋体" w:cs="仿宋_GB2312"/>
                <w:sz w:val="18"/>
                <w:szCs w:val="18"/>
              </w:rPr>
              <w:t>级</w:t>
            </w:r>
          </w:p>
        </w:tc>
        <w:tc>
          <w:tcPr>
            <w:tcW w:w="1134" w:type="dxa"/>
            <w:vAlign w:val="center"/>
          </w:tcPr>
          <w:p>
            <w:pPr>
              <w:rPr>
                <w:rFonts w:ascii="宋体" w:hAnsi="宋体" w:cs="仿宋_GB2312"/>
                <w:sz w:val="18"/>
                <w:szCs w:val="18"/>
              </w:rPr>
            </w:pPr>
            <w:r>
              <w:rPr>
                <w:rFonts w:hint="eastAsia" w:ascii="宋体" w:hAnsi="宋体" w:cs="仿宋_GB2312"/>
                <w:sz w:val="18"/>
                <w:szCs w:val="18"/>
              </w:rPr>
              <w:t>轻度危险</w:t>
            </w:r>
          </w:p>
        </w:tc>
        <w:tc>
          <w:tcPr>
            <w:tcW w:w="3980" w:type="dxa"/>
            <w:vAlign w:val="center"/>
          </w:tcPr>
          <w:p>
            <w:pPr>
              <w:rPr>
                <w:rFonts w:ascii="宋体" w:hAnsi="宋体" w:cs="仿宋_GB2312"/>
                <w:sz w:val="18"/>
                <w:szCs w:val="18"/>
              </w:rPr>
            </w:pPr>
            <w:r>
              <w:rPr>
                <w:rFonts w:hint="eastAsia" w:ascii="宋体" w:hAnsi="宋体" w:cs="仿宋_GB2312"/>
                <w:sz w:val="18"/>
                <w:szCs w:val="18"/>
              </w:rPr>
              <w:t>可考虑建立操作规程、作业指导书，但需定期检查</w:t>
            </w:r>
          </w:p>
        </w:tc>
        <w:tc>
          <w:tcPr>
            <w:tcW w:w="1458" w:type="dxa"/>
            <w:vAlign w:val="center"/>
          </w:tcPr>
          <w:p>
            <w:pPr>
              <w:rPr>
                <w:rFonts w:ascii="宋体" w:hAnsi="宋体" w:cs="仿宋_GB2312"/>
                <w:sz w:val="18"/>
                <w:szCs w:val="18"/>
              </w:rPr>
            </w:pPr>
            <w:r>
              <w:rPr>
                <w:rFonts w:hint="eastAsia" w:ascii="宋体" w:hAnsi="宋体" w:cs="仿宋_GB2312"/>
                <w:sz w:val="18"/>
                <w:szCs w:val="18"/>
              </w:rPr>
              <w:t>有条件、有经费时治理</w:t>
            </w:r>
          </w:p>
        </w:tc>
      </w:tr>
    </w:tbl>
    <w:p>
      <w:pPr>
        <w:spacing w:line="360" w:lineRule="auto"/>
        <w:rPr>
          <w:rFonts w:ascii="宋体" w:hAnsi="宋体" w:eastAsia="宋体" w:cs="宋体"/>
          <w:sz w:val="28"/>
          <w:szCs w:val="28"/>
        </w:rPr>
      </w:pPr>
      <w:r>
        <w:rPr>
          <w:rFonts w:hint="eastAsia" w:ascii="宋体" w:hAnsi="宋体" w:eastAsia="宋体" w:cs="宋体"/>
          <w:sz w:val="28"/>
          <w:szCs w:val="28"/>
        </w:rPr>
        <w:br w:type="page"/>
      </w:r>
    </w:p>
    <w:p>
      <w:pPr>
        <w:pStyle w:val="2"/>
        <w:jc w:val="both"/>
      </w:pPr>
    </w:p>
    <w:p>
      <w:pPr>
        <w:pStyle w:val="2"/>
      </w:pPr>
      <w:bookmarkStart w:id="798" w:name="_Toc12927_WPSOffice_Level2"/>
      <w:bookmarkStart w:id="799" w:name="_Toc25315"/>
      <w:r>
        <w:rPr>
          <w:rFonts w:hint="eastAsia"/>
        </w:rPr>
        <w:t>隐患排查治理体系作业指导书</w:t>
      </w:r>
      <w:bookmarkEnd w:id="798"/>
      <w:bookmarkEnd w:id="799"/>
    </w:p>
    <w:p>
      <w:pPr>
        <w:pStyle w:val="18"/>
        <w:ind w:firstLine="0" w:firstLineChars="0"/>
      </w:pPr>
    </w:p>
    <w:p>
      <w:pPr>
        <w:pStyle w:val="41"/>
        <w:spacing w:before="312" w:after="312"/>
        <w:rPr>
          <w:rFonts w:ascii="宋体" w:hAnsi="宋体" w:eastAsia="宋体" w:cs="宋体"/>
          <w:b/>
          <w:bCs/>
          <w:sz w:val="28"/>
          <w:szCs w:val="28"/>
        </w:rPr>
      </w:pPr>
      <w:bookmarkStart w:id="800" w:name="_Toc487713721"/>
      <w:bookmarkStart w:id="801" w:name="_Toc6345"/>
      <w:bookmarkStart w:id="802" w:name="_Toc12342_WPSOffice_Level2"/>
      <w:bookmarkStart w:id="803" w:name="_Toc26312_WPSOffice_Level2"/>
      <w:bookmarkStart w:id="804" w:name="_Toc487712790"/>
      <w:bookmarkStart w:id="805" w:name="_Toc31340_WPSOffice_Level2"/>
      <w:bookmarkStart w:id="806" w:name="_Toc1845_WPSOffice_Level2"/>
      <w:bookmarkStart w:id="807" w:name="_Toc10550_WPSOffice_Level2"/>
      <w:r>
        <w:rPr>
          <w:rFonts w:hint="eastAsia" w:ascii="宋体" w:hAnsi="宋体" w:eastAsia="宋体" w:cs="宋体"/>
          <w:b/>
          <w:bCs/>
          <w:sz w:val="28"/>
          <w:szCs w:val="28"/>
        </w:rPr>
        <w:t>范围</w:t>
      </w:r>
      <w:bookmarkEnd w:id="800"/>
      <w:bookmarkEnd w:id="801"/>
      <w:bookmarkEnd w:id="802"/>
      <w:bookmarkEnd w:id="803"/>
      <w:bookmarkEnd w:id="804"/>
      <w:bookmarkEnd w:id="805"/>
      <w:bookmarkEnd w:id="806"/>
      <w:bookmarkEnd w:id="807"/>
    </w:p>
    <w:p>
      <w:pPr>
        <w:pStyle w:val="18"/>
        <w:ind w:firstLine="560"/>
        <w:rPr>
          <w:rFonts w:hAnsi="宋体" w:cs="宋体"/>
          <w:sz w:val="28"/>
          <w:szCs w:val="28"/>
        </w:rPr>
      </w:pPr>
      <w:r>
        <w:rPr>
          <w:rFonts w:hint="eastAsia" w:hAnsi="宋体" w:cs="宋体"/>
          <w:sz w:val="28"/>
          <w:szCs w:val="28"/>
        </w:rPr>
        <w:t>适用于本公司事故隐患排查治理体系的建设和实施指南的编制。</w:t>
      </w:r>
    </w:p>
    <w:p>
      <w:pPr>
        <w:pStyle w:val="41"/>
        <w:spacing w:before="312" w:after="312"/>
        <w:rPr>
          <w:rFonts w:ascii="宋体" w:hAnsi="宋体" w:eastAsia="宋体" w:cs="宋体"/>
          <w:b/>
          <w:bCs/>
          <w:sz w:val="28"/>
          <w:szCs w:val="28"/>
        </w:rPr>
      </w:pPr>
      <w:bookmarkStart w:id="808" w:name="_Toc13299_WPSOffice_Level2"/>
      <w:bookmarkStart w:id="809" w:name="_Toc14324_WPSOffice_Level2"/>
      <w:bookmarkStart w:id="810" w:name="_Toc11996_WPSOffice_Level2"/>
      <w:bookmarkStart w:id="811" w:name="_Toc487713722"/>
      <w:bookmarkStart w:id="812" w:name="_Toc29892"/>
      <w:bookmarkStart w:id="813" w:name="_Toc13180_WPSOffice_Level2"/>
      <w:bookmarkStart w:id="814" w:name="_Toc6250_WPSOffice_Level2"/>
      <w:bookmarkStart w:id="815" w:name="_Toc487712791"/>
      <w:r>
        <w:rPr>
          <w:rFonts w:hint="eastAsia" w:ascii="宋体" w:hAnsi="宋体" w:eastAsia="宋体" w:cs="宋体"/>
          <w:b/>
          <w:bCs/>
          <w:sz w:val="28"/>
          <w:szCs w:val="28"/>
        </w:rPr>
        <w:t>规范性引用文件</w:t>
      </w:r>
      <w:bookmarkEnd w:id="808"/>
      <w:bookmarkEnd w:id="809"/>
      <w:bookmarkEnd w:id="810"/>
      <w:bookmarkEnd w:id="811"/>
      <w:bookmarkEnd w:id="812"/>
      <w:bookmarkEnd w:id="813"/>
      <w:bookmarkEnd w:id="814"/>
      <w:bookmarkEnd w:id="815"/>
    </w:p>
    <w:p>
      <w:pPr>
        <w:pStyle w:val="18"/>
        <w:ind w:firstLine="560"/>
        <w:rPr>
          <w:rFonts w:hAnsi="宋体" w:cs="宋体"/>
          <w:sz w:val="28"/>
          <w:szCs w:val="28"/>
        </w:rPr>
      </w:pPr>
      <w:r>
        <w:rPr>
          <w:rFonts w:hint="eastAsia" w:hAnsi="宋体" w:cs="宋体"/>
          <w:sz w:val="28"/>
          <w:szCs w:val="28"/>
        </w:rPr>
        <w:t>下列文件对于本文件的应用是必不可少的。凡是注日期的引用文件，仅所注日期的版本适用于本文件。凡是不注日期的引用文件，其最新版本（包括所有的修改单）适用于本文件。</w:t>
      </w:r>
    </w:p>
    <w:p>
      <w:pPr>
        <w:pStyle w:val="18"/>
        <w:ind w:firstLine="560"/>
        <w:rPr>
          <w:rFonts w:hAnsi="宋体" w:cs="宋体"/>
          <w:sz w:val="28"/>
          <w:szCs w:val="28"/>
        </w:rPr>
      </w:pPr>
      <w:r>
        <w:rPr>
          <w:rFonts w:hint="eastAsia" w:hAnsi="宋体" w:cs="宋体"/>
          <w:sz w:val="28"/>
          <w:szCs w:val="28"/>
        </w:rPr>
        <w:t>DB37/T 2883—2016　生产安全事故隐患排查治理体系通则</w:t>
      </w:r>
    </w:p>
    <w:p>
      <w:pPr>
        <w:pStyle w:val="18"/>
        <w:ind w:firstLine="560"/>
        <w:rPr>
          <w:rFonts w:hAnsi="宋体" w:cs="宋体"/>
          <w:sz w:val="28"/>
          <w:szCs w:val="28"/>
        </w:rPr>
      </w:pPr>
      <w:r>
        <w:rPr>
          <w:rFonts w:hint="eastAsia" w:hAnsi="宋体" w:cs="宋体"/>
          <w:sz w:val="28"/>
          <w:szCs w:val="28"/>
        </w:rPr>
        <w:t>DB37/T 2974—2017　工贸企业安全生产风险分级管控体系细则</w:t>
      </w:r>
    </w:p>
    <w:p>
      <w:pPr>
        <w:pStyle w:val="18"/>
        <w:ind w:firstLine="560"/>
        <w:rPr>
          <w:rFonts w:hAnsi="宋体" w:cs="宋体"/>
          <w:sz w:val="28"/>
          <w:szCs w:val="28"/>
        </w:rPr>
      </w:pPr>
      <w:r>
        <w:rPr>
          <w:rFonts w:hint="eastAsia" w:hAnsi="宋体" w:cs="宋体"/>
          <w:sz w:val="28"/>
          <w:szCs w:val="28"/>
        </w:rPr>
        <w:t>工贸行业较大危险因素辨识与防范指导手册（2016版）</w:t>
      </w:r>
    </w:p>
    <w:p>
      <w:pPr>
        <w:pStyle w:val="41"/>
        <w:spacing w:before="312" w:after="312"/>
        <w:rPr>
          <w:rFonts w:ascii="宋体" w:hAnsi="宋体" w:eastAsia="宋体" w:cs="宋体"/>
          <w:b/>
          <w:bCs/>
          <w:sz w:val="28"/>
          <w:szCs w:val="28"/>
        </w:rPr>
      </w:pPr>
      <w:bookmarkStart w:id="816" w:name="_Toc487712792"/>
      <w:bookmarkEnd w:id="816"/>
      <w:bookmarkStart w:id="817" w:name="_Toc23677_WPSOffice_Level2"/>
      <w:bookmarkStart w:id="818" w:name="_Toc26632_WPSOffice_Level2"/>
      <w:bookmarkStart w:id="819" w:name="_Toc4783_WPSOffice_Level2"/>
      <w:bookmarkStart w:id="820" w:name="_Toc5604_WPSOffice_Level2"/>
      <w:bookmarkStart w:id="821" w:name="_Toc487713723"/>
      <w:bookmarkStart w:id="822" w:name="_Toc64"/>
      <w:bookmarkStart w:id="823" w:name="_Toc7117_WPSOffice_Level2"/>
      <w:r>
        <w:rPr>
          <w:rFonts w:hint="eastAsia" w:ascii="宋体" w:hAnsi="宋体" w:eastAsia="宋体" w:cs="宋体"/>
          <w:b/>
          <w:bCs/>
          <w:sz w:val="28"/>
          <w:szCs w:val="28"/>
        </w:rPr>
        <w:t>术语和定义</w:t>
      </w:r>
      <w:bookmarkEnd w:id="817"/>
      <w:bookmarkEnd w:id="818"/>
      <w:bookmarkEnd w:id="819"/>
      <w:bookmarkEnd w:id="820"/>
      <w:bookmarkEnd w:id="821"/>
      <w:bookmarkEnd w:id="822"/>
      <w:bookmarkEnd w:id="823"/>
    </w:p>
    <w:p>
      <w:pPr>
        <w:pStyle w:val="18"/>
        <w:ind w:firstLine="560"/>
        <w:rPr>
          <w:rFonts w:hAnsi="宋体" w:cs="宋体"/>
          <w:sz w:val="28"/>
          <w:szCs w:val="28"/>
        </w:rPr>
      </w:pPr>
      <w:r>
        <w:rPr>
          <w:rFonts w:hint="eastAsia" w:hAnsi="宋体" w:cs="宋体"/>
          <w:sz w:val="28"/>
          <w:szCs w:val="28"/>
        </w:rPr>
        <w:t>DB37/T 2883—2016、DB37/T 2974—2017界定的术语和定义适用于本文件。</w:t>
      </w:r>
    </w:p>
    <w:p>
      <w:pPr>
        <w:pStyle w:val="41"/>
        <w:spacing w:before="312" w:after="312"/>
        <w:rPr>
          <w:rFonts w:ascii="宋体" w:hAnsi="宋体" w:eastAsia="宋体" w:cs="宋体"/>
          <w:b/>
          <w:bCs/>
          <w:sz w:val="28"/>
          <w:szCs w:val="28"/>
        </w:rPr>
      </w:pPr>
      <w:bookmarkStart w:id="824" w:name="_Toc30258"/>
      <w:bookmarkStart w:id="825" w:name="_Toc24365_WPSOffice_Level2"/>
      <w:bookmarkStart w:id="826" w:name="_Toc479928492"/>
      <w:bookmarkStart w:id="827" w:name="_Toc479928002"/>
      <w:bookmarkStart w:id="828" w:name="_Toc16790_WPSOffice_Level2"/>
      <w:bookmarkStart w:id="829" w:name="_Toc487713724"/>
      <w:bookmarkStart w:id="830" w:name="_Toc15663_WPSOffice_Level2"/>
      <w:bookmarkStart w:id="831" w:name="_Toc479927948"/>
      <w:bookmarkStart w:id="832" w:name="_Toc16824_WPSOffice_Level2"/>
      <w:bookmarkStart w:id="833" w:name="_Toc19028_WPSOffice_Level2"/>
      <w:r>
        <w:rPr>
          <w:rFonts w:hint="eastAsia" w:ascii="宋体" w:hAnsi="宋体" w:eastAsia="宋体" w:cs="宋体"/>
          <w:b/>
          <w:bCs/>
          <w:sz w:val="28"/>
          <w:szCs w:val="28"/>
        </w:rPr>
        <w:t>基本要求</w:t>
      </w:r>
      <w:bookmarkEnd w:id="824"/>
      <w:bookmarkEnd w:id="825"/>
      <w:bookmarkEnd w:id="826"/>
      <w:bookmarkEnd w:id="827"/>
      <w:bookmarkEnd w:id="828"/>
      <w:bookmarkEnd w:id="829"/>
      <w:bookmarkEnd w:id="830"/>
      <w:bookmarkEnd w:id="831"/>
      <w:bookmarkEnd w:id="832"/>
      <w:bookmarkEnd w:id="833"/>
    </w:p>
    <w:p>
      <w:pPr>
        <w:pStyle w:val="33"/>
        <w:spacing w:before="156" w:after="156"/>
        <w:rPr>
          <w:rFonts w:ascii="宋体" w:hAnsi="宋体" w:eastAsia="宋体" w:cs="宋体"/>
          <w:b/>
          <w:bCs/>
          <w:sz w:val="28"/>
          <w:szCs w:val="28"/>
        </w:rPr>
      </w:pPr>
      <w:bookmarkStart w:id="834" w:name="_Toc10009"/>
      <w:bookmarkStart w:id="835" w:name="_Toc487713725"/>
      <w:bookmarkStart w:id="836" w:name="_Toc479927949"/>
      <w:bookmarkStart w:id="837" w:name="_Toc479928493"/>
      <w:bookmarkStart w:id="838" w:name="_Toc479928003"/>
      <w:r>
        <w:rPr>
          <w:rFonts w:hint="eastAsia" w:ascii="宋体" w:hAnsi="宋体" w:eastAsia="宋体" w:cs="宋体"/>
          <w:b/>
          <w:bCs/>
          <w:sz w:val="28"/>
          <w:szCs w:val="28"/>
        </w:rPr>
        <w:t>健全机构</w:t>
      </w:r>
      <w:bookmarkEnd w:id="834"/>
      <w:bookmarkEnd w:id="835"/>
      <w:bookmarkEnd w:id="836"/>
      <w:bookmarkEnd w:id="837"/>
      <w:bookmarkEnd w:id="838"/>
    </w:p>
    <w:p>
      <w:pPr>
        <w:ind w:firstLine="560" w:firstLineChars="200"/>
        <w:rPr>
          <w:rFonts w:ascii="宋体" w:hAnsi="宋体" w:eastAsia="宋体" w:cs="宋体"/>
          <w:sz w:val="28"/>
          <w:szCs w:val="28"/>
        </w:rPr>
      </w:pPr>
      <w:r>
        <w:rPr>
          <w:rFonts w:hint="eastAsia" w:ascii="宋体" w:hAnsi="宋体" w:eastAsia="宋体" w:cs="宋体"/>
          <w:sz w:val="28"/>
          <w:szCs w:val="28"/>
        </w:rPr>
        <w:t>为保证该项工作有效开展，并落到实处，本公司成立了“双重预防体系”建设领导小组，其成员任命如下：</w:t>
      </w:r>
    </w:p>
    <w:p>
      <w:pPr>
        <w:ind w:firstLine="560" w:firstLineChars="200"/>
        <w:rPr>
          <w:rFonts w:ascii="宋体" w:hAnsi="宋体" w:eastAsia="宋体" w:cs="宋体"/>
          <w:sz w:val="28"/>
          <w:szCs w:val="28"/>
        </w:rPr>
      </w:pPr>
      <w:r>
        <w:rPr>
          <w:rFonts w:hint="eastAsia" w:ascii="宋体" w:hAnsi="宋体" w:eastAsia="宋体" w:cs="宋体"/>
          <w:sz w:val="28"/>
          <w:szCs w:val="28"/>
        </w:rPr>
        <w:t>组  长：XX</w:t>
      </w:r>
    </w:p>
    <w:p>
      <w:pPr>
        <w:ind w:firstLine="560" w:firstLineChars="200"/>
        <w:rPr>
          <w:rFonts w:ascii="宋体" w:hAnsi="宋体" w:eastAsia="宋体" w:cs="宋体"/>
          <w:sz w:val="28"/>
          <w:szCs w:val="28"/>
        </w:rPr>
      </w:pPr>
      <w:r>
        <w:rPr>
          <w:rFonts w:hint="eastAsia" w:ascii="宋体" w:hAnsi="宋体" w:eastAsia="宋体" w:cs="宋体"/>
          <w:sz w:val="28"/>
          <w:szCs w:val="28"/>
        </w:rPr>
        <w:t>副组长：XX</w:t>
      </w:r>
    </w:p>
    <w:p>
      <w:pPr>
        <w:ind w:firstLine="560" w:firstLineChars="200"/>
        <w:rPr>
          <w:rFonts w:ascii="宋体" w:hAnsi="宋体" w:eastAsia="宋体" w:cs="宋体"/>
          <w:sz w:val="28"/>
          <w:szCs w:val="28"/>
        </w:rPr>
      </w:pPr>
      <w:r>
        <w:rPr>
          <w:rFonts w:hint="eastAsia" w:ascii="宋体" w:hAnsi="宋体" w:eastAsia="宋体" w:cs="宋体"/>
          <w:sz w:val="28"/>
          <w:szCs w:val="28"/>
        </w:rPr>
        <w:t>成  员：XX、XX、XX</w:t>
      </w:r>
    </w:p>
    <w:p>
      <w:pPr>
        <w:pStyle w:val="18"/>
        <w:ind w:firstLine="560"/>
        <w:rPr>
          <w:rFonts w:hAnsi="宋体" w:cs="宋体"/>
          <w:sz w:val="28"/>
          <w:szCs w:val="28"/>
        </w:rPr>
      </w:pPr>
      <w:r>
        <w:rPr>
          <w:rFonts w:hint="eastAsia" w:hAnsi="宋体" w:cs="宋体"/>
          <w:sz w:val="28"/>
          <w:szCs w:val="28"/>
        </w:rPr>
        <w:t>主要负责人作为本单位事故隐患排查治理体系建设的第一责任人，应保证隐患排查治理的资源投入，其他部门及人员应负责职责范围内的隐患排查治理工作，以确保隐患得到治理。</w:t>
      </w:r>
    </w:p>
    <w:p>
      <w:pPr>
        <w:pStyle w:val="33"/>
        <w:spacing w:before="156" w:after="156"/>
        <w:rPr>
          <w:rFonts w:ascii="宋体" w:hAnsi="宋体" w:eastAsia="宋体" w:cs="宋体"/>
          <w:b/>
          <w:bCs/>
          <w:sz w:val="28"/>
          <w:szCs w:val="28"/>
        </w:rPr>
      </w:pPr>
      <w:bookmarkStart w:id="839" w:name="_Toc487713726"/>
      <w:bookmarkStart w:id="840" w:name="_Toc2140"/>
      <w:r>
        <w:rPr>
          <w:rFonts w:hint="eastAsia" w:ascii="宋体" w:hAnsi="宋体" w:eastAsia="宋体" w:cs="宋体"/>
          <w:b/>
          <w:bCs/>
          <w:sz w:val="28"/>
          <w:szCs w:val="28"/>
        </w:rPr>
        <w:t>完善制度</w:t>
      </w:r>
      <w:bookmarkEnd w:id="839"/>
      <w:bookmarkEnd w:id="840"/>
    </w:p>
    <w:p>
      <w:pPr>
        <w:pStyle w:val="18"/>
        <w:ind w:firstLine="560"/>
        <w:rPr>
          <w:rFonts w:hAnsi="宋体" w:cs="宋体"/>
          <w:sz w:val="28"/>
          <w:szCs w:val="28"/>
        </w:rPr>
      </w:pPr>
      <w:r>
        <w:rPr>
          <w:rFonts w:hint="eastAsia" w:hAnsi="宋体" w:cs="宋体"/>
          <w:sz w:val="28"/>
          <w:szCs w:val="28"/>
        </w:rPr>
        <w:t>本公司在安全生产风险分级管控体系、安全生产标准化等安全管理体系的基础上，进一步完善隐患排查治理制度及相关记录文件，形成一体化的安全管理体系，使隐患排查治理贯穿于生产活动全过程，成为企业各层级、各专业、各岗位日常工作重要组成部分。</w:t>
      </w:r>
    </w:p>
    <w:p>
      <w:pPr>
        <w:pStyle w:val="33"/>
        <w:spacing w:before="156" w:after="156"/>
        <w:rPr>
          <w:rFonts w:ascii="宋体" w:hAnsi="宋体" w:eastAsia="宋体" w:cs="宋体"/>
          <w:b/>
          <w:bCs/>
          <w:sz w:val="28"/>
          <w:szCs w:val="28"/>
        </w:rPr>
      </w:pPr>
      <w:bookmarkStart w:id="841" w:name="_Toc487713727"/>
      <w:bookmarkStart w:id="842" w:name="_Toc17435"/>
      <w:r>
        <w:rPr>
          <w:rFonts w:hint="eastAsia" w:ascii="宋体" w:hAnsi="宋体" w:eastAsia="宋体" w:cs="宋体"/>
          <w:b/>
          <w:bCs/>
          <w:sz w:val="28"/>
          <w:szCs w:val="28"/>
        </w:rPr>
        <w:t>组织培训</w:t>
      </w:r>
      <w:bookmarkEnd w:id="841"/>
      <w:bookmarkEnd w:id="842"/>
    </w:p>
    <w:p>
      <w:pPr>
        <w:pStyle w:val="18"/>
        <w:ind w:firstLine="560"/>
        <w:rPr>
          <w:rFonts w:hAnsi="宋体" w:cs="宋体"/>
          <w:sz w:val="28"/>
          <w:szCs w:val="28"/>
        </w:rPr>
      </w:pPr>
      <w:r>
        <w:rPr>
          <w:rFonts w:hint="eastAsia" w:hAnsi="宋体" w:cs="宋体"/>
          <w:sz w:val="28"/>
          <w:szCs w:val="28"/>
        </w:rPr>
        <w:t>本公司计划开展两次双重预防体系建设培训，分为管理人员培训与一般职工培训，培训分阶段进行。</w:t>
      </w:r>
    </w:p>
    <w:p>
      <w:pPr>
        <w:pStyle w:val="33"/>
        <w:spacing w:before="156" w:after="156"/>
        <w:rPr>
          <w:rFonts w:ascii="宋体" w:hAnsi="宋体" w:eastAsia="宋体" w:cs="宋体"/>
          <w:b/>
          <w:bCs/>
          <w:sz w:val="28"/>
          <w:szCs w:val="28"/>
        </w:rPr>
      </w:pPr>
      <w:bookmarkStart w:id="843" w:name="_Toc32760"/>
      <w:bookmarkStart w:id="844" w:name="_Toc487713728"/>
      <w:r>
        <w:rPr>
          <w:rFonts w:hint="eastAsia" w:ascii="宋体" w:hAnsi="宋体" w:eastAsia="宋体" w:cs="宋体"/>
          <w:b/>
          <w:bCs/>
          <w:sz w:val="28"/>
          <w:szCs w:val="28"/>
        </w:rPr>
        <w:t>落实责任</w:t>
      </w:r>
      <w:bookmarkEnd w:id="843"/>
      <w:bookmarkEnd w:id="844"/>
    </w:p>
    <w:p>
      <w:pPr>
        <w:pStyle w:val="18"/>
        <w:ind w:firstLine="560"/>
        <w:rPr>
          <w:rFonts w:hAnsi="宋体" w:cs="宋体"/>
          <w:sz w:val="28"/>
          <w:szCs w:val="28"/>
        </w:rPr>
      </w:pPr>
      <w:r>
        <w:rPr>
          <w:rFonts w:hint="eastAsia" w:hAnsi="宋体" w:cs="宋体"/>
          <w:sz w:val="28"/>
          <w:szCs w:val="28"/>
        </w:rPr>
        <w:t>本公司建立了隐患排查治理目标责任考核及奖惩机制，并严格执行。</w:t>
      </w:r>
    </w:p>
    <w:p>
      <w:pPr>
        <w:pStyle w:val="41"/>
        <w:spacing w:before="312" w:after="312"/>
        <w:rPr>
          <w:rFonts w:ascii="宋体" w:hAnsi="宋体" w:eastAsia="宋体" w:cs="宋体"/>
          <w:b/>
          <w:bCs/>
          <w:sz w:val="28"/>
          <w:szCs w:val="28"/>
        </w:rPr>
      </w:pPr>
      <w:bookmarkStart w:id="845" w:name="_Toc479927953"/>
      <w:bookmarkStart w:id="846" w:name="_Toc5638"/>
      <w:bookmarkStart w:id="847" w:name="_Toc7790_WPSOffice_Level2"/>
      <w:bookmarkStart w:id="848" w:name="_Toc487713729"/>
      <w:bookmarkStart w:id="849" w:name="_Toc5358_WPSOffice_Level2"/>
      <w:bookmarkStart w:id="850" w:name="_Toc479928007"/>
      <w:bookmarkStart w:id="851" w:name="_Toc13801_WPSOffice_Level2"/>
      <w:bookmarkStart w:id="852" w:name="_Toc479928497"/>
      <w:bookmarkStart w:id="853" w:name="_Toc30843_WPSOffice_Level2"/>
      <w:bookmarkStart w:id="854" w:name="_Toc24508_WPSOffice_Level2"/>
      <w:r>
        <w:rPr>
          <w:rFonts w:hint="eastAsia" w:ascii="宋体" w:hAnsi="宋体" w:eastAsia="宋体" w:cs="宋体"/>
          <w:b/>
          <w:bCs/>
          <w:sz w:val="28"/>
          <w:szCs w:val="28"/>
        </w:rPr>
        <w:t>隐患分级与分类</w:t>
      </w:r>
      <w:bookmarkEnd w:id="845"/>
      <w:bookmarkEnd w:id="846"/>
      <w:bookmarkEnd w:id="847"/>
      <w:bookmarkEnd w:id="848"/>
      <w:bookmarkEnd w:id="849"/>
      <w:bookmarkEnd w:id="850"/>
      <w:bookmarkEnd w:id="851"/>
      <w:bookmarkEnd w:id="852"/>
      <w:bookmarkEnd w:id="853"/>
      <w:bookmarkEnd w:id="854"/>
    </w:p>
    <w:p>
      <w:pPr>
        <w:pStyle w:val="33"/>
        <w:spacing w:before="156" w:after="156"/>
        <w:rPr>
          <w:rFonts w:ascii="宋体" w:hAnsi="宋体" w:eastAsia="宋体" w:cs="宋体"/>
          <w:b/>
          <w:bCs/>
          <w:sz w:val="28"/>
          <w:szCs w:val="28"/>
        </w:rPr>
      </w:pPr>
      <w:bookmarkStart w:id="855" w:name="_Toc29214"/>
      <w:bookmarkStart w:id="856" w:name="_Toc479928008"/>
      <w:bookmarkStart w:id="857" w:name="_Toc479928498"/>
      <w:bookmarkStart w:id="858" w:name="_Toc479927954"/>
      <w:bookmarkStart w:id="859" w:name="_Toc487713730"/>
      <w:r>
        <w:rPr>
          <w:rFonts w:hint="eastAsia" w:ascii="宋体" w:hAnsi="宋体" w:eastAsia="宋体" w:cs="宋体"/>
          <w:b/>
          <w:bCs/>
          <w:sz w:val="28"/>
          <w:szCs w:val="28"/>
        </w:rPr>
        <w:t>隐患分级</w:t>
      </w:r>
      <w:bookmarkEnd w:id="855"/>
      <w:bookmarkEnd w:id="856"/>
      <w:bookmarkEnd w:id="857"/>
      <w:bookmarkEnd w:id="858"/>
      <w:bookmarkEnd w:id="859"/>
    </w:p>
    <w:p>
      <w:pPr>
        <w:pStyle w:val="18"/>
        <w:ind w:firstLine="560"/>
        <w:rPr>
          <w:rFonts w:hAnsi="宋体" w:cs="宋体"/>
          <w:sz w:val="28"/>
          <w:szCs w:val="28"/>
        </w:rPr>
      </w:pPr>
      <w:r>
        <w:rPr>
          <w:rFonts w:hint="eastAsia" w:hAnsi="宋体" w:cs="宋体"/>
          <w:sz w:val="28"/>
          <w:szCs w:val="28"/>
        </w:rPr>
        <w:t>根据隐患整改、治理和排除的难度及其可能导致事故后果和影响范围，分为一般事故隐患和重大事故隐患。</w:t>
      </w:r>
    </w:p>
    <w:p>
      <w:pPr>
        <w:pStyle w:val="18"/>
        <w:ind w:firstLine="560"/>
        <w:rPr>
          <w:rFonts w:hAnsi="宋体" w:cs="宋体"/>
          <w:sz w:val="28"/>
          <w:szCs w:val="28"/>
        </w:rPr>
      </w:pPr>
      <w:r>
        <w:rPr>
          <w:rFonts w:hint="eastAsia" w:hAnsi="宋体" w:cs="宋体"/>
          <w:sz w:val="28"/>
          <w:szCs w:val="28"/>
        </w:rPr>
        <w:t>一般事故隐患是指危害和整改难度较小，发现后能够立即整改排除的隐患。</w:t>
      </w:r>
    </w:p>
    <w:p>
      <w:pPr>
        <w:pStyle w:val="18"/>
        <w:ind w:firstLine="560"/>
        <w:rPr>
          <w:rFonts w:hAnsi="宋体" w:cs="宋体"/>
          <w:sz w:val="28"/>
          <w:szCs w:val="28"/>
        </w:rPr>
      </w:pPr>
      <w:r>
        <w:rPr>
          <w:rFonts w:hint="eastAsia" w:hAnsi="宋体" w:cs="宋体"/>
          <w:sz w:val="28"/>
          <w:szCs w:val="28"/>
        </w:rPr>
        <w:t>重大事故隐患是指危害和整改难度较大，无法立即整改排除，需要全部或者局部停产停业，并经过一定时间整改治理方能排除的隐患，或者因外部因素影响致使生产经营单位自身难以排除的隐患。</w:t>
      </w:r>
    </w:p>
    <w:p>
      <w:pPr>
        <w:pStyle w:val="18"/>
        <w:ind w:firstLine="560"/>
        <w:rPr>
          <w:rFonts w:hAnsi="宋体" w:cs="宋体"/>
          <w:sz w:val="28"/>
          <w:szCs w:val="28"/>
        </w:rPr>
      </w:pPr>
      <w:r>
        <w:rPr>
          <w:rFonts w:hint="eastAsia" w:hAnsi="宋体" w:cs="宋体"/>
          <w:sz w:val="28"/>
          <w:szCs w:val="28"/>
        </w:rPr>
        <w:t>以下情形为重大事故隐患：</w:t>
      </w:r>
    </w:p>
    <w:p>
      <w:pPr>
        <w:pStyle w:val="24"/>
        <w:rPr>
          <w:rFonts w:hAnsi="宋体" w:cs="宋体"/>
          <w:sz w:val="28"/>
          <w:szCs w:val="28"/>
        </w:rPr>
      </w:pPr>
      <w:r>
        <w:rPr>
          <w:rFonts w:hint="eastAsia" w:hAnsi="宋体" w:cs="宋体"/>
          <w:sz w:val="28"/>
          <w:szCs w:val="28"/>
        </w:rPr>
        <w:t>违反法律法规和强制性规范标准的有关规定要求，整改时间长、企业必须停产停业整顿的或可能造成较严重危害的；</w:t>
      </w:r>
    </w:p>
    <w:p>
      <w:pPr>
        <w:pStyle w:val="24"/>
        <w:rPr>
          <w:rFonts w:hAnsi="宋体" w:cs="宋体"/>
          <w:sz w:val="28"/>
          <w:szCs w:val="28"/>
        </w:rPr>
      </w:pPr>
      <w:r>
        <w:rPr>
          <w:rFonts w:hint="eastAsia" w:hAnsi="宋体" w:cs="宋体"/>
          <w:sz w:val="28"/>
          <w:szCs w:val="28"/>
        </w:rPr>
        <w:t>涉及重大危险源且不能立即排除整改可能造成较严重危害的隐患；</w:t>
      </w:r>
    </w:p>
    <w:p>
      <w:pPr>
        <w:pStyle w:val="24"/>
        <w:rPr>
          <w:rFonts w:hAnsi="宋体" w:cs="宋体"/>
          <w:sz w:val="28"/>
          <w:szCs w:val="28"/>
        </w:rPr>
      </w:pPr>
      <w:r>
        <w:rPr>
          <w:rFonts w:hint="eastAsia" w:hAnsi="宋体" w:cs="宋体"/>
          <w:sz w:val="28"/>
          <w:szCs w:val="28"/>
        </w:rPr>
        <w:t>危害和整改难度较大，存在不能立即排除整改和整改难度大的隐患；</w:t>
      </w:r>
    </w:p>
    <w:p>
      <w:pPr>
        <w:pStyle w:val="24"/>
        <w:rPr>
          <w:rFonts w:hAnsi="宋体" w:cs="宋体"/>
          <w:sz w:val="28"/>
          <w:szCs w:val="28"/>
        </w:rPr>
      </w:pPr>
      <w:r>
        <w:rPr>
          <w:rFonts w:hint="eastAsia" w:hAnsi="宋体" w:cs="宋体"/>
          <w:sz w:val="28"/>
          <w:szCs w:val="28"/>
        </w:rPr>
        <w:t>特种设备、设施未按规定检测、检验或两种以上特种作业人员无证上岗；</w:t>
      </w:r>
    </w:p>
    <w:p>
      <w:pPr>
        <w:pStyle w:val="24"/>
        <w:rPr>
          <w:rFonts w:hAnsi="宋体" w:cs="宋体"/>
          <w:sz w:val="28"/>
          <w:szCs w:val="28"/>
        </w:rPr>
      </w:pPr>
      <w:r>
        <w:rPr>
          <w:rFonts w:hint="eastAsia" w:hAnsi="宋体" w:cs="宋体"/>
          <w:sz w:val="28"/>
          <w:szCs w:val="28"/>
        </w:rPr>
        <w:t>因外部因素影响致使生产经营单位自身难以排除的隐患；</w:t>
      </w:r>
    </w:p>
    <w:p>
      <w:pPr>
        <w:pStyle w:val="24"/>
        <w:rPr>
          <w:rFonts w:hAnsi="宋体" w:cs="宋体"/>
          <w:sz w:val="28"/>
          <w:szCs w:val="28"/>
        </w:rPr>
      </w:pPr>
      <w:r>
        <w:rPr>
          <w:rFonts w:hint="eastAsia" w:hAnsi="宋体" w:cs="宋体"/>
          <w:sz w:val="28"/>
          <w:szCs w:val="28"/>
        </w:rPr>
        <w:t>市级以上负有安全生产监督管理职责的部门认定的；</w:t>
      </w:r>
    </w:p>
    <w:p>
      <w:pPr>
        <w:pStyle w:val="24"/>
        <w:rPr>
          <w:rFonts w:hAnsi="宋体" w:cs="宋体"/>
          <w:sz w:val="28"/>
          <w:szCs w:val="28"/>
        </w:rPr>
      </w:pPr>
      <w:r>
        <w:rPr>
          <w:rFonts w:hint="eastAsia" w:hAnsi="宋体" w:cs="宋体"/>
          <w:sz w:val="28"/>
          <w:szCs w:val="28"/>
        </w:rPr>
        <w:t>《工贸行业重大生产安全事故隐患判定标准（2017版）》和GB 35181-2017列举的重大事故隐患。</w:t>
      </w:r>
    </w:p>
    <w:p>
      <w:pPr>
        <w:pStyle w:val="33"/>
        <w:spacing w:before="156" w:after="156"/>
        <w:rPr>
          <w:rFonts w:ascii="宋体" w:hAnsi="宋体" w:eastAsia="宋体" w:cs="宋体"/>
          <w:b/>
          <w:bCs/>
          <w:sz w:val="28"/>
          <w:szCs w:val="28"/>
        </w:rPr>
      </w:pPr>
      <w:bookmarkStart w:id="860" w:name="_Toc479928499"/>
      <w:bookmarkStart w:id="861" w:name="_Toc20866"/>
      <w:bookmarkStart w:id="862" w:name="_Toc487713731"/>
      <w:bookmarkStart w:id="863" w:name="_Toc479927955"/>
      <w:bookmarkStart w:id="864" w:name="_Toc479928009"/>
      <w:r>
        <w:rPr>
          <w:rFonts w:hint="eastAsia" w:ascii="宋体" w:hAnsi="宋体" w:eastAsia="宋体" w:cs="宋体"/>
          <w:b/>
          <w:bCs/>
          <w:sz w:val="28"/>
          <w:szCs w:val="28"/>
        </w:rPr>
        <w:t>隐患分类</w:t>
      </w:r>
      <w:bookmarkEnd w:id="860"/>
      <w:bookmarkEnd w:id="861"/>
      <w:bookmarkEnd w:id="862"/>
      <w:bookmarkEnd w:id="863"/>
      <w:bookmarkEnd w:id="864"/>
    </w:p>
    <w:p>
      <w:pPr>
        <w:pStyle w:val="18"/>
        <w:ind w:firstLine="560"/>
        <w:rPr>
          <w:rFonts w:hAnsi="宋体" w:cs="宋体"/>
          <w:sz w:val="28"/>
          <w:szCs w:val="28"/>
        </w:rPr>
      </w:pPr>
      <w:r>
        <w:rPr>
          <w:rFonts w:hint="eastAsia" w:hAnsi="宋体" w:cs="宋体"/>
          <w:sz w:val="28"/>
          <w:szCs w:val="28"/>
        </w:rPr>
        <w:t>事故隐患分为基础管理类隐患和生产现场类隐患。</w:t>
      </w:r>
    </w:p>
    <w:p>
      <w:pPr>
        <w:pStyle w:val="18"/>
        <w:ind w:firstLine="0" w:firstLineChars="0"/>
        <w:rPr>
          <w:rFonts w:hAnsi="宋体" w:cs="宋体"/>
          <w:b/>
          <w:bCs/>
          <w:sz w:val="28"/>
          <w:szCs w:val="28"/>
        </w:rPr>
      </w:pPr>
      <w:r>
        <w:rPr>
          <w:rFonts w:hint="eastAsia" w:hAnsi="宋体" w:cs="宋体"/>
          <w:b/>
          <w:bCs/>
          <w:sz w:val="28"/>
          <w:szCs w:val="28"/>
        </w:rPr>
        <w:t>5.2.1 生产现场类隐患</w:t>
      </w:r>
    </w:p>
    <w:p>
      <w:pPr>
        <w:pStyle w:val="18"/>
        <w:ind w:firstLine="560"/>
        <w:rPr>
          <w:rFonts w:hAnsi="宋体" w:cs="宋体"/>
          <w:sz w:val="28"/>
          <w:szCs w:val="28"/>
        </w:rPr>
      </w:pPr>
      <w:r>
        <w:rPr>
          <w:rFonts w:hint="eastAsia" w:hAnsi="宋体" w:cs="宋体"/>
          <w:sz w:val="28"/>
          <w:szCs w:val="28"/>
        </w:rPr>
        <w:t>生产现场类隐患包括以下方面存在的问题或缺陷：</w:t>
      </w:r>
    </w:p>
    <w:p>
      <w:pPr>
        <w:pStyle w:val="18"/>
        <w:ind w:firstLine="560"/>
        <w:rPr>
          <w:rFonts w:hAnsi="宋体" w:cs="宋体"/>
          <w:sz w:val="28"/>
          <w:szCs w:val="28"/>
        </w:rPr>
      </w:pPr>
      <w:r>
        <w:rPr>
          <w:rFonts w:hint="eastAsia" w:hAnsi="宋体" w:cs="宋体"/>
          <w:sz w:val="28"/>
          <w:szCs w:val="28"/>
        </w:rPr>
        <w:t>——设备设施；</w:t>
      </w:r>
    </w:p>
    <w:p>
      <w:pPr>
        <w:pStyle w:val="18"/>
        <w:ind w:firstLine="560"/>
        <w:rPr>
          <w:rFonts w:hAnsi="宋体" w:cs="宋体"/>
          <w:sz w:val="28"/>
          <w:szCs w:val="28"/>
        </w:rPr>
      </w:pPr>
      <w:r>
        <w:rPr>
          <w:rFonts w:hint="eastAsia" w:hAnsi="宋体" w:cs="宋体"/>
          <w:sz w:val="28"/>
          <w:szCs w:val="28"/>
        </w:rPr>
        <w:t>——场所环境；</w:t>
      </w:r>
    </w:p>
    <w:p>
      <w:pPr>
        <w:pStyle w:val="18"/>
        <w:ind w:firstLine="560"/>
        <w:rPr>
          <w:rFonts w:hAnsi="宋体" w:cs="宋体"/>
          <w:sz w:val="28"/>
          <w:szCs w:val="28"/>
        </w:rPr>
      </w:pPr>
      <w:r>
        <w:rPr>
          <w:rFonts w:hint="eastAsia" w:hAnsi="宋体" w:cs="宋体"/>
          <w:sz w:val="28"/>
          <w:szCs w:val="28"/>
        </w:rPr>
        <w:t>——从业人员操作行为；</w:t>
      </w:r>
    </w:p>
    <w:p>
      <w:pPr>
        <w:pStyle w:val="18"/>
        <w:ind w:firstLine="560"/>
        <w:rPr>
          <w:rFonts w:hAnsi="宋体" w:cs="宋体"/>
          <w:sz w:val="28"/>
          <w:szCs w:val="28"/>
        </w:rPr>
      </w:pPr>
      <w:r>
        <w:rPr>
          <w:rFonts w:hint="eastAsia" w:hAnsi="宋体" w:cs="宋体"/>
          <w:sz w:val="28"/>
          <w:szCs w:val="28"/>
        </w:rPr>
        <w:t>——消防及应急设施；</w:t>
      </w:r>
    </w:p>
    <w:p>
      <w:pPr>
        <w:pStyle w:val="18"/>
        <w:ind w:firstLine="560"/>
        <w:rPr>
          <w:rFonts w:hAnsi="宋体" w:cs="宋体"/>
          <w:sz w:val="28"/>
          <w:szCs w:val="28"/>
        </w:rPr>
      </w:pPr>
      <w:r>
        <w:rPr>
          <w:rFonts w:hint="eastAsia" w:hAnsi="宋体" w:cs="宋体"/>
          <w:sz w:val="28"/>
          <w:szCs w:val="28"/>
        </w:rPr>
        <w:t>——供配电设施；</w:t>
      </w:r>
    </w:p>
    <w:p>
      <w:pPr>
        <w:pStyle w:val="18"/>
        <w:ind w:firstLine="560"/>
        <w:rPr>
          <w:rFonts w:hAnsi="宋体" w:cs="宋体"/>
          <w:sz w:val="28"/>
          <w:szCs w:val="28"/>
        </w:rPr>
      </w:pPr>
      <w:r>
        <w:rPr>
          <w:rFonts w:hint="eastAsia" w:hAnsi="宋体" w:cs="宋体"/>
          <w:sz w:val="28"/>
          <w:szCs w:val="28"/>
        </w:rPr>
        <w:t>——职业卫生防护设施；</w:t>
      </w:r>
    </w:p>
    <w:p>
      <w:pPr>
        <w:pStyle w:val="18"/>
        <w:ind w:firstLine="560"/>
        <w:rPr>
          <w:rFonts w:hAnsi="宋体" w:cs="宋体"/>
          <w:sz w:val="28"/>
          <w:szCs w:val="28"/>
        </w:rPr>
      </w:pPr>
      <w:r>
        <w:rPr>
          <w:rFonts w:hint="eastAsia" w:hAnsi="宋体" w:cs="宋体"/>
          <w:sz w:val="28"/>
          <w:szCs w:val="28"/>
        </w:rPr>
        <w:t>——辅助动力系统；</w:t>
      </w:r>
    </w:p>
    <w:p>
      <w:pPr>
        <w:pStyle w:val="18"/>
        <w:ind w:firstLine="560"/>
        <w:rPr>
          <w:rFonts w:hAnsi="宋体" w:cs="宋体"/>
          <w:sz w:val="28"/>
          <w:szCs w:val="28"/>
        </w:rPr>
      </w:pPr>
      <w:r>
        <w:rPr>
          <w:rFonts w:hint="eastAsia" w:hAnsi="宋体" w:cs="宋体"/>
          <w:sz w:val="28"/>
          <w:szCs w:val="28"/>
        </w:rPr>
        <w:t>——现场其他方面。</w:t>
      </w:r>
    </w:p>
    <w:p>
      <w:pPr>
        <w:pStyle w:val="18"/>
        <w:ind w:firstLine="0" w:firstLineChars="0"/>
        <w:rPr>
          <w:rFonts w:hAnsi="宋体" w:cs="宋体"/>
          <w:b/>
          <w:bCs/>
          <w:sz w:val="28"/>
          <w:szCs w:val="28"/>
        </w:rPr>
      </w:pPr>
      <w:r>
        <w:rPr>
          <w:rFonts w:hint="eastAsia" w:hAnsi="宋体" w:cs="宋体"/>
          <w:b/>
          <w:bCs/>
          <w:sz w:val="28"/>
          <w:szCs w:val="28"/>
        </w:rPr>
        <w:t>5.2.2 基础管理类隐患</w:t>
      </w:r>
    </w:p>
    <w:p>
      <w:pPr>
        <w:pStyle w:val="18"/>
        <w:ind w:firstLine="560"/>
        <w:rPr>
          <w:rFonts w:hAnsi="宋体" w:cs="宋体"/>
          <w:sz w:val="28"/>
          <w:szCs w:val="28"/>
        </w:rPr>
      </w:pPr>
      <w:r>
        <w:rPr>
          <w:rFonts w:hint="eastAsia" w:hAnsi="宋体" w:cs="宋体"/>
          <w:sz w:val="28"/>
          <w:szCs w:val="28"/>
        </w:rPr>
        <w:t>基础管理类隐患包括以下方面存在的问题或缺陷：</w:t>
      </w:r>
    </w:p>
    <w:p>
      <w:pPr>
        <w:pStyle w:val="18"/>
        <w:ind w:firstLine="560"/>
        <w:rPr>
          <w:rFonts w:hAnsi="宋体" w:cs="宋体"/>
          <w:sz w:val="28"/>
          <w:szCs w:val="28"/>
        </w:rPr>
      </w:pPr>
      <w:r>
        <w:rPr>
          <w:rFonts w:hint="eastAsia" w:hAnsi="宋体" w:cs="宋体"/>
          <w:sz w:val="28"/>
          <w:szCs w:val="28"/>
        </w:rPr>
        <w:t>——生产经营单位资质证照；</w:t>
      </w:r>
    </w:p>
    <w:p>
      <w:pPr>
        <w:pStyle w:val="18"/>
        <w:ind w:firstLine="560"/>
        <w:rPr>
          <w:rFonts w:hAnsi="宋体" w:cs="宋体"/>
          <w:sz w:val="28"/>
          <w:szCs w:val="28"/>
        </w:rPr>
      </w:pPr>
      <w:r>
        <w:rPr>
          <w:rFonts w:hint="eastAsia" w:hAnsi="宋体" w:cs="宋体"/>
          <w:sz w:val="28"/>
          <w:szCs w:val="28"/>
        </w:rPr>
        <w:t>——安全生产管理机构及人员；</w:t>
      </w:r>
    </w:p>
    <w:p>
      <w:pPr>
        <w:pStyle w:val="18"/>
        <w:ind w:firstLine="560"/>
        <w:rPr>
          <w:rFonts w:hAnsi="宋体" w:cs="宋体"/>
          <w:sz w:val="28"/>
          <w:szCs w:val="28"/>
        </w:rPr>
      </w:pPr>
      <w:r>
        <w:rPr>
          <w:rFonts w:hint="eastAsia" w:hAnsi="宋体" w:cs="宋体"/>
          <w:sz w:val="28"/>
          <w:szCs w:val="28"/>
        </w:rPr>
        <w:t>——安全生产责任制；</w:t>
      </w:r>
    </w:p>
    <w:p>
      <w:pPr>
        <w:pStyle w:val="18"/>
        <w:ind w:firstLine="560"/>
        <w:rPr>
          <w:rFonts w:hAnsi="宋体" w:cs="宋体"/>
          <w:sz w:val="28"/>
          <w:szCs w:val="28"/>
        </w:rPr>
      </w:pPr>
      <w:r>
        <w:rPr>
          <w:rFonts w:hint="eastAsia" w:hAnsi="宋体" w:cs="宋体"/>
          <w:sz w:val="28"/>
          <w:szCs w:val="28"/>
        </w:rPr>
        <w:t>——安全生产管理制度；</w:t>
      </w:r>
    </w:p>
    <w:p>
      <w:pPr>
        <w:pStyle w:val="18"/>
        <w:ind w:firstLine="560"/>
        <w:rPr>
          <w:rFonts w:hAnsi="宋体" w:cs="宋体"/>
          <w:sz w:val="28"/>
          <w:szCs w:val="28"/>
        </w:rPr>
      </w:pPr>
      <w:r>
        <w:rPr>
          <w:rFonts w:hint="eastAsia" w:hAnsi="宋体" w:cs="宋体"/>
          <w:sz w:val="28"/>
          <w:szCs w:val="28"/>
        </w:rPr>
        <w:t>——教育培训；</w:t>
      </w:r>
    </w:p>
    <w:p>
      <w:pPr>
        <w:pStyle w:val="18"/>
        <w:ind w:firstLine="560"/>
        <w:rPr>
          <w:rFonts w:hAnsi="宋体" w:cs="宋体"/>
          <w:sz w:val="28"/>
          <w:szCs w:val="28"/>
        </w:rPr>
      </w:pPr>
      <w:r>
        <w:rPr>
          <w:rFonts w:hint="eastAsia" w:hAnsi="宋体" w:cs="宋体"/>
          <w:sz w:val="28"/>
          <w:szCs w:val="28"/>
        </w:rPr>
        <w:t>——安全生产管理档案；</w:t>
      </w:r>
    </w:p>
    <w:p>
      <w:pPr>
        <w:pStyle w:val="18"/>
        <w:ind w:firstLine="560"/>
        <w:rPr>
          <w:rFonts w:hAnsi="宋体" w:cs="宋体"/>
          <w:sz w:val="28"/>
          <w:szCs w:val="28"/>
        </w:rPr>
      </w:pPr>
      <w:r>
        <w:rPr>
          <w:rFonts w:hint="eastAsia" w:hAnsi="宋体" w:cs="宋体"/>
          <w:sz w:val="28"/>
          <w:szCs w:val="28"/>
        </w:rPr>
        <w:t>——安全生产投入；</w:t>
      </w:r>
    </w:p>
    <w:p>
      <w:pPr>
        <w:pStyle w:val="18"/>
        <w:ind w:firstLine="560"/>
        <w:rPr>
          <w:rFonts w:hAnsi="宋体" w:cs="宋体"/>
          <w:sz w:val="28"/>
          <w:szCs w:val="28"/>
        </w:rPr>
      </w:pPr>
      <w:r>
        <w:rPr>
          <w:rFonts w:hint="eastAsia" w:hAnsi="宋体" w:cs="宋体"/>
          <w:sz w:val="28"/>
          <w:szCs w:val="28"/>
        </w:rPr>
        <w:t>——应急管理；</w:t>
      </w:r>
    </w:p>
    <w:p>
      <w:pPr>
        <w:pStyle w:val="18"/>
        <w:ind w:firstLine="560"/>
        <w:rPr>
          <w:rFonts w:hAnsi="宋体" w:cs="宋体"/>
          <w:sz w:val="28"/>
          <w:szCs w:val="28"/>
        </w:rPr>
      </w:pPr>
      <w:r>
        <w:rPr>
          <w:rFonts w:hint="eastAsia" w:hAnsi="宋体" w:cs="宋体"/>
          <w:sz w:val="28"/>
          <w:szCs w:val="28"/>
        </w:rPr>
        <w:t>——职业卫生基础管理；</w:t>
      </w:r>
    </w:p>
    <w:p>
      <w:pPr>
        <w:pStyle w:val="18"/>
        <w:ind w:firstLine="560"/>
        <w:rPr>
          <w:rFonts w:hAnsi="宋体" w:cs="宋体"/>
          <w:sz w:val="28"/>
          <w:szCs w:val="28"/>
        </w:rPr>
      </w:pPr>
      <w:r>
        <w:rPr>
          <w:rFonts w:hint="eastAsia" w:hAnsi="宋体" w:cs="宋体"/>
          <w:sz w:val="28"/>
          <w:szCs w:val="28"/>
        </w:rPr>
        <w:t>——相关方安全管理；</w:t>
      </w:r>
    </w:p>
    <w:p>
      <w:pPr>
        <w:pStyle w:val="18"/>
        <w:ind w:firstLine="560"/>
        <w:rPr>
          <w:rFonts w:hAnsi="宋体" w:cs="宋体"/>
          <w:sz w:val="28"/>
          <w:szCs w:val="28"/>
        </w:rPr>
      </w:pPr>
      <w:r>
        <w:rPr>
          <w:rFonts w:hint="eastAsia" w:hAnsi="宋体" w:cs="宋体"/>
          <w:sz w:val="28"/>
          <w:szCs w:val="28"/>
        </w:rPr>
        <w:t>——基础管理其他方面。</w:t>
      </w:r>
    </w:p>
    <w:p>
      <w:pPr>
        <w:pStyle w:val="41"/>
        <w:spacing w:before="312" w:after="312"/>
        <w:rPr>
          <w:rFonts w:ascii="宋体" w:hAnsi="宋体" w:eastAsia="宋体" w:cs="宋体"/>
          <w:b/>
          <w:bCs/>
          <w:sz w:val="28"/>
          <w:szCs w:val="28"/>
        </w:rPr>
      </w:pPr>
      <w:bookmarkStart w:id="865" w:name="_Toc3293_WPSOffice_Level2"/>
      <w:bookmarkStart w:id="866" w:name="_Toc31086_WPSOffice_Level2"/>
      <w:bookmarkStart w:id="867" w:name="_Toc487713732"/>
      <w:bookmarkStart w:id="868" w:name="_Toc18003_WPSOffice_Level2"/>
      <w:bookmarkStart w:id="869" w:name="_Toc15900_WPSOffice_Level2"/>
      <w:bookmarkStart w:id="870" w:name="_Toc11517"/>
      <w:bookmarkStart w:id="871" w:name="_Toc2413_WPSOffice_Level2"/>
      <w:r>
        <w:rPr>
          <w:rFonts w:hint="eastAsia" w:ascii="宋体" w:hAnsi="宋体" w:eastAsia="宋体" w:cs="宋体"/>
          <w:b/>
          <w:bCs/>
          <w:sz w:val="28"/>
          <w:szCs w:val="28"/>
        </w:rPr>
        <w:t>工作程序和内容</w:t>
      </w:r>
      <w:bookmarkEnd w:id="865"/>
      <w:bookmarkEnd w:id="866"/>
      <w:bookmarkEnd w:id="867"/>
      <w:bookmarkEnd w:id="868"/>
      <w:bookmarkEnd w:id="869"/>
      <w:bookmarkEnd w:id="870"/>
      <w:bookmarkEnd w:id="871"/>
    </w:p>
    <w:p>
      <w:pPr>
        <w:pStyle w:val="33"/>
        <w:spacing w:before="156" w:after="156"/>
        <w:rPr>
          <w:rFonts w:ascii="宋体" w:hAnsi="宋体" w:eastAsia="宋体" w:cs="宋体"/>
          <w:b/>
          <w:bCs/>
          <w:sz w:val="28"/>
          <w:szCs w:val="28"/>
        </w:rPr>
      </w:pPr>
      <w:bookmarkStart w:id="872" w:name="_Toc28550"/>
      <w:bookmarkStart w:id="873" w:name="_Toc479928011"/>
      <w:bookmarkStart w:id="874" w:name="_Toc479928501"/>
      <w:bookmarkStart w:id="875" w:name="_Toc487713733"/>
      <w:bookmarkStart w:id="876" w:name="_Toc479927957"/>
      <w:r>
        <w:rPr>
          <w:rFonts w:hint="eastAsia" w:ascii="宋体" w:hAnsi="宋体" w:eastAsia="宋体" w:cs="宋体"/>
          <w:b/>
          <w:bCs/>
          <w:sz w:val="28"/>
          <w:szCs w:val="28"/>
        </w:rPr>
        <w:t>编制排查项目清单</w:t>
      </w:r>
      <w:bookmarkEnd w:id="872"/>
      <w:bookmarkEnd w:id="873"/>
      <w:bookmarkEnd w:id="874"/>
      <w:bookmarkEnd w:id="875"/>
      <w:bookmarkEnd w:id="876"/>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基本要求</w:t>
      </w:r>
    </w:p>
    <w:p>
      <w:pPr>
        <w:pStyle w:val="18"/>
        <w:ind w:firstLine="560"/>
        <w:rPr>
          <w:rFonts w:hAnsi="宋体" w:cs="宋体"/>
          <w:sz w:val="28"/>
          <w:szCs w:val="28"/>
        </w:rPr>
      </w:pPr>
      <w:r>
        <w:rPr>
          <w:rFonts w:hint="eastAsia" w:hAnsi="宋体" w:cs="宋体"/>
          <w:sz w:val="28"/>
          <w:szCs w:val="28"/>
        </w:rPr>
        <w:t>本公司依据确定的各类风险点的全部控制措施和基础安全管理要求，编制排查项目清单。隐患排查项目清单包括生产现场类隐患排查清单和基础管理类隐患排查清单。</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生产现场类隐患排查项目清单</w:t>
      </w:r>
    </w:p>
    <w:p>
      <w:pPr>
        <w:pStyle w:val="18"/>
        <w:ind w:firstLine="560"/>
        <w:rPr>
          <w:rFonts w:hAnsi="宋体" w:cs="宋体"/>
          <w:sz w:val="28"/>
          <w:szCs w:val="28"/>
        </w:rPr>
      </w:pPr>
      <w:r>
        <w:rPr>
          <w:rFonts w:hint="eastAsia" w:hAnsi="宋体" w:cs="宋体"/>
          <w:sz w:val="28"/>
          <w:szCs w:val="28"/>
        </w:rPr>
        <w:t>以各类风险点为基本单元，依据风险分级管控体系中各风险点的控制措施和标准、规程要求编制，至少包括：排查范围（风险点）、排查内容与排查标准、排查类型、排查周期、组织级别等信息，参见附录A。</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基础管理类隐患排查项目清单</w:t>
      </w:r>
    </w:p>
    <w:p>
      <w:pPr>
        <w:pStyle w:val="18"/>
        <w:ind w:firstLine="560"/>
        <w:rPr>
          <w:rFonts w:hAnsi="宋体" w:cs="宋体"/>
          <w:sz w:val="28"/>
          <w:szCs w:val="28"/>
        </w:rPr>
      </w:pPr>
      <w:r>
        <w:rPr>
          <w:rFonts w:hint="eastAsia" w:hAnsi="宋体" w:cs="宋体"/>
          <w:sz w:val="28"/>
          <w:szCs w:val="28"/>
        </w:rPr>
        <w:t>以各类基础管理项目为基本单元，依据有关法律、法规、技术标准、规程要求编制，至少包括：排查项目、排查内容与排查标准、排查类型、排查周期、组织级别等信息，参见附录B。</w:t>
      </w:r>
    </w:p>
    <w:p>
      <w:pPr>
        <w:pStyle w:val="33"/>
        <w:spacing w:before="156" w:after="156"/>
        <w:rPr>
          <w:rFonts w:ascii="宋体" w:hAnsi="宋体" w:eastAsia="宋体" w:cs="宋体"/>
          <w:b/>
          <w:bCs/>
          <w:sz w:val="28"/>
          <w:szCs w:val="28"/>
        </w:rPr>
      </w:pPr>
      <w:bookmarkStart w:id="877" w:name="_Toc479927958"/>
      <w:bookmarkStart w:id="878" w:name="_Toc487713734"/>
      <w:bookmarkStart w:id="879" w:name="_Toc9007"/>
      <w:bookmarkStart w:id="880" w:name="_Toc479928012"/>
      <w:bookmarkStart w:id="881" w:name="_Toc479928502"/>
      <w:r>
        <w:rPr>
          <w:rFonts w:hint="eastAsia" w:ascii="宋体" w:hAnsi="宋体" w:eastAsia="宋体" w:cs="宋体"/>
          <w:b/>
          <w:bCs/>
          <w:sz w:val="28"/>
          <w:szCs w:val="28"/>
        </w:rPr>
        <w:t>制定排查计划</w:t>
      </w:r>
      <w:bookmarkEnd w:id="877"/>
      <w:bookmarkEnd w:id="878"/>
      <w:bookmarkEnd w:id="879"/>
      <w:bookmarkEnd w:id="880"/>
      <w:bookmarkEnd w:id="881"/>
    </w:p>
    <w:p>
      <w:pPr>
        <w:pStyle w:val="18"/>
        <w:ind w:firstLine="560"/>
        <w:rPr>
          <w:rFonts w:hAnsi="宋体" w:cs="宋体"/>
          <w:sz w:val="28"/>
          <w:szCs w:val="28"/>
        </w:rPr>
      </w:pPr>
      <w:r>
        <w:rPr>
          <w:rFonts w:hint="eastAsia" w:hAnsi="宋体" w:cs="宋体"/>
          <w:sz w:val="28"/>
          <w:szCs w:val="28"/>
        </w:rPr>
        <w:t>工贸企业应根据生产运行特点，制定隐患排查计划，明确各类型隐患排查的排查时间、排查目的、排查要求、排查范围、组织级别及排查人员等。</w:t>
      </w:r>
    </w:p>
    <w:p>
      <w:pPr>
        <w:pStyle w:val="33"/>
        <w:spacing w:before="156" w:after="156"/>
        <w:rPr>
          <w:rFonts w:ascii="宋体" w:hAnsi="宋体" w:eastAsia="宋体" w:cs="宋体"/>
          <w:b/>
          <w:bCs/>
          <w:sz w:val="28"/>
          <w:szCs w:val="28"/>
        </w:rPr>
      </w:pPr>
      <w:bookmarkStart w:id="882" w:name="_Toc487713735"/>
      <w:bookmarkStart w:id="883" w:name="_Toc26579"/>
      <w:bookmarkStart w:id="884" w:name="_Toc479928013"/>
      <w:bookmarkStart w:id="885" w:name="_Toc479927959"/>
      <w:bookmarkStart w:id="886" w:name="_Toc479928503"/>
      <w:r>
        <w:rPr>
          <w:rFonts w:hint="eastAsia" w:ascii="宋体" w:hAnsi="宋体" w:eastAsia="宋体" w:cs="宋体"/>
          <w:b/>
          <w:bCs/>
          <w:sz w:val="28"/>
          <w:szCs w:val="28"/>
        </w:rPr>
        <w:t>隐患排查</w:t>
      </w:r>
      <w:bookmarkEnd w:id="882"/>
      <w:bookmarkEnd w:id="883"/>
      <w:bookmarkEnd w:id="884"/>
      <w:bookmarkEnd w:id="885"/>
      <w:bookmarkEnd w:id="886"/>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排查类型</w:t>
      </w:r>
    </w:p>
    <w:p>
      <w:pPr>
        <w:pStyle w:val="18"/>
        <w:ind w:firstLine="560"/>
        <w:rPr>
          <w:rFonts w:hAnsi="宋体" w:cs="宋体"/>
          <w:sz w:val="28"/>
          <w:szCs w:val="28"/>
        </w:rPr>
      </w:pPr>
      <w:r>
        <w:rPr>
          <w:rFonts w:hint="eastAsia" w:hAnsi="宋体" w:cs="宋体"/>
          <w:sz w:val="28"/>
          <w:szCs w:val="28"/>
        </w:rPr>
        <w:t>排查类型主要包括：</w:t>
      </w:r>
    </w:p>
    <w:p>
      <w:pPr>
        <w:pStyle w:val="25"/>
        <w:rPr>
          <w:rFonts w:hAnsi="宋体" w:cs="宋体"/>
          <w:sz w:val="28"/>
          <w:szCs w:val="28"/>
        </w:rPr>
      </w:pPr>
      <w:r>
        <w:rPr>
          <w:rFonts w:hint="eastAsia" w:hAnsi="宋体" w:cs="宋体"/>
          <w:sz w:val="28"/>
          <w:szCs w:val="28"/>
        </w:rPr>
        <w:t>日常隐患排查是指班组、岗位员工的交接班检查和班中巡回检查，以及基层单位负责人和工艺、设备、电气、安全管理等专业技术人员的经常性检查。</w:t>
      </w:r>
    </w:p>
    <w:p>
      <w:pPr>
        <w:pStyle w:val="25"/>
        <w:rPr>
          <w:rFonts w:hAnsi="宋体" w:cs="宋体"/>
          <w:sz w:val="28"/>
          <w:szCs w:val="28"/>
        </w:rPr>
      </w:pPr>
      <w:r>
        <w:rPr>
          <w:rFonts w:hint="eastAsia" w:hAnsi="宋体" w:cs="宋体"/>
          <w:sz w:val="28"/>
          <w:szCs w:val="28"/>
        </w:rPr>
        <w:t>综合性隐患排查是指以保障安全生产为目的，以安全责任制、各项专业管理制度和安全生产管理制度落实情况为重点，各有关专业和部门共同参与的全面排查；</w:t>
      </w:r>
    </w:p>
    <w:p>
      <w:pPr>
        <w:pStyle w:val="25"/>
        <w:rPr>
          <w:rFonts w:hAnsi="宋体" w:cs="宋体"/>
          <w:sz w:val="28"/>
          <w:szCs w:val="28"/>
        </w:rPr>
      </w:pPr>
      <w:r>
        <w:rPr>
          <w:rFonts w:hint="eastAsia" w:hAnsi="宋体" w:cs="宋体"/>
          <w:sz w:val="28"/>
          <w:szCs w:val="28"/>
        </w:rPr>
        <w:t>专业或专项隐患排查主要是指：</w:t>
      </w:r>
    </w:p>
    <w:p>
      <w:pPr>
        <w:pStyle w:val="42"/>
        <w:rPr>
          <w:rFonts w:hAnsi="宋体" w:cs="宋体"/>
          <w:sz w:val="28"/>
          <w:szCs w:val="28"/>
        </w:rPr>
      </w:pPr>
      <w:r>
        <w:rPr>
          <w:rFonts w:hint="eastAsia" w:hAnsi="宋体" w:cs="宋体"/>
          <w:sz w:val="28"/>
          <w:szCs w:val="28"/>
        </w:rPr>
        <w:t>对工艺、设备、电气、建筑结构、消防与公辅等分别进行的专业排查；</w:t>
      </w:r>
    </w:p>
    <w:p>
      <w:pPr>
        <w:pStyle w:val="42"/>
        <w:rPr>
          <w:rFonts w:hAnsi="宋体" w:cs="宋体"/>
          <w:sz w:val="28"/>
          <w:szCs w:val="28"/>
        </w:rPr>
      </w:pPr>
      <w:r>
        <w:rPr>
          <w:rFonts w:hint="eastAsia" w:hAnsi="宋体" w:cs="宋体"/>
          <w:sz w:val="28"/>
          <w:szCs w:val="28"/>
        </w:rPr>
        <w:t>根据行业特点对生产场所、环境、人员、设备设施和所有作业及管理活动进行的专项隐患排查；</w:t>
      </w:r>
    </w:p>
    <w:p>
      <w:pPr>
        <w:pStyle w:val="25"/>
        <w:rPr>
          <w:rFonts w:hAnsi="宋体" w:cs="宋体"/>
          <w:sz w:val="28"/>
          <w:szCs w:val="28"/>
        </w:rPr>
      </w:pPr>
      <w:r>
        <w:rPr>
          <w:rFonts w:hint="eastAsia" w:hAnsi="宋体" w:cs="宋体"/>
          <w:sz w:val="28"/>
          <w:szCs w:val="28"/>
        </w:rPr>
        <w:t>季节性排查是指根据各行业季节特点结合企业实际情况开展的专项隐患检查，主要包括：</w:t>
      </w:r>
    </w:p>
    <w:p>
      <w:pPr>
        <w:pStyle w:val="42"/>
        <w:rPr>
          <w:rFonts w:hAnsi="宋体" w:cs="宋体"/>
          <w:sz w:val="28"/>
          <w:szCs w:val="28"/>
        </w:rPr>
      </w:pPr>
      <w:r>
        <w:rPr>
          <w:rFonts w:hint="eastAsia" w:hAnsi="宋体" w:cs="宋体"/>
          <w:sz w:val="28"/>
          <w:szCs w:val="28"/>
        </w:rPr>
        <w:t>春季以防雷、防火等为重点；</w:t>
      </w:r>
    </w:p>
    <w:p>
      <w:pPr>
        <w:pStyle w:val="42"/>
        <w:rPr>
          <w:rFonts w:hAnsi="宋体" w:cs="宋体"/>
          <w:sz w:val="28"/>
          <w:szCs w:val="28"/>
        </w:rPr>
      </w:pPr>
      <w:r>
        <w:rPr>
          <w:rFonts w:hint="eastAsia" w:hAnsi="宋体" w:cs="宋体"/>
          <w:sz w:val="28"/>
          <w:szCs w:val="28"/>
        </w:rPr>
        <w:t>夏季以防雷暴、防台风、防洪、防暑降温等为重点；</w:t>
      </w:r>
    </w:p>
    <w:p>
      <w:pPr>
        <w:pStyle w:val="42"/>
        <w:rPr>
          <w:rFonts w:hAnsi="宋体" w:cs="宋体"/>
          <w:sz w:val="28"/>
          <w:szCs w:val="28"/>
        </w:rPr>
      </w:pPr>
      <w:r>
        <w:rPr>
          <w:rFonts w:hint="eastAsia" w:hAnsi="宋体" w:cs="宋体"/>
          <w:sz w:val="28"/>
          <w:szCs w:val="28"/>
        </w:rPr>
        <w:t>秋季以防雷暴、防火等为重点；</w:t>
      </w:r>
    </w:p>
    <w:p>
      <w:pPr>
        <w:pStyle w:val="42"/>
        <w:rPr>
          <w:rFonts w:hAnsi="宋体" w:cs="宋体"/>
          <w:sz w:val="28"/>
          <w:szCs w:val="28"/>
        </w:rPr>
      </w:pPr>
      <w:r>
        <w:rPr>
          <w:rFonts w:hint="eastAsia" w:hAnsi="宋体" w:cs="宋体"/>
          <w:sz w:val="28"/>
          <w:szCs w:val="28"/>
        </w:rPr>
        <w:t>冬季以防火、防爆、防雪、防滑等为重点。</w:t>
      </w:r>
    </w:p>
    <w:p>
      <w:pPr>
        <w:pStyle w:val="25"/>
        <w:rPr>
          <w:rFonts w:hAnsi="宋体" w:cs="宋体"/>
          <w:sz w:val="28"/>
          <w:szCs w:val="28"/>
        </w:rPr>
      </w:pPr>
      <w:r>
        <w:rPr>
          <w:rFonts w:hint="eastAsia" w:hAnsi="宋体" w:cs="宋体"/>
          <w:sz w:val="28"/>
          <w:szCs w:val="28"/>
        </w:rPr>
        <w:t>节假日隐患排查主要是指节前对安全、保卫、消防、生产准备、备用设备、应急预案等进行排查，特别对节日期间各级管理人员、检修队伍的值班安排和安全措施、原辅料、备品备件、应急预案及物资的落实情况等进行重点排查；</w:t>
      </w:r>
    </w:p>
    <w:p>
      <w:pPr>
        <w:pStyle w:val="25"/>
        <w:rPr>
          <w:rFonts w:hAnsi="宋体" w:cs="宋体"/>
          <w:sz w:val="28"/>
          <w:szCs w:val="28"/>
        </w:rPr>
      </w:pPr>
      <w:r>
        <w:rPr>
          <w:rFonts w:hint="eastAsia" w:hAnsi="宋体" w:cs="宋体"/>
          <w:sz w:val="28"/>
          <w:szCs w:val="28"/>
        </w:rPr>
        <w:t>专家诊断性检查是指技术力量不足或安全生产管理经验欠缺的企业委托安全生产专家排查隐患；</w:t>
      </w:r>
    </w:p>
    <w:p>
      <w:pPr>
        <w:pStyle w:val="25"/>
        <w:rPr>
          <w:rFonts w:hAnsi="宋体" w:cs="宋体"/>
          <w:sz w:val="28"/>
          <w:szCs w:val="28"/>
        </w:rPr>
      </w:pPr>
      <w:r>
        <w:rPr>
          <w:rFonts w:hint="eastAsia" w:hAnsi="宋体" w:cs="宋体"/>
          <w:sz w:val="28"/>
          <w:szCs w:val="28"/>
        </w:rPr>
        <w:t>事故类比隐患排查是对企业内或同类企业发生事故后的举一反三的安全排查。</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排查要求</w:t>
      </w:r>
    </w:p>
    <w:p>
      <w:pPr>
        <w:pStyle w:val="18"/>
        <w:ind w:firstLine="560"/>
        <w:rPr>
          <w:rFonts w:hAnsi="宋体" w:cs="宋体"/>
          <w:sz w:val="28"/>
          <w:szCs w:val="28"/>
        </w:rPr>
      </w:pPr>
      <w:r>
        <w:rPr>
          <w:rFonts w:hint="eastAsia" w:hAnsi="宋体" w:cs="宋体"/>
          <w:sz w:val="28"/>
          <w:szCs w:val="28"/>
        </w:rPr>
        <w:t>隐患排查应做到全面覆盖、责任到人，定期排查与日常管理相结合，专业排查与综合排查相结合，一般排查与重点排查相结合。</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组织级别</w:t>
      </w:r>
    </w:p>
    <w:p>
      <w:pPr>
        <w:pStyle w:val="18"/>
        <w:ind w:firstLine="560"/>
        <w:rPr>
          <w:rFonts w:hAnsi="宋体" w:cs="宋体"/>
          <w:sz w:val="28"/>
          <w:szCs w:val="28"/>
        </w:rPr>
      </w:pPr>
      <w:r>
        <w:rPr>
          <w:rFonts w:hint="eastAsia" w:hAnsi="宋体" w:cs="宋体"/>
          <w:sz w:val="28"/>
          <w:szCs w:val="28"/>
        </w:rPr>
        <w:t>本公司应根据排查类型结合自身组织架构确定不同的排查组织级别。排查组织级别一般包括公司级、部门级、车间级、班组级，也可结合本单位机构设置情况对组织级别进行调整。</w:t>
      </w:r>
    </w:p>
    <w:p>
      <w:pPr>
        <w:pStyle w:val="24"/>
        <w:rPr>
          <w:rFonts w:hAnsi="宋体" w:cs="宋体"/>
          <w:sz w:val="28"/>
          <w:szCs w:val="28"/>
        </w:rPr>
      </w:pPr>
      <w:r>
        <w:rPr>
          <w:rFonts w:hint="eastAsia" w:hAnsi="宋体" w:cs="宋体"/>
          <w:sz w:val="28"/>
          <w:szCs w:val="28"/>
        </w:rPr>
        <w:t>日常隐患排查的组织级别为班组级、岗位级；</w:t>
      </w:r>
    </w:p>
    <w:p>
      <w:pPr>
        <w:pStyle w:val="24"/>
        <w:rPr>
          <w:rFonts w:hAnsi="宋体" w:cs="宋体"/>
          <w:sz w:val="28"/>
          <w:szCs w:val="28"/>
        </w:rPr>
      </w:pPr>
      <w:r>
        <w:rPr>
          <w:rFonts w:hint="eastAsia" w:hAnsi="宋体" w:cs="宋体"/>
          <w:sz w:val="28"/>
          <w:szCs w:val="28"/>
        </w:rPr>
        <w:t>综合性隐患排查的组织级别为公司级、车间级；</w:t>
      </w:r>
    </w:p>
    <w:p>
      <w:pPr>
        <w:pStyle w:val="24"/>
        <w:rPr>
          <w:rFonts w:hAnsi="宋体" w:cs="宋体"/>
          <w:sz w:val="28"/>
          <w:szCs w:val="28"/>
        </w:rPr>
      </w:pPr>
      <w:r>
        <w:rPr>
          <w:rFonts w:hint="eastAsia" w:hAnsi="宋体" w:cs="宋体"/>
          <w:sz w:val="28"/>
          <w:szCs w:val="28"/>
        </w:rPr>
        <w:t>专业性隐患排查的组织级别为部门级，按照专业类别划分；</w:t>
      </w:r>
    </w:p>
    <w:p>
      <w:pPr>
        <w:pStyle w:val="24"/>
        <w:rPr>
          <w:rFonts w:hAnsi="宋体" w:cs="宋体"/>
          <w:sz w:val="28"/>
          <w:szCs w:val="28"/>
        </w:rPr>
      </w:pPr>
      <w:r>
        <w:rPr>
          <w:rFonts w:hint="eastAsia" w:hAnsi="宋体" w:cs="宋体"/>
          <w:sz w:val="28"/>
          <w:szCs w:val="28"/>
        </w:rPr>
        <w:t>季节性隐患排查的组织级别为公司级、部门级、车间级；</w:t>
      </w:r>
    </w:p>
    <w:p>
      <w:pPr>
        <w:pStyle w:val="24"/>
        <w:rPr>
          <w:rFonts w:hAnsi="宋体" w:cs="宋体"/>
          <w:sz w:val="28"/>
          <w:szCs w:val="28"/>
        </w:rPr>
      </w:pPr>
      <w:r>
        <w:rPr>
          <w:rFonts w:hint="eastAsia" w:hAnsi="宋体" w:cs="宋体"/>
          <w:sz w:val="28"/>
          <w:szCs w:val="28"/>
        </w:rPr>
        <w:t>节假日隐患排查的组织级别为公司级、部门级、车间级。</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排查周期</w:t>
      </w:r>
    </w:p>
    <w:p>
      <w:pPr>
        <w:pStyle w:val="36"/>
        <w:rPr>
          <w:rFonts w:hAnsi="宋体" w:cs="宋体"/>
          <w:sz w:val="28"/>
          <w:szCs w:val="28"/>
        </w:rPr>
      </w:pPr>
      <w:r>
        <w:rPr>
          <w:rFonts w:hint="eastAsia" w:hAnsi="宋体" w:cs="宋体"/>
          <w:sz w:val="28"/>
          <w:szCs w:val="28"/>
        </w:rPr>
        <w:t>本公司根据法律、法规要求，结合企业生产工艺特点，确定日常、综合、专业或专项、季节、节假日等隐患排查类型的周期。具体包括：</w:t>
      </w:r>
    </w:p>
    <w:p>
      <w:pPr>
        <w:pStyle w:val="24"/>
        <w:rPr>
          <w:rFonts w:hAnsi="宋体" w:cs="宋体"/>
          <w:sz w:val="28"/>
          <w:szCs w:val="28"/>
        </w:rPr>
      </w:pPr>
      <w:r>
        <w:rPr>
          <w:rFonts w:hint="eastAsia" w:hAnsi="宋体" w:cs="宋体"/>
          <w:sz w:val="28"/>
          <w:szCs w:val="28"/>
        </w:rPr>
        <w:t>日常隐患排查周期根据风险分级管控相关内容和各企业实际情况确定；</w:t>
      </w:r>
    </w:p>
    <w:p>
      <w:pPr>
        <w:pStyle w:val="24"/>
        <w:rPr>
          <w:rFonts w:hAnsi="宋体" w:cs="宋体"/>
          <w:sz w:val="28"/>
          <w:szCs w:val="28"/>
        </w:rPr>
      </w:pPr>
      <w:r>
        <w:rPr>
          <w:rFonts w:hint="eastAsia" w:hAnsi="宋体" w:cs="宋体"/>
          <w:sz w:val="28"/>
          <w:szCs w:val="28"/>
        </w:rPr>
        <w:t>综合性隐患排查应由公司级至少每季度组织一次；基层单位（车间）结合岗位责任制排查，至少每月组织一次；</w:t>
      </w:r>
    </w:p>
    <w:p>
      <w:pPr>
        <w:pStyle w:val="24"/>
        <w:rPr>
          <w:rFonts w:hAnsi="宋体" w:cs="宋体"/>
          <w:sz w:val="28"/>
          <w:szCs w:val="28"/>
        </w:rPr>
      </w:pPr>
      <w:r>
        <w:rPr>
          <w:rFonts w:hint="eastAsia" w:hAnsi="宋体" w:cs="宋体"/>
          <w:sz w:val="28"/>
          <w:szCs w:val="28"/>
        </w:rPr>
        <w:t>专业或专项隐患排查应由工艺、设备、电气等专业技术人员或相关部门至少每半年组织一次；</w:t>
      </w:r>
    </w:p>
    <w:p>
      <w:pPr>
        <w:pStyle w:val="24"/>
        <w:rPr>
          <w:rFonts w:hAnsi="宋体" w:cs="宋体"/>
          <w:sz w:val="28"/>
          <w:szCs w:val="28"/>
        </w:rPr>
      </w:pPr>
      <w:r>
        <w:rPr>
          <w:rFonts w:hint="eastAsia" w:hAnsi="宋体" w:cs="宋体"/>
          <w:sz w:val="28"/>
          <w:szCs w:val="28"/>
        </w:rPr>
        <w:t>季节性隐患排查应根据季节性特点及本单位的生产实际，至少每季度开展一次；</w:t>
      </w:r>
    </w:p>
    <w:p>
      <w:pPr>
        <w:pStyle w:val="24"/>
        <w:rPr>
          <w:rFonts w:hAnsi="宋体" w:cs="宋体"/>
          <w:sz w:val="28"/>
          <w:szCs w:val="28"/>
        </w:rPr>
      </w:pPr>
      <w:r>
        <w:rPr>
          <w:rFonts w:hint="eastAsia" w:hAnsi="宋体" w:cs="宋体"/>
          <w:sz w:val="28"/>
          <w:szCs w:val="28"/>
        </w:rPr>
        <w:t>节假日隐患排查应在重大活动及节假日前进行一次隐患排查。</w:t>
      </w:r>
    </w:p>
    <w:p>
      <w:pPr>
        <w:pStyle w:val="36"/>
        <w:rPr>
          <w:rFonts w:hAnsi="宋体" w:cs="宋体"/>
          <w:sz w:val="28"/>
          <w:szCs w:val="28"/>
        </w:rPr>
      </w:pPr>
      <w:r>
        <w:rPr>
          <w:rFonts w:hint="eastAsia" w:hAnsi="宋体" w:cs="宋体"/>
          <w:sz w:val="28"/>
          <w:szCs w:val="28"/>
        </w:rPr>
        <w:t>当发生以下情形之一，工贸企业应及时组织进行相关专项隐患排查：</w:t>
      </w:r>
    </w:p>
    <w:p>
      <w:pPr>
        <w:pStyle w:val="24"/>
        <w:rPr>
          <w:rFonts w:hAnsi="宋体" w:cs="宋体"/>
          <w:sz w:val="28"/>
          <w:szCs w:val="28"/>
        </w:rPr>
      </w:pPr>
      <w:r>
        <w:rPr>
          <w:rFonts w:hint="eastAsia" w:hAnsi="宋体" w:cs="宋体"/>
          <w:sz w:val="28"/>
          <w:szCs w:val="28"/>
        </w:rPr>
        <w:t>颁布实施有关新的法律法规、标准规范或原有适用法律法规、标准规范重新修订的；</w:t>
      </w:r>
    </w:p>
    <w:p>
      <w:pPr>
        <w:pStyle w:val="24"/>
        <w:rPr>
          <w:rFonts w:hAnsi="宋体" w:cs="宋体"/>
          <w:sz w:val="28"/>
          <w:szCs w:val="28"/>
        </w:rPr>
      </w:pPr>
      <w:r>
        <w:rPr>
          <w:rFonts w:hint="eastAsia" w:hAnsi="宋体" w:cs="宋体"/>
          <w:sz w:val="28"/>
          <w:szCs w:val="28"/>
        </w:rPr>
        <w:t>组织机构和人员发生重大调整的；</w:t>
      </w:r>
    </w:p>
    <w:p>
      <w:pPr>
        <w:pStyle w:val="24"/>
        <w:rPr>
          <w:rFonts w:hAnsi="宋体" w:cs="宋体"/>
          <w:sz w:val="28"/>
          <w:szCs w:val="28"/>
        </w:rPr>
      </w:pPr>
      <w:r>
        <w:rPr>
          <w:rFonts w:hint="eastAsia" w:hAnsi="宋体" w:cs="宋体"/>
          <w:sz w:val="28"/>
          <w:szCs w:val="28"/>
        </w:rPr>
        <w:t>装置工艺、设备、电气、公用工程或操作参数发生重大改变的；</w:t>
      </w:r>
    </w:p>
    <w:p>
      <w:pPr>
        <w:pStyle w:val="24"/>
        <w:rPr>
          <w:rFonts w:hAnsi="宋体" w:cs="宋体"/>
          <w:sz w:val="28"/>
          <w:szCs w:val="28"/>
        </w:rPr>
      </w:pPr>
      <w:r>
        <w:rPr>
          <w:rFonts w:hint="eastAsia" w:hAnsi="宋体" w:cs="宋体"/>
          <w:sz w:val="28"/>
          <w:szCs w:val="28"/>
        </w:rPr>
        <w:t>外部安全生产环境发生重大变化；</w:t>
      </w:r>
    </w:p>
    <w:p>
      <w:pPr>
        <w:pStyle w:val="24"/>
        <w:rPr>
          <w:rFonts w:hAnsi="宋体" w:cs="宋体"/>
          <w:sz w:val="28"/>
          <w:szCs w:val="28"/>
        </w:rPr>
      </w:pPr>
      <w:r>
        <w:rPr>
          <w:rFonts w:hint="eastAsia" w:hAnsi="宋体" w:cs="宋体"/>
          <w:sz w:val="28"/>
          <w:szCs w:val="28"/>
        </w:rPr>
        <w:t>发生事故或对事故、事件有新的认识；</w:t>
      </w:r>
    </w:p>
    <w:p>
      <w:pPr>
        <w:pStyle w:val="24"/>
        <w:rPr>
          <w:rFonts w:hAnsi="宋体" w:cs="宋体"/>
          <w:sz w:val="28"/>
          <w:szCs w:val="28"/>
        </w:rPr>
      </w:pPr>
      <w:r>
        <w:rPr>
          <w:rFonts w:hint="eastAsia" w:hAnsi="宋体" w:cs="宋体"/>
          <w:sz w:val="28"/>
          <w:szCs w:val="28"/>
        </w:rPr>
        <w:t>气候条件发生大的变化或预报可能发生重大自然灾害。</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确定排查项目</w:t>
      </w:r>
    </w:p>
    <w:p>
      <w:pPr>
        <w:pStyle w:val="18"/>
        <w:ind w:firstLine="560"/>
        <w:rPr>
          <w:rFonts w:hAnsi="宋体" w:cs="宋体"/>
          <w:sz w:val="28"/>
          <w:szCs w:val="28"/>
        </w:rPr>
      </w:pPr>
      <w:r>
        <w:rPr>
          <w:rFonts w:hint="eastAsia" w:hAnsi="宋体" w:cs="宋体"/>
          <w:sz w:val="28"/>
          <w:szCs w:val="28"/>
        </w:rPr>
        <w:t>实施隐患排查前，应根据排查类型、组织级别及排查周期，在排查项目清单中确定具体排查项目，结合《工贸行业较大危险因素辨识与防范指导手册（2016版）》等相关法律法规、技术标准形成各种排查类型的隐患排查表,由各组织级别按照排查计划定期进行隐患排查。</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排查结果记录</w:t>
      </w:r>
    </w:p>
    <w:p>
      <w:pPr>
        <w:pStyle w:val="18"/>
        <w:ind w:firstLine="560"/>
        <w:rPr>
          <w:rFonts w:hAnsi="宋体" w:cs="宋体"/>
          <w:sz w:val="28"/>
          <w:szCs w:val="28"/>
        </w:rPr>
      </w:pPr>
      <w:r>
        <w:rPr>
          <w:rFonts w:hint="eastAsia" w:hAnsi="宋体" w:cs="宋体"/>
          <w:sz w:val="28"/>
          <w:szCs w:val="28"/>
        </w:rPr>
        <w:t>各相关层级的组织部门和单位对照确定的隐患排查表进行隐患排查并记录，生产现场类隐患宜保留影像记录。</w:t>
      </w:r>
    </w:p>
    <w:p>
      <w:pPr>
        <w:pStyle w:val="33"/>
        <w:spacing w:before="156" w:after="156"/>
        <w:rPr>
          <w:rFonts w:ascii="宋体" w:hAnsi="宋体" w:eastAsia="宋体" w:cs="宋体"/>
          <w:b/>
          <w:bCs/>
          <w:sz w:val="28"/>
          <w:szCs w:val="28"/>
        </w:rPr>
      </w:pPr>
      <w:bookmarkStart w:id="887" w:name="_Toc479928014"/>
      <w:bookmarkStart w:id="888" w:name="_Toc18106"/>
      <w:bookmarkStart w:id="889" w:name="_Toc479927960"/>
      <w:bookmarkStart w:id="890" w:name="_Toc487713736"/>
      <w:bookmarkStart w:id="891" w:name="_Toc479928504"/>
      <w:r>
        <w:rPr>
          <w:rFonts w:hint="eastAsia" w:ascii="宋体" w:hAnsi="宋体" w:eastAsia="宋体" w:cs="宋体"/>
          <w:b/>
          <w:bCs/>
          <w:sz w:val="28"/>
          <w:szCs w:val="28"/>
        </w:rPr>
        <w:t>隐患治理</w:t>
      </w:r>
      <w:bookmarkEnd w:id="887"/>
      <w:bookmarkEnd w:id="888"/>
      <w:bookmarkEnd w:id="889"/>
      <w:bookmarkEnd w:id="890"/>
      <w:bookmarkEnd w:id="891"/>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隐患治理要求</w:t>
      </w:r>
    </w:p>
    <w:p>
      <w:pPr>
        <w:pStyle w:val="18"/>
        <w:ind w:firstLine="560"/>
        <w:rPr>
          <w:rFonts w:hAnsi="宋体" w:cs="宋体"/>
          <w:sz w:val="28"/>
          <w:szCs w:val="28"/>
        </w:rPr>
      </w:pPr>
      <w:r>
        <w:rPr>
          <w:rFonts w:hint="eastAsia" w:hAnsi="宋体" w:cs="宋体"/>
          <w:sz w:val="28"/>
          <w:szCs w:val="28"/>
        </w:rPr>
        <w:t>隐患治理实行分级治理、分类实施的原则。主要包括岗位纠正、班组治理、车间治理、部门治理、公司治理等。隐患治理应做到方法科学、资金到位、治理及时有效、责任到人、按时完成。能立即整改的隐患必须立即整改，无法立即整改的隐患，治理前要研究制定防范措施，落实监控责任，防止隐患发展为事故。保证整改措施、责任、资金、时限和预案“五到位”。</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隐患治理流程</w:t>
      </w:r>
    </w:p>
    <w:p>
      <w:pPr>
        <w:pStyle w:val="18"/>
        <w:ind w:firstLine="560"/>
        <w:rPr>
          <w:rFonts w:hAnsi="宋体" w:cs="宋体"/>
          <w:sz w:val="28"/>
          <w:szCs w:val="28"/>
        </w:rPr>
      </w:pPr>
      <w:r>
        <w:rPr>
          <w:rFonts w:hint="eastAsia" w:hAnsi="宋体" w:cs="宋体"/>
          <w:sz w:val="28"/>
          <w:szCs w:val="28"/>
        </w:rPr>
        <w:t>隐患治理流程包括：</w:t>
      </w:r>
    </w:p>
    <w:p>
      <w:pPr>
        <w:pStyle w:val="25"/>
        <w:numPr>
          <w:ilvl w:val="0"/>
          <w:numId w:val="19"/>
        </w:numPr>
        <w:rPr>
          <w:rFonts w:hAnsi="宋体" w:cs="宋体"/>
          <w:sz w:val="28"/>
          <w:szCs w:val="28"/>
        </w:rPr>
      </w:pPr>
      <w:r>
        <w:rPr>
          <w:rFonts w:hint="eastAsia" w:hAnsi="宋体" w:cs="宋体"/>
          <w:sz w:val="28"/>
          <w:szCs w:val="28"/>
        </w:rPr>
        <w:t>通报隐患信息。隐患排查结束后，将隐患名称、存在位置、不符合状况、隐患等级、治理期限及治理建议等信息向从业人员进行通报，通报方式根据企业实际情况确定；</w:t>
      </w:r>
    </w:p>
    <w:p>
      <w:pPr>
        <w:pStyle w:val="25"/>
        <w:rPr>
          <w:rFonts w:hAnsi="宋体" w:cs="宋体"/>
          <w:sz w:val="28"/>
          <w:szCs w:val="28"/>
        </w:rPr>
      </w:pPr>
      <w:r>
        <w:rPr>
          <w:rFonts w:hint="eastAsia" w:hAnsi="宋体" w:cs="宋体"/>
          <w:sz w:val="28"/>
          <w:szCs w:val="28"/>
        </w:rPr>
        <w:t>下发隐患整改通知。对于当场不能立即整改的，由隐患排查组织部门下达隐患整改通知，按照管控层级下发至隐患所在位置责任部门或者责任人员进行整改。对于日常排查出的隐患，班组及岗位应立即整改，不能立即整改或者超出整改能力范围的按照程序上报，由上级责任部门下发隐患整改通知。隐患整改通知内容应包含隐患描述、隐患等级、建议整改措施、治理责任单位和主要责任人、治理期限等内容；</w:t>
      </w:r>
    </w:p>
    <w:p>
      <w:pPr>
        <w:pStyle w:val="25"/>
        <w:rPr>
          <w:rFonts w:hAnsi="宋体" w:cs="宋体"/>
          <w:sz w:val="28"/>
          <w:szCs w:val="28"/>
        </w:rPr>
      </w:pPr>
      <w:r>
        <w:rPr>
          <w:rFonts w:hint="eastAsia" w:hAnsi="宋体" w:cs="宋体"/>
          <w:sz w:val="28"/>
          <w:szCs w:val="28"/>
        </w:rPr>
        <w:t>实施隐患治理。隐患存在单位在实施隐患治理前应当对隐患存在的原因进行分析，参考治理建议制定可靠的治理措施和应急措施或预案，估算整改资金并按规定时限落实整改；</w:t>
      </w:r>
    </w:p>
    <w:p>
      <w:pPr>
        <w:pStyle w:val="25"/>
        <w:rPr>
          <w:rFonts w:hAnsi="宋体" w:cs="宋体"/>
          <w:sz w:val="28"/>
          <w:szCs w:val="28"/>
        </w:rPr>
      </w:pPr>
      <w:r>
        <w:rPr>
          <w:rFonts w:hint="eastAsia" w:hAnsi="宋体" w:cs="宋体"/>
          <w:sz w:val="28"/>
          <w:szCs w:val="28"/>
        </w:rPr>
        <w:t>治理情况反馈。隐患存在单位在规定的期限内将治理完成情况反馈至隐患整改通知下发部门验收，未能及时整改完成的应说明原因与整改通知制发部门协同解决；</w:t>
      </w:r>
    </w:p>
    <w:p>
      <w:pPr>
        <w:pStyle w:val="25"/>
        <w:rPr>
          <w:rFonts w:hAnsi="宋体" w:cs="宋体"/>
          <w:sz w:val="28"/>
          <w:szCs w:val="28"/>
        </w:rPr>
      </w:pPr>
      <w:r>
        <w:rPr>
          <w:rFonts w:hint="eastAsia" w:hAnsi="宋体" w:cs="宋体"/>
          <w:sz w:val="28"/>
          <w:szCs w:val="28"/>
        </w:rPr>
        <w:t>验收。</w:t>
      </w:r>
      <w:r>
        <w:rPr>
          <w:rFonts w:hint="eastAsia" w:hAnsi="宋体" w:cs="宋体"/>
          <w:color w:val="000000"/>
          <w:sz w:val="28"/>
          <w:szCs w:val="28"/>
        </w:rPr>
        <w:t>按照“谁排查谁验收“的原则，</w:t>
      </w:r>
      <w:r>
        <w:rPr>
          <w:rFonts w:hint="eastAsia" w:hAnsi="宋体" w:cs="宋体"/>
          <w:sz w:val="28"/>
          <w:szCs w:val="28"/>
        </w:rPr>
        <w:t>隐患排查组织部门应当对隐患整改效果组织验收并出具验收意见。</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一般隐患治理</w:t>
      </w:r>
    </w:p>
    <w:p>
      <w:pPr>
        <w:pStyle w:val="18"/>
        <w:ind w:firstLine="560"/>
        <w:rPr>
          <w:rFonts w:hAnsi="宋体" w:cs="宋体"/>
          <w:sz w:val="28"/>
          <w:szCs w:val="28"/>
        </w:rPr>
      </w:pPr>
      <w:r>
        <w:rPr>
          <w:rFonts w:hint="eastAsia" w:hAnsi="宋体" w:cs="宋体"/>
          <w:sz w:val="28"/>
          <w:szCs w:val="28"/>
        </w:rPr>
        <w:t>由公司业各级（公司、部门、车间、班组等）负责人或者有关人员负责组织整改。能够立即整改的隐患应立即组织整改，整改情况要安排专人进行确认；难以立即排除的应及时进行分析，制定整改措施并限期整改。</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重大隐患治理</w:t>
      </w:r>
    </w:p>
    <w:p>
      <w:pPr>
        <w:pStyle w:val="31"/>
        <w:spacing w:before="156" w:after="156"/>
        <w:rPr>
          <w:rFonts w:ascii="宋体" w:hAnsi="宋体" w:eastAsia="宋体" w:cs="宋体"/>
          <w:b/>
          <w:bCs/>
          <w:sz w:val="28"/>
          <w:szCs w:val="28"/>
        </w:rPr>
      </w:pPr>
      <w:r>
        <w:rPr>
          <w:rFonts w:hint="eastAsia" w:ascii="宋体" w:hAnsi="宋体" w:eastAsia="宋体" w:cs="宋体"/>
          <w:b/>
          <w:bCs/>
          <w:sz w:val="28"/>
          <w:szCs w:val="28"/>
        </w:rPr>
        <w:t>隐患评估</w:t>
      </w:r>
    </w:p>
    <w:p>
      <w:pPr>
        <w:pStyle w:val="18"/>
        <w:ind w:firstLine="560"/>
        <w:rPr>
          <w:rFonts w:hAnsi="宋体" w:cs="宋体"/>
          <w:sz w:val="28"/>
          <w:szCs w:val="28"/>
        </w:rPr>
      </w:pPr>
      <w:r>
        <w:rPr>
          <w:rFonts w:hint="eastAsia" w:hAnsi="宋体" w:cs="宋体"/>
          <w:sz w:val="28"/>
          <w:szCs w:val="28"/>
        </w:rPr>
        <w:t>经判定属于重大事故隐患的，公司应当及时组织评估，并编制事故隐患评估报告书。评估报告书应包括隐患的类别、影响范围和风险程度以及对事故隐患的监控措施、治理方式、治理期限的建议等内容。</w:t>
      </w:r>
    </w:p>
    <w:p>
      <w:pPr>
        <w:pStyle w:val="31"/>
        <w:spacing w:before="156" w:after="156"/>
        <w:rPr>
          <w:rFonts w:ascii="宋体" w:hAnsi="宋体" w:eastAsia="宋体" w:cs="宋体"/>
          <w:b/>
          <w:bCs/>
          <w:sz w:val="28"/>
          <w:szCs w:val="28"/>
        </w:rPr>
      </w:pPr>
      <w:r>
        <w:rPr>
          <w:rFonts w:hint="eastAsia" w:ascii="宋体" w:hAnsi="宋体" w:eastAsia="宋体" w:cs="宋体"/>
          <w:b/>
          <w:bCs/>
          <w:sz w:val="28"/>
          <w:szCs w:val="28"/>
        </w:rPr>
        <w:t>治理方案</w:t>
      </w:r>
    </w:p>
    <w:p>
      <w:pPr>
        <w:pStyle w:val="18"/>
        <w:ind w:firstLine="560"/>
        <w:rPr>
          <w:rFonts w:hAnsi="宋体" w:cs="宋体"/>
          <w:sz w:val="28"/>
          <w:szCs w:val="28"/>
        </w:rPr>
      </w:pPr>
      <w:r>
        <w:rPr>
          <w:rFonts w:hint="eastAsia" w:hAnsi="宋体" w:cs="宋体"/>
          <w:sz w:val="28"/>
          <w:szCs w:val="28"/>
        </w:rPr>
        <w:t>公司根据评估报告书制定重大事故隐患治理方案,并将治理方案报告给当地县（市、区）人民政府负有安全生产监督管理职责的部门。治理方案应当包括下列主要内容：</w:t>
      </w:r>
    </w:p>
    <w:p>
      <w:pPr>
        <w:pStyle w:val="25"/>
        <w:numPr>
          <w:ilvl w:val="0"/>
          <w:numId w:val="20"/>
        </w:numPr>
        <w:rPr>
          <w:rFonts w:hAnsi="宋体" w:cs="宋体"/>
          <w:sz w:val="28"/>
          <w:szCs w:val="28"/>
        </w:rPr>
      </w:pPr>
      <w:r>
        <w:rPr>
          <w:rFonts w:hint="eastAsia" w:hAnsi="宋体" w:cs="宋体"/>
          <w:sz w:val="28"/>
          <w:szCs w:val="28"/>
        </w:rPr>
        <w:t>治理的目标和任务；</w:t>
      </w:r>
    </w:p>
    <w:p>
      <w:pPr>
        <w:pStyle w:val="25"/>
        <w:rPr>
          <w:rFonts w:hAnsi="宋体" w:cs="宋体"/>
          <w:sz w:val="28"/>
          <w:szCs w:val="28"/>
        </w:rPr>
      </w:pPr>
      <w:r>
        <w:rPr>
          <w:rFonts w:hint="eastAsia" w:hAnsi="宋体" w:cs="宋体"/>
          <w:sz w:val="28"/>
          <w:szCs w:val="28"/>
        </w:rPr>
        <w:t>采取的方法和措施；</w:t>
      </w:r>
    </w:p>
    <w:p>
      <w:pPr>
        <w:pStyle w:val="25"/>
        <w:rPr>
          <w:rFonts w:hAnsi="宋体" w:cs="宋体"/>
          <w:sz w:val="28"/>
          <w:szCs w:val="28"/>
        </w:rPr>
      </w:pPr>
      <w:r>
        <w:rPr>
          <w:rFonts w:hint="eastAsia" w:hAnsi="宋体" w:cs="宋体"/>
          <w:sz w:val="28"/>
          <w:szCs w:val="28"/>
        </w:rPr>
        <w:t>经费和物资的落实；</w:t>
      </w:r>
    </w:p>
    <w:p>
      <w:pPr>
        <w:pStyle w:val="25"/>
        <w:rPr>
          <w:rFonts w:hAnsi="宋体" w:cs="宋体"/>
          <w:sz w:val="28"/>
          <w:szCs w:val="28"/>
        </w:rPr>
      </w:pPr>
      <w:r>
        <w:rPr>
          <w:rFonts w:hint="eastAsia" w:hAnsi="宋体" w:cs="宋体"/>
          <w:sz w:val="28"/>
          <w:szCs w:val="28"/>
        </w:rPr>
        <w:t>负责治理的机构和人员；</w:t>
      </w:r>
    </w:p>
    <w:p>
      <w:pPr>
        <w:pStyle w:val="25"/>
        <w:rPr>
          <w:rFonts w:hAnsi="宋体" w:cs="宋体"/>
          <w:sz w:val="28"/>
          <w:szCs w:val="28"/>
        </w:rPr>
      </w:pPr>
      <w:r>
        <w:rPr>
          <w:rFonts w:hint="eastAsia" w:hAnsi="宋体" w:cs="宋体"/>
          <w:sz w:val="28"/>
          <w:szCs w:val="28"/>
        </w:rPr>
        <w:t>治理的时限和要求；</w:t>
      </w:r>
    </w:p>
    <w:p>
      <w:pPr>
        <w:pStyle w:val="25"/>
        <w:rPr>
          <w:rFonts w:hAnsi="宋体" w:cs="宋体"/>
          <w:sz w:val="28"/>
          <w:szCs w:val="28"/>
        </w:rPr>
      </w:pPr>
      <w:r>
        <w:rPr>
          <w:rFonts w:hint="eastAsia" w:hAnsi="宋体" w:cs="宋体"/>
          <w:sz w:val="28"/>
          <w:szCs w:val="28"/>
        </w:rPr>
        <w:t>防止整改期间发生事故的安全措施。</w:t>
      </w:r>
    </w:p>
    <w:p>
      <w:pPr>
        <w:pStyle w:val="18"/>
        <w:ind w:firstLine="560"/>
        <w:rPr>
          <w:rFonts w:hAnsi="宋体" w:cs="宋体"/>
          <w:sz w:val="28"/>
          <w:szCs w:val="28"/>
        </w:rPr>
      </w:pPr>
      <w:r>
        <w:rPr>
          <w:rFonts w:hint="eastAsia" w:hAnsi="宋体" w:cs="宋体"/>
          <w:sz w:val="28"/>
          <w:szCs w:val="28"/>
        </w:rPr>
        <w:t>公司按照隐患整改通知和治理方案对重大事故隐患进行治理，治理资金从安全费用支出，治理时,应当采取严密的防范、监控措施,防止事故发生。重大事故隐患治理前或者治理过程中,无法保证生产安全的,工贸企业应当暂时停产、停业或者停止使用。</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隐患治理验收</w:t>
      </w:r>
    </w:p>
    <w:p>
      <w:pPr>
        <w:pStyle w:val="36"/>
        <w:rPr>
          <w:rFonts w:hAnsi="宋体" w:cs="宋体"/>
          <w:sz w:val="28"/>
          <w:szCs w:val="28"/>
        </w:rPr>
      </w:pPr>
      <w:r>
        <w:rPr>
          <w:rFonts w:hint="eastAsia" w:hAnsi="宋体" w:cs="宋体"/>
          <w:sz w:val="28"/>
          <w:szCs w:val="28"/>
        </w:rPr>
        <w:t>隐患治理完成后，应根据隐患级别组织相关人员对治理情况进行验收并出具验收意见，实现闭环管理，并建立隐患排查治理台账，参见附录C、附录D。</w:t>
      </w:r>
    </w:p>
    <w:p>
      <w:pPr>
        <w:pStyle w:val="36"/>
        <w:rPr>
          <w:rFonts w:hAnsi="宋体" w:cs="宋体"/>
          <w:sz w:val="28"/>
          <w:szCs w:val="28"/>
        </w:rPr>
      </w:pPr>
      <w:r>
        <w:rPr>
          <w:rFonts w:hint="eastAsia" w:hAnsi="宋体" w:cs="宋体"/>
          <w:sz w:val="28"/>
          <w:szCs w:val="28"/>
        </w:rPr>
        <w:t>重大事故隐患治理工作结束后，企业应组织对治理情况进行复查评估，并将治理结果向当地县（市、区）人民政府负有安全生产监督管理职责的部门报告。</w:t>
      </w:r>
    </w:p>
    <w:p>
      <w:pPr>
        <w:pStyle w:val="41"/>
        <w:spacing w:before="312" w:after="312"/>
        <w:rPr>
          <w:rFonts w:ascii="宋体" w:hAnsi="宋体" w:eastAsia="宋体" w:cs="宋体"/>
          <w:b/>
          <w:bCs/>
          <w:sz w:val="28"/>
          <w:szCs w:val="28"/>
        </w:rPr>
      </w:pPr>
      <w:bookmarkStart w:id="892" w:name="_Toc12744_WPSOffice_Level2"/>
      <w:bookmarkStart w:id="893" w:name="_Toc487713737"/>
      <w:bookmarkStart w:id="894" w:name="_Toc479928505"/>
      <w:bookmarkStart w:id="895" w:name="_Toc125"/>
      <w:bookmarkStart w:id="896" w:name="_Toc4639_WPSOffice_Level2"/>
      <w:bookmarkStart w:id="897" w:name="_Toc20238_WPSOffice_Level2"/>
      <w:bookmarkStart w:id="898" w:name="_Toc479928015"/>
      <w:bookmarkStart w:id="899" w:name="_Toc479927961"/>
      <w:bookmarkStart w:id="900" w:name="_Toc21452_WPSOffice_Level2"/>
      <w:bookmarkStart w:id="901" w:name="_Toc3491_WPSOffice_Level2"/>
      <w:r>
        <w:rPr>
          <w:rFonts w:hint="eastAsia" w:ascii="宋体" w:hAnsi="宋体" w:eastAsia="宋体" w:cs="宋体"/>
          <w:b/>
          <w:bCs/>
          <w:sz w:val="28"/>
          <w:szCs w:val="28"/>
        </w:rPr>
        <w:t>文件管理</w:t>
      </w:r>
      <w:bookmarkEnd w:id="892"/>
      <w:bookmarkEnd w:id="893"/>
      <w:bookmarkEnd w:id="894"/>
      <w:bookmarkEnd w:id="895"/>
      <w:bookmarkEnd w:id="896"/>
      <w:bookmarkEnd w:id="897"/>
      <w:bookmarkEnd w:id="898"/>
      <w:bookmarkEnd w:id="899"/>
      <w:bookmarkEnd w:id="900"/>
      <w:bookmarkEnd w:id="901"/>
    </w:p>
    <w:p>
      <w:pPr>
        <w:pStyle w:val="43"/>
        <w:rPr>
          <w:rFonts w:hAnsi="宋体" w:cs="宋体"/>
          <w:sz w:val="28"/>
          <w:szCs w:val="28"/>
        </w:rPr>
      </w:pPr>
      <w:bookmarkStart w:id="902" w:name="_Toc30971"/>
      <w:r>
        <w:rPr>
          <w:rFonts w:hint="eastAsia" w:hAnsi="宋体" w:cs="宋体"/>
          <w:sz w:val="28"/>
          <w:szCs w:val="28"/>
        </w:rPr>
        <w:t>公司在隐患排查治理体系策划、实施及持续改进过程中，应完整保存体现隐患排查全过程的记录资料，并分类建档管理。至少应包括：</w:t>
      </w:r>
      <w:bookmarkEnd w:id="902"/>
    </w:p>
    <w:p>
      <w:pPr>
        <w:pStyle w:val="24"/>
        <w:rPr>
          <w:rFonts w:hAnsi="宋体" w:cs="宋体"/>
          <w:sz w:val="28"/>
          <w:szCs w:val="28"/>
        </w:rPr>
      </w:pPr>
      <w:r>
        <w:rPr>
          <w:rFonts w:hint="eastAsia" w:hAnsi="宋体" w:cs="宋体"/>
          <w:sz w:val="28"/>
          <w:szCs w:val="28"/>
        </w:rPr>
        <w:t>隐患排查治理制度；</w:t>
      </w:r>
    </w:p>
    <w:p>
      <w:pPr>
        <w:pStyle w:val="24"/>
        <w:rPr>
          <w:rFonts w:hAnsi="宋体" w:cs="宋体"/>
          <w:sz w:val="28"/>
          <w:szCs w:val="28"/>
        </w:rPr>
      </w:pPr>
      <w:r>
        <w:rPr>
          <w:rFonts w:hint="eastAsia" w:hAnsi="宋体" w:cs="宋体"/>
          <w:sz w:val="28"/>
          <w:szCs w:val="28"/>
        </w:rPr>
        <w:t>隐患排查治理台账；</w:t>
      </w:r>
    </w:p>
    <w:p>
      <w:pPr>
        <w:pStyle w:val="24"/>
        <w:rPr>
          <w:rFonts w:hAnsi="宋体" w:cs="宋体"/>
          <w:sz w:val="28"/>
          <w:szCs w:val="28"/>
        </w:rPr>
      </w:pPr>
      <w:r>
        <w:rPr>
          <w:rFonts w:hint="eastAsia" w:hAnsi="宋体" w:cs="宋体"/>
          <w:sz w:val="28"/>
          <w:szCs w:val="28"/>
        </w:rPr>
        <w:t>隐患排查项目清单等内容的文件成果。</w:t>
      </w:r>
    </w:p>
    <w:p>
      <w:pPr>
        <w:pStyle w:val="43"/>
        <w:rPr>
          <w:rFonts w:hAnsi="宋体" w:cs="宋体"/>
          <w:sz w:val="28"/>
          <w:szCs w:val="28"/>
        </w:rPr>
      </w:pPr>
      <w:bookmarkStart w:id="903" w:name="_Toc25245"/>
      <w:r>
        <w:rPr>
          <w:rFonts w:hint="eastAsia" w:hAnsi="宋体" w:cs="宋体"/>
          <w:sz w:val="28"/>
          <w:szCs w:val="28"/>
        </w:rPr>
        <w:t>重大事故隐患排查、评估报告，治理方案、整改验收等应保留纸质记录，单独建档管理。</w:t>
      </w:r>
      <w:bookmarkEnd w:id="903"/>
    </w:p>
    <w:p>
      <w:pPr>
        <w:pStyle w:val="41"/>
        <w:spacing w:before="312" w:after="312"/>
        <w:rPr>
          <w:rFonts w:ascii="宋体" w:hAnsi="宋体" w:eastAsia="宋体" w:cs="宋体"/>
          <w:b/>
          <w:bCs/>
          <w:sz w:val="28"/>
          <w:szCs w:val="28"/>
        </w:rPr>
      </w:pPr>
      <w:bookmarkStart w:id="904" w:name="_Toc479928506"/>
      <w:bookmarkStart w:id="905" w:name="_Toc32476_WPSOffice_Level2"/>
      <w:bookmarkStart w:id="906" w:name="_Toc479928016"/>
      <w:bookmarkStart w:id="907" w:name="_Toc14228_WPSOffice_Level2"/>
      <w:bookmarkStart w:id="908" w:name="_Toc19414_WPSOffice_Level2"/>
      <w:bookmarkStart w:id="909" w:name="_Toc7953"/>
      <w:bookmarkStart w:id="910" w:name="_Toc3883_WPSOffice_Level2"/>
      <w:bookmarkStart w:id="911" w:name="_Toc487713738"/>
      <w:bookmarkStart w:id="912" w:name="_Toc479927962"/>
      <w:bookmarkStart w:id="913" w:name="_Toc20074_WPSOffice_Level2"/>
      <w:r>
        <w:rPr>
          <w:rFonts w:hint="eastAsia" w:ascii="宋体" w:hAnsi="宋体" w:eastAsia="宋体" w:cs="宋体"/>
          <w:b/>
          <w:bCs/>
          <w:sz w:val="28"/>
          <w:szCs w:val="28"/>
        </w:rPr>
        <w:t>隐患排查治理效果</w:t>
      </w:r>
      <w:bookmarkEnd w:id="904"/>
      <w:bookmarkEnd w:id="905"/>
      <w:bookmarkEnd w:id="906"/>
      <w:bookmarkEnd w:id="907"/>
      <w:bookmarkEnd w:id="908"/>
      <w:bookmarkEnd w:id="909"/>
      <w:bookmarkEnd w:id="910"/>
      <w:bookmarkEnd w:id="911"/>
      <w:bookmarkEnd w:id="912"/>
      <w:bookmarkEnd w:id="913"/>
    </w:p>
    <w:p>
      <w:pPr>
        <w:pStyle w:val="18"/>
        <w:ind w:firstLine="560"/>
        <w:rPr>
          <w:rFonts w:hAnsi="宋体" w:cs="宋体"/>
          <w:sz w:val="28"/>
          <w:szCs w:val="28"/>
        </w:rPr>
      </w:pPr>
      <w:r>
        <w:rPr>
          <w:rFonts w:hint="eastAsia" w:hAnsi="宋体" w:cs="宋体"/>
          <w:sz w:val="28"/>
          <w:szCs w:val="28"/>
        </w:rPr>
        <w:t>通过隐患排查治理体系的建设，企业应至少在以下方面有所改进：</w:t>
      </w:r>
    </w:p>
    <w:p>
      <w:pPr>
        <w:pStyle w:val="18"/>
        <w:ind w:firstLine="560"/>
        <w:rPr>
          <w:rFonts w:hAnsi="宋体" w:cs="宋体"/>
          <w:sz w:val="28"/>
          <w:szCs w:val="28"/>
        </w:rPr>
      </w:pPr>
      <w:r>
        <w:rPr>
          <w:rFonts w:hint="eastAsia" w:hAnsi="宋体" w:cs="宋体"/>
          <w:sz w:val="28"/>
          <w:szCs w:val="28"/>
        </w:rPr>
        <w:t>——风险控制措施全面持续有效；</w:t>
      </w:r>
    </w:p>
    <w:p>
      <w:pPr>
        <w:pStyle w:val="18"/>
        <w:ind w:firstLine="560"/>
        <w:rPr>
          <w:rFonts w:hAnsi="宋体" w:cs="宋体"/>
          <w:sz w:val="28"/>
          <w:szCs w:val="28"/>
        </w:rPr>
      </w:pPr>
      <w:r>
        <w:rPr>
          <w:rFonts w:hint="eastAsia" w:hAnsi="宋体" w:cs="宋体"/>
          <w:sz w:val="28"/>
          <w:szCs w:val="28"/>
        </w:rPr>
        <w:t>——风险管控能力得到加强和提升；</w:t>
      </w:r>
    </w:p>
    <w:p>
      <w:pPr>
        <w:pStyle w:val="18"/>
        <w:ind w:firstLine="560"/>
        <w:rPr>
          <w:rFonts w:hAnsi="宋体" w:cs="宋体"/>
          <w:sz w:val="28"/>
          <w:szCs w:val="28"/>
        </w:rPr>
      </w:pPr>
      <w:r>
        <w:rPr>
          <w:rFonts w:hint="eastAsia" w:hAnsi="宋体" w:cs="宋体"/>
          <w:sz w:val="28"/>
          <w:szCs w:val="28"/>
        </w:rPr>
        <w:t>——隐患排查治理制度进一步完善；</w:t>
      </w:r>
    </w:p>
    <w:p>
      <w:pPr>
        <w:pStyle w:val="18"/>
        <w:ind w:firstLine="560"/>
        <w:rPr>
          <w:rFonts w:hAnsi="宋体" w:cs="宋体"/>
          <w:sz w:val="28"/>
          <w:szCs w:val="28"/>
        </w:rPr>
      </w:pPr>
      <w:r>
        <w:rPr>
          <w:rFonts w:hint="eastAsia" w:hAnsi="宋体" w:cs="宋体"/>
          <w:sz w:val="28"/>
          <w:szCs w:val="28"/>
        </w:rPr>
        <w:t>——各级排查责任得到进一步落实；</w:t>
      </w:r>
    </w:p>
    <w:p>
      <w:pPr>
        <w:pStyle w:val="18"/>
        <w:ind w:firstLine="560"/>
        <w:rPr>
          <w:rFonts w:hAnsi="宋体" w:cs="宋体"/>
          <w:sz w:val="28"/>
          <w:szCs w:val="28"/>
        </w:rPr>
      </w:pPr>
      <w:r>
        <w:rPr>
          <w:rFonts w:hint="eastAsia" w:hAnsi="宋体" w:cs="宋体"/>
          <w:sz w:val="28"/>
          <w:szCs w:val="28"/>
        </w:rPr>
        <w:t>——员工隐患排查水平进一步提高；</w:t>
      </w:r>
    </w:p>
    <w:p>
      <w:pPr>
        <w:pStyle w:val="18"/>
        <w:ind w:firstLine="560"/>
        <w:rPr>
          <w:rFonts w:hAnsi="宋体" w:cs="宋体"/>
          <w:sz w:val="28"/>
          <w:szCs w:val="28"/>
        </w:rPr>
      </w:pPr>
      <w:r>
        <w:rPr>
          <w:rFonts w:hint="eastAsia" w:hAnsi="宋体" w:cs="宋体"/>
          <w:sz w:val="28"/>
          <w:szCs w:val="28"/>
        </w:rPr>
        <w:t>——对隐患频率较高的风险重新进行评价、分级，并制定完善控制措施；</w:t>
      </w:r>
    </w:p>
    <w:p>
      <w:pPr>
        <w:pStyle w:val="18"/>
        <w:ind w:firstLine="560"/>
        <w:rPr>
          <w:rFonts w:hAnsi="宋体" w:cs="宋体"/>
          <w:sz w:val="28"/>
          <w:szCs w:val="28"/>
        </w:rPr>
      </w:pPr>
      <w:r>
        <w:rPr>
          <w:rFonts w:hint="eastAsia" w:hAnsi="宋体" w:cs="宋体"/>
          <w:sz w:val="28"/>
          <w:szCs w:val="28"/>
        </w:rPr>
        <w:t>——生产安全事故明显减少；</w:t>
      </w:r>
    </w:p>
    <w:p>
      <w:pPr>
        <w:pStyle w:val="18"/>
        <w:ind w:firstLine="560"/>
        <w:rPr>
          <w:rFonts w:hAnsi="宋体" w:cs="宋体"/>
          <w:sz w:val="28"/>
          <w:szCs w:val="28"/>
        </w:rPr>
      </w:pPr>
      <w:r>
        <w:rPr>
          <w:rFonts w:hint="eastAsia" w:hAnsi="宋体" w:cs="宋体"/>
          <w:sz w:val="28"/>
          <w:szCs w:val="28"/>
        </w:rPr>
        <w:t>——职业健康管理水平进一步提升。</w:t>
      </w:r>
    </w:p>
    <w:p>
      <w:pPr>
        <w:pStyle w:val="18"/>
        <w:ind w:firstLine="560"/>
        <w:rPr>
          <w:rFonts w:hAnsi="宋体" w:cs="宋体"/>
          <w:sz w:val="28"/>
          <w:szCs w:val="28"/>
        </w:rPr>
      </w:pPr>
      <w:r>
        <w:rPr>
          <w:rFonts w:hint="eastAsia" w:hAnsi="宋体" w:cs="宋体"/>
          <w:sz w:val="28"/>
          <w:szCs w:val="28"/>
        </w:rPr>
        <w:t>同时应包括：</w:t>
      </w:r>
    </w:p>
    <w:p>
      <w:pPr>
        <w:pStyle w:val="24"/>
        <w:rPr>
          <w:rFonts w:hAnsi="宋体" w:cs="宋体"/>
          <w:sz w:val="28"/>
          <w:szCs w:val="28"/>
        </w:rPr>
      </w:pPr>
      <w:r>
        <w:rPr>
          <w:rFonts w:hint="eastAsia" w:hAnsi="宋体" w:cs="宋体"/>
          <w:sz w:val="28"/>
          <w:szCs w:val="28"/>
        </w:rPr>
        <w:t>建立事故隐患排查治理组织机构，健全事故隐患排查制度，落实隐患排查治理责任；</w:t>
      </w:r>
    </w:p>
    <w:p>
      <w:pPr>
        <w:pStyle w:val="24"/>
        <w:rPr>
          <w:rFonts w:hAnsi="宋体" w:cs="宋体"/>
          <w:sz w:val="28"/>
          <w:szCs w:val="28"/>
        </w:rPr>
      </w:pPr>
      <w:r>
        <w:rPr>
          <w:rFonts w:hint="eastAsia" w:hAnsi="宋体" w:cs="宋体"/>
          <w:sz w:val="28"/>
          <w:szCs w:val="28"/>
        </w:rPr>
        <w:t>依据有关法律法规、技术标准、规程要求结合企业各类风险点的管控措施编制完整的隐患排查项目清单；</w:t>
      </w:r>
    </w:p>
    <w:p>
      <w:pPr>
        <w:pStyle w:val="24"/>
        <w:rPr>
          <w:rFonts w:hAnsi="宋体" w:cs="宋体"/>
          <w:sz w:val="28"/>
          <w:szCs w:val="28"/>
        </w:rPr>
      </w:pPr>
      <w:r>
        <w:rPr>
          <w:rFonts w:hint="eastAsia" w:hAnsi="宋体" w:cs="宋体"/>
          <w:sz w:val="28"/>
          <w:szCs w:val="28"/>
        </w:rPr>
        <w:t>制定完整的可执行的排查计划并有效落实，形成完整的体现隐患排查全过程的记录资料；</w:t>
      </w:r>
    </w:p>
    <w:p>
      <w:pPr>
        <w:pStyle w:val="24"/>
        <w:rPr>
          <w:rFonts w:hAnsi="宋体" w:cs="宋体"/>
          <w:sz w:val="28"/>
          <w:szCs w:val="28"/>
        </w:rPr>
      </w:pPr>
      <w:r>
        <w:rPr>
          <w:rFonts w:hint="eastAsia" w:hAnsi="宋体" w:cs="宋体"/>
          <w:sz w:val="28"/>
          <w:szCs w:val="28"/>
        </w:rPr>
        <w:t>隐患治理及时，保证整改措施、资金、时限、责任、预案“五到位”，实现闭环管理；</w:t>
      </w:r>
    </w:p>
    <w:p>
      <w:pPr>
        <w:pStyle w:val="24"/>
        <w:rPr>
          <w:rFonts w:hAnsi="宋体" w:cs="宋体"/>
          <w:sz w:val="28"/>
          <w:szCs w:val="28"/>
        </w:rPr>
      </w:pPr>
      <w:r>
        <w:rPr>
          <w:rFonts w:hint="eastAsia" w:hAnsi="宋体" w:cs="宋体"/>
          <w:sz w:val="28"/>
          <w:szCs w:val="28"/>
        </w:rPr>
        <w:t>重大事故隐患编制评估报告书及治理方案并实施治理，治理方案和治理结果按规定上报</w:t>
      </w:r>
      <w:r>
        <w:rPr>
          <w:rFonts w:hint="eastAsia" w:hAnsi="宋体" w:cs="宋体"/>
          <w:color w:val="333333"/>
          <w:sz w:val="28"/>
          <w:szCs w:val="28"/>
        </w:rPr>
        <w:t>当地</w:t>
      </w:r>
      <w:r>
        <w:rPr>
          <w:rFonts w:hint="eastAsia" w:hAnsi="宋体" w:cs="宋体"/>
          <w:sz w:val="28"/>
          <w:szCs w:val="28"/>
        </w:rPr>
        <w:t>县（市、区）人民政府负有安全生产监督管理职责的部门。</w:t>
      </w:r>
    </w:p>
    <w:p>
      <w:pPr>
        <w:pStyle w:val="41"/>
        <w:spacing w:before="312" w:after="312"/>
        <w:rPr>
          <w:rFonts w:ascii="宋体" w:hAnsi="宋体" w:eastAsia="宋体" w:cs="宋体"/>
          <w:b/>
          <w:bCs/>
          <w:sz w:val="28"/>
          <w:szCs w:val="28"/>
        </w:rPr>
      </w:pPr>
      <w:bookmarkStart w:id="914" w:name="_Toc25062_WPSOffice_Level2"/>
      <w:bookmarkStart w:id="915" w:name="_Toc479928507"/>
      <w:bookmarkStart w:id="916" w:name="_Toc26009"/>
      <w:bookmarkStart w:id="917" w:name="_Toc13839_WPSOffice_Level2"/>
      <w:bookmarkStart w:id="918" w:name="_Toc8391_WPSOffice_Level2"/>
      <w:bookmarkStart w:id="919" w:name="_Toc20134_WPSOffice_Level2"/>
      <w:bookmarkStart w:id="920" w:name="_Toc479927963"/>
      <w:bookmarkStart w:id="921" w:name="_Toc29369_WPSOffice_Level2"/>
      <w:bookmarkStart w:id="922" w:name="_Toc487713739"/>
      <w:bookmarkStart w:id="923" w:name="_Toc479928017"/>
      <w:r>
        <w:rPr>
          <w:rFonts w:hint="eastAsia" w:ascii="宋体" w:hAnsi="宋体" w:eastAsia="宋体" w:cs="宋体"/>
          <w:b/>
          <w:bCs/>
          <w:sz w:val="28"/>
          <w:szCs w:val="28"/>
        </w:rPr>
        <w:t>持续改进</w:t>
      </w:r>
      <w:bookmarkEnd w:id="914"/>
      <w:bookmarkEnd w:id="915"/>
      <w:bookmarkEnd w:id="916"/>
      <w:bookmarkEnd w:id="917"/>
      <w:bookmarkEnd w:id="918"/>
      <w:bookmarkEnd w:id="919"/>
      <w:bookmarkEnd w:id="920"/>
      <w:bookmarkEnd w:id="921"/>
      <w:bookmarkEnd w:id="922"/>
      <w:bookmarkEnd w:id="923"/>
    </w:p>
    <w:p>
      <w:pPr>
        <w:pStyle w:val="18"/>
        <w:ind w:firstLine="0" w:firstLineChars="0"/>
        <w:rPr>
          <w:rFonts w:hAnsi="宋体" w:cs="宋体"/>
          <w:b/>
          <w:bCs/>
          <w:sz w:val="28"/>
          <w:szCs w:val="28"/>
        </w:rPr>
      </w:pPr>
      <w:r>
        <w:rPr>
          <w:rFonts w:hint="eastAsia" w:hAnsi="宋体" w:cs="宋体"/>
          <w:b/>
          <w:bCs/>
          <w:sz w:val="28"/>
          <w:szCs w:val="28"/>
        </w:rPr>
        <w:t>9.1 评审</w:t>
      </w:r>
    </w:p>
    <w:p>
      <w:pPr>
        <w:pStyle w:val="18"/>
        <w:ind w:firstLine="560"/>
        <w:rPr>
          <w:rFonts w:hAnsi="宋体" w:cs="宋体"/>
          <w:sz w:val="28"/>
          <w:szCs w:val="28"/>
        </w:rPr>
      </w:pPr>
      <w:r>
        <w:rPr>
          <w:rFonts w:hint="eastAsia" w:hAnsi="宋体" w:cs="宋体"/>
          <w:sz w:val="28"/>
          <w:szCs w:val="28"/>
        </w:rPr>
        <w:t>适时和定期对隐患排查治理体系运行情况进行评审，以确保其持续适宜性、充分性和有效性。评审应包括体系改进的可能性和对体系进行修改的需求。评审每年应不少于一次，当发生更新时应及时组织评审。应保存评审记录。</w:t>
      </w:r>
    </w:p>
    <w:p>
      <w:pPr>
        <w:pStyle w:val="18"/>
        <w:ind w:firstLine="0" w:firstLineChars="0"/>
        <w:rPr>
          <w:rFonts w:hAnsi="宋体" w:cs="宋体"/>
          <w:sz w:val="28"/>
          <w:szCs w:val="28"/>
        </w:rPr>
      </w:pPr>
      <w:r>
        <w:rPr>
          <w:rFonts w:hint="eastAsia" w:hAnsi="宋体" w:cs="宋体"/>
          <w:sz w:val="28"/>
          <w:szCs w:val="28"/>
        </w:rPr>
        <w:t>9.2 更新</w:t>
      </w:r>
    </w:p>
    <w:p>
      <w:pPr>
        <w:pStyle w:val="18"/>
        <w:ind w:firstLine="560"/>
        <w:rPr>
          <w:rFonts w:hAnsi="宋体" w:cs="宋体"/>
          <w:sz w:val="28"/>
          <w:szCs w:val="28"/>
        </w:rPr>
      </w:pPr>
      <w:r>
        <w:rPr>
          <w:rFonts w:hint="eastAsia" w:hAnsi="宋体" w:cs="宋体"/>
          <w:sz w:val="28"/>
          <w:szCs w:val="28"/>
        </w:rPr>
        <w:t>主动根据以下情况对隐患排查治理体系的影响，及时更新隐患排查治理的范围、隐患等级和类别、隐患信息等内容，主要包括：</w:t>
      </w:r>
    </w:p>
    <w:p>
      <w:pPr>
        <w:pStyle w:val="18"/>
        <w:ind w:firstLine="560"/>
        <w:rPr>
          <w:rFonts w:hAnsi="宋体" w:cs="宋体"/>
          <w:sz w:val="28"/>
          <w:szCs w:val="28"/>
        </w:rPr>
      </w:pPr>
      <w:r>
        <w:rPr>
          <w:rFonts w:hint="eastAsia" w:hAnsi="宋体" w:cs="宋体"/>
          <w:sz w:val="28"/>
          <w:szCs w:val="28"/>
        </w:rPr>
        <w:t>——法律法规及标准规程变化或更新；</w:t>
      </w:r>
    </w:p>
    <w:p>
      <w:pPr>
        <w:pStyle w:val="18"/>
        <w:ind w:firstLine="560"/>
        <w:rPr>
          <w:rFonts w:hAnsi="宋体" w:cs="宋体"/>
          <w:sz w:val="28"/>
          <w:szCs w:val="28"/>
        </w:rPr>
      </w:pPr>
      <w:r>
        <w:rPr>
          <w:rFonts w:hint="eastAsia" w:hAnsi="宋体" w:cs="宋体"/>
          <w:sz w:val="28"/>
          <w:szCs w:val="28"/>
        </w:rPr>
        <w:t>——政府规范性文件提出新要求；</w:t>
      </w:r>
    </w:p>
    <w:p>
      <w:pPr>
        <w:pStyle w:val="18"/>
        <w:ind w:firstLine="560"/>
        <w:rPr>
          <w:rFonts w:hAnsi="宋体" w:cs="宋体"/>
          <w:sz w:val="28"/>
          <w:szCs w:val="28"/>
        </w:rPr>
      </w:pPr>
      <w:r>
        <w:rPr>
          <w:rFonts w:hint="eastAsia" w:hAnsi="宋体" w:cs="宋体"/>
          <w:sz w:val="28"/>
          <w:szCs w:val="28"/>
        </w:rPr>
        <w:t>——企业组织机构及安全管理机制发生变化；</w:t>
      </w:r>
    </w:p>
    <w:p>
      <w:pPr>
        <w:pStyle w:val="18"/>
        <w:ind w:firstLine="560"/>
        <w:rPr>
          <w:rFonts w:hAnsi="宋体" w:cs="宋体"/>
          <w:sz w:val="28"/>
          <w:szCs w:val="28"/>
        </w:rPr>
      </w:pPr>
      <w:r>
        <w:rPr>
          <w:rFonts w:hint="eastAsia" w:hAnsi="宋体" w:cs="宋体"/>
          <w:sz w:val="28"/>
          <w:szCs w:val="28"/>
        </w:rPr>
        <w:t>——企业生产工艺发生变化、设备设施增减、使用原辅材料变化等；</w:t>
      </w:r>
    </w:p>
    <w:p>
      <w:pPr>
        <w:pStyle w:val="18"/>
        <w:ind w:firstLine="560"/>
        <w:rPr>
          <w:rFonts w:hAnsi="宋体" w:cs="宋体"/>
          <w:sz w:val="28"/>
          <w:szCs w:val="28"/>
        </w:rPr>
      </w:pPr>
      <w:r>
        <w:rPr>
          <w:rFonts w:hint="eastAsia" w:hAnsi="宋体" w:cs="宋体"/>
          <w:sz w:val="28"/>
          <w:szCs w:val="28"/>
        </w:rPr>
        <w:t>——企业自身提出更高要求；</w:t>
      </w:r>
    </w:p>
    <w:p>
      <w:pPr>
        <w:pStyle w:val="18"/>
        <w:ind w:firstLine="560"/>
        <w:rPr>
          <w:rFonts w:hAnsi="宋体" w:cs="宋体"/>
          <w:sz w:val="28"/>
          <w:szCs w:val="28"/>
        </w:rPr>
      </w:pPr>
      <w:r>
        <w:rPr>
          <w:rFonts w:hint="eastAsia" w:hAnsi="宋体" w:cs="宋体"/>
          <w:sz w:val="28"/>
          <w:szCs w:val="28"/>
        </w:rPr>
        <w:t>——事故事件、紧急情况或应急预案演练结果反馈的需求；</w:t>
      </w:r>
    </w:p>
    <w:p>
      <w:pPr>
        <w:pStyle w:val="18"/>
        <w:ind w:firstLine="560"/>
        <w:rPr>
          <w:rFonts w:hAnsi="宋体" w:cs="宋体"/>
          <w:sz w:val="28"/>
          <w:szCs w:val="28"/>
        </w:rPr>
      </w:pPr>
      <w:r>
        <w:rPr>
          <w:rFonts w:hint="eastAsia" w:hAnsi="宋体" w:cs="宋体"/>
          <w:sz w:val="28"/>
          <w:szCs w:val="28"/>
        </w:rPr>
        <w:t>——其它情形出现应当进行评审。</w:t>
      </w:r>
    </w:p>
    <w:p>
      <w:pPr>
        <w:pStyle w:val="18"/>
        <w:ind w:firstLine="0" w:firstLineChars="0"/>
        <w:rPr>
          <w:rFonts w:hAnsi="宋体" w:cs="宋体"/>
          <w:sz w:val="28"/>
          <w:szCs w:val="28"/>
        </w:rPr>
      </w:pPr>
      <w:r>
        <w:rPr>
          <w:rFonts w:hint="eastAsia" w:hAnsi="宋体" w:cs="宋体"/>
          <w:sz w:val="28"/>
          <w:szCs w:val="28"/>
        </w:rPr>
        <w:t>9.3 沟通</w:t>
      </w:r>
    </w:p>
    <w:p>
      <w:pPr>
        <w:pStyle w:val="18"/>
        <w:ind w:firstLine="560"/>
        <w:rPr>
          <w:rFonts w:hAnsi="宋体" w:cs="宋体"/>
          <w:sz w:val="28"/>
          <w:szCs w:val="28"/>
        </w:rPr>
      </w:pPr>
      <w:r>
        <w:rPr>
          <w:rFonts w:hint="eastAsia" w:hAnsi="宋体" w:cs="宋体"/>
          <w:sz w:val="28"/>
          <w:szCs w:val="28"/>
        </w:rPr>
        <w:t>建立不同职能和层级间的内部沟通和用于与相关方的外部沟通机制，及时有效传递隐患信息，提高隐患排查治理的效果和效率。</w:t>
      </w:r>
    </w:p>
    <w:p>
      <w:pPr>
        <w:pStyle w:val="18"/>
        <w:ind w:firstLine="560"/>
        <w:rPr>
          <w:rFonts w:hAnsi="宋体" w:cs="宋体"/>
          <w:sz w:val="28"/>
          <w:szCs w:val="28"/>
        </w:rPr>
      </w:pPr>
      <w:r>
        <w:rPr>
          <w:rFonts w:hint="eastAsia" w:hAnsi="宋体" w:cs="宋体"/>
          <w:sz w:val="28"/>
          <w:szCs w:val="28"/>
        </w:rPr>
        <w:t>主动识别内部各级人员隐患排查治理相关培训需求，并纳入企业培训计划，组织相关培训。</w:t>
      </w:r>
    </w:p>
    <w:p>
      <w:pPr>
        <w:pStyle w:val="18"/>
        <w:ind w:firstLine="560"/>
        <w:rPr>
          <w:rFonts w:hAnsi="宋体" w:cs="宋体"/>
          <w:sz w:val="28"/>
          <w:szCs w:val="28"/>
        </w:rPr>
      </w:pPr>
      <w:r>
        <w:rPr>
          <w:rFonts w:hint="eastAsia" w:hAnsi="宋体" w:cs="宋体"/>
          <w:sz w:val="28"/>
          <w:szCs w:val="28"/>
        </w:rPr>
        <w:t>不断增强从业人员的安全意识和能力，使其熟悉、掌握隐患排查的方法，消除各类隐患，有效控制岗位风险，减少和杜绝安全生产事故发生，保证安全生产。</w:t>
      </w:r>
    </w:p>
    <w:p>
      <w:pPr>
        <w:pStyle w:val="18"/>
        <w:ind w:firstLine="560"/>
        <w:rPr>
          <w:rFonts w:hAnsi="宋体" w:cs="宋体"/>
          <w:sz w:val="28"/>
          <w:szCs w:val="28"/>
        </w:rPr>
        <w:sectPr>
          <w:headerReference r:id="rId35" w:type="first"/>
          <w:headerReference r:id="rId33" w:type="default"/>
          <w:footerReference r:id="rId36" w:type="default"/>
          <w:headerReference r:id="rId34" w:type="even"/>
          <w:pgSz w:w="11906" w:h="16838"/>
          <w:pgMar w:top="1440" w:right="1800" w:bottom="1440" w:left="1800" w:header="851" w:footer="992" w:gutter="0"/>
          <w:cols w:space="425" w:num="1"/>
          <w:docGrid w:type="lines" w:linePitch="312" w:charSpace="0"/>
        </w:sectPr>
      </w:pPr>
      <w:r>
        <w:rPr>
          <w:rFonts w:hint="eastAsia" w:hAnsi="宋体" w:cs="宋体"/>
          <w:sz w:val="28"/>
          <w:szCs w:val="28"/>
        </w:rPr>
        <w:t>当企业发生变更或者风险分级管控体系更新时，隐患排查项目清单应及时更新。</w:t>
      </w:r>
      <w:bookmarkStart w:id="924" w:name="_Toc487713740"/>
    </w:p>
    <w:p>
      <w:pPr>
        <w:pStyle w:val="21"/>
        <w:numPr>
          <w:ilvl w:val="0"/>
          <w:numId w:val="0"/>
        </w:numPr>
      </w:pPr>
      <w:bookmarkStart w:id="925" w:name="_Toc9861"/>
      <w:r>
        <w:rPr>
          <w:rFonts w:hint="eastAsia"/>
        </w:rPr>
        <w:t>表1现场类隐患排查项目清单</w:t>
      </w:r>
      <w:bookmarkEnd w:id="924"/>
      <w:bookmarkEnd w:id="925"/>
    </w:p>
    <w:tbl>
      <w:tblPr>
        <w:tblStyle w:val="13"/>
        <w:tblW w:w="15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503"/>
        <w:gridCol w:w="556"/>
        <w:gridCol w:w="397"/>
        <w:gridCol w:w="590"/>
        <w:gridCol w:w="658"/>
        <w:gridCol w:w="658"/>
        <w:gridCol w:w="851"/>
        <w:gridCol w:w="584"/>
        <w:gridCol w:w="587"/>
        <w:gridCol w:w="1059"/>
        <w:gridCol w:w="1062"/>
        <w:gridCol w:w="506"/>
        <w:gridCol w:w="1012"/>
        <w:gridCol w:w="1012"/>
        <w:gridCol w:w="609"/>
        <w:gridCol w:w="972"/>
        <w:gridCol w:w="972"/>
        <w:gridCol w:w="438"/>
        <w:gridCol w:w="1003"/>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4" w:type="dxa"/>
            <w:gridSpan w:val="5"/>
            <w:vAlign w:val="center"/>
          </w:tcPr>
          <w:p>
            <w:pPr>
              <w:jc w:val="center"/>
              <w:rPr>
                <w:rFonts w:ascii="宋体" w:hAnsi="宋体"/>
                <w:sz w:val="18"/>
                <w:szCs w:val="18"/>
              </w:rPr>
            </w:pPr>
            <w:r>
              <w:rPr>
                <w:rFonts w:hint="eastAsia" w:ascii="宋体" w:hAnsi="宋体"/>
                <w:sz w:val="18"/>
                <w:szCs w:val="18"/>
              </w:rPr>
              <w:t>风险点</w:t>
            </w:r>
          </w:p>
        </w:tc>
        <w:tc>
          <w:tcPr>
            <w:tcW w:w="3338" w:type="dxa"/>
            <w:gridSpan w:val="5"/>
            <w:vAlign w:val="center"/>
          </w:tcPr>
          <w:p>
            <w:pPr>
              <w:jc w:val="center"/>
              <w:rPr>
                <w:rFonts w:ascii="宋体" w:hAnsi="宋体"/>
                <w:sz w:val="18"/>
                <w:szCs w:val="18"/>
              </w:rPr>
            </w:pPr>
            <w:r>
              <w:rPr>
                <w:rFonts w:hint="eastAsia" w:ascii="宋体" w:hAnsi="宋体"/>
                <w:sz w:val="18"/>
                <w:szCs w:val="18"/>
              </w:rPr>
              <w:t>排查内容与排查标准</w:t>
            </w:r>
          </w:p>
        </w:tc>
        <w:tc>
          <w:tcPr>
            <w:tcW w:w="2627" w:type="dxa"/>
            <w:gridSpan w:val="3"/>
            <w:vAlign w:val="center"/>
          </w:tcPr>
          <w:p>
            <w:pPr>
              <w:jc w:val="center"/>
              <w:rPr>
                <w:rFonts w:ascii="宋体" w:hAnsi="宋体"/>
                <w:sz w:val="18"/>
                <w:szCs w:val="18"/>
              </w:rPr>
            </w:pPr>
            <w:r>
              <w:rPr>
                <w:rFonts w:hint="eastAsia" w:ascii="宋体" w:hAnsi="宋体"/>
                <w:sz w:val="18"/>
                <w:szCs w:val="18"/>
              </w:rPr>
              <w:t>日常检查</w:t>
            </w:r>
          </w:p>
        </w:tc>
        <w:tc>
          <w:tcPr>
            <w:tcW w:w="2633" w:type="dxa"/>
            <w:gridSpan w:val="3"/>
            <w:vAlign w:val="center"/>
          </w:tcPr>
          <w:p>
            <w:pPr>
              <w:jc w:val="center"/>
              <w:rPr>
                <w:rFonts w:ascii="宋体" w:hAnsi="宋体"/>
                <w:sz w:val="18"/>
                <w:szCs w:val="18"/>
              </w:rPr>
            </w:pPr>
            <w:r>
              <w:rPr>
                <w:rFonts w:hint="eastAsia" w:ascii="宋体" w:hAnsi="宋体"/>
                <w:sz w:val="18"/>
                <w:szCs w:val="18"/>
              </w:rPr>
              <w:t>专业性检查</w:t>
            </w:r>
          </w:p>
        </w:tc>
        <w:tc>
          <w:tcPr>
            <w:tcW w:w="2382" w:type="dxa"/>
            <w:gridSpan w:val="3"/>
            <w:vAlign w:val="center"/>
          </w:tcPr>
          <w:p>
            <w:pPr>
              <w:jc w:val="center"/>
              <w:rPr>
                <w:rFonts w:ascii="宋体" w:hAnsi="宋体"/>
                <w:sz w:val="18"/>
                <w:szCs w:val="18"/>
              </w:rPr>
            </w:pPr>
            <w:r>
              <w:rPr>
                <w:rFonts w:hint="eastAsia" w:ascii="宋体" w:hAnsi="宋体"/>
                <w:sz w:val="18"/>
                <w:szCs w:val="18"/>
              </w:rPr>
              <w:t>综合性检查</w:t>
            </w:r>
          </w:p>
        </w:tc>
        <w:tc>
          <w:tcPr>
            <w:tcW w:w="1981" w:type="dxa"/>
            <w:gridSpan w:val="2"/>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restart"/>
            <w:vAlign w:val="center"/>
          </w:tcPr>
          <w:p>
            <w:pPr>
              <w:jc w:val="center"/>
              <w:rPr>
                <w:rFonts w:ascii="宋体" w:hAnsi="宋体"/>
                <w:sz w:val="18"/>
                <w:szCs w:val="18"/>
              </w:rPr>
            </w:pPr>
            <w:r>
              <w:rPr>
                <w:rFonts w:hint="eastAsia" w:ascii="宋体" w:hAnsi="宋体"/>
                <w:sz w:val="18"/>
                <w:szCs w:val="18"/>
              </w:rPr>
              <w:t>编号</w:t>
            </w:r>
          </w:p>
        </w:tc>
        <w:tc>
          <w:tcPr>
            <w:tcW w:w="503" w:type="dxa"/>
            <w:vMerge w:val="restart"/>
            <w:vAlign w:val="center"/>
          </w:tcPr>
          <w:p>
            <w:pPr>
              <w:jc w:val="center"/>
              <w:rPr>
                <w:rFonts w:ascii="宋体" w:hAnsi="宋体"/>
                <w:sz w:val="18"/>
                <w:szCs w:val="18"/>
              </w:rPr>
            </w:pPr>
            <w:r>
              <w:rPr>
                <w:rFonts w:hint="eastAsia" w:ascii="宋体" w:hAnsi="宋体"/>
                <w:sz w:val="18"/>
                <w:szCs w:val="18"/>
              </w:rPr>
              <w:t>类型</w:t>
            </w:r>
          </w:p>
        </w:tc>
        <w:tc>
          <w:tcPr>
            <w:tcW w:w="556" w:type="dxa"/>
            <w:vMerge w:val="restart"/>
            <w:vAlign w:val="center"/>
          </w:tcPr>
          <w:p>
            <w:pPr>
              <w:jc w:val="center"/>
              <w:rPr>
                <w:rFonts w:ascii="宋体" w:hAnsi="宋体"/>
                <w:sz w:val="18"/>
                <w:szCs w:val="18"/>
              </w:rPr>
            </w:pPr>
            <w:r>
              <w:rPr>
                <w:rFonts w:hint="eastAsia" w:ascii="宋体" w:hAnsi="宋体"/>
                <w:sz w:val="18"/>
                <w:szCs w:val="18"/>
              </w:rPr>
              <w:t>名称</w:t>
            </w:r>
          </w:p>
        </w:tc>
        <w:tc>
          <w:tcPr>
            <w:tcW w:w="397" w:type="dxa"/>
            <w:vMerge w:val="restart"/>
            <w:vAlign w:val="center"/>
          </w:tcPr>
          <w:p>
            <w:pPr>
              <w:jc w:val="center"/>
              <w:rPr>
                <w:rFonts w:ascii="宋体" w:hAnsi="宋体"/>
                <w:sz w:val="18"/>
                <w:szCs w:val="18"/>
              </w:rPr>
            </w:pPr>
            <w:r>
              <w:rPr>
                <w:rFonts w:hint="eastAsia" w:ascii="宋体" w:hAnsi="宋体"/>
                <w:sz w:val="18"/>
                <w:szCs w:val="18"/>
              </w:rPr>
              <w:t>风险点等级</w:t>
            </w:r>
          </w:p>
        </w:tc>
        <w:tc>
          <w:tcPr>
            <w:tcW w:w="590" w:type="dxa"/>
            <w:vMerge w:val="restart"/>
            <w:vAlign w:val="center"/>
          </w:tcPr>
          <w:p>
            <w:pPr>
              <w:jc w:val="center"/>
              <w:rPr>
                <w:rFonts w:ascii="宋体" w:hAnsi="宋体"/>
                <w:sz w:val="18"/>
                <w:szCs w:val="18"/>
              </w:rPr>
            </w:pPr>
            <w:r>
              <w:rPr>
                <w:rFonts w:hint="eastAsia" w:ascii="宋体" w:hAnsi="宋体"/>
                <w:sz w:val="18"/>
                <w:szCs w:val="18"/>
              </w:rPr>
              <w:t>责任单位</w:t>
            </w:r>
          </w:p>
        </w:tc>
        <w:tc>
          <w:tcPr>
            <w:tcW w:w="1316" w:type="dxa"/>
            <w:gridSpan w:val="2"/>
            <w:vAlign w:val="center"/>
          </w:tcPr>
          <w:p>
            <w:pPr>
              <w:jc w:val="center"/>
              <w:rPr>
                <w:rFonts w:ascii="宋体" w:hAnsi="宋体"/>
                <w:sz w:val="18"/>
                <w:szCs w:val="18"/>
              </w:rPr>
            </w:pPr>
            <w:r>
              <w:rPr>
                <w:rFonts w:hint="eastAsia" w:ascii="宋体" w:hAnsi="宋体"/>
                <w:sz w:val="18"/>
                <w:szCs w:val="18"/>
              </w:rPr>
              <w:t>作业步骤</w:t>
            </w:r>
          </w:p>
          <w:p>
            <w:pPr>
              <w:jc w:val="center"/>
              <w:rPr>
                <w:rFonts w:ascii="宋体" w:hAnsi="宋体"/>
                <w:sz w:val="18"/>
                <w:szCs w:val="18"/>
              </w:rPr>
            </w:pPr>
            <w:r>
              <w:rPr>
                <w:rFonts w:hint="eastAsia" w:ascii="宋体" w:hAnsi="宋体"/>
                <w:sz w:val="18"/>
                <w:szCs w:val="18"/>
              </w:rPr>
              <w:t>（检查项目）</w:t>
            </w:r>
          </w:p>
        </w:tc>
        <w:tc>
          <w:tcPr>
            <w:tcW w:w="851" w:type="dxa"/>
            <w:vMerge w:val="restart"/>
            <w:vAlign w:val="center"/>
          </w:tcPr>
          <w:p>
            <w:pPr>
              <w:jc w:val="center"/>
              <w:rPr>
                <w:rFonts w:ascii="宋体" w:hAnsi="宋体"/>
                <w:sz w:val="18"/>
                <w:szCs w:val="18"/>
              </w:rPr>
            </w:pPr>
            <w:r>
              <w:rPr>
                <w:rFonts w:hint="eastAsia" w:ascii="宋体" w:hAnsi="宋体"/>
                <w:sz w:val="18"/>
                <w:szCs w:val="18"/>
              </w:rPr>
              <w:t>危险源或潜在事件</w:t>
            </w:r>
          </w:p>
          <w:p>
            <w:pPr>
              <w:jc w:val="center"/>
              <w:rPr>
                <w:rFonts w:ascii="宋体" w:hAnsi="宋体"/>
                <w:sz w:val="18"/>
                <w:szCs w:val="18"/>
              </w:rPr>
            </w:pPr>
            <w:r>
              <w:rPr>
                <w:rFonts w:hint="eastAsia" w:ascii="宋体" w:hAnsi="宋体"/>
                <w:sz w:val="18"/>
                <w:szCs w:val="18"/>
              </w:rPr>
              <w:t>（标准）</w:t>
            </w:r>
          </w:p>
        </w:tc>
        <w:tc>
          <w:tcPr>
            <w:tcW w:w="1171" w:type="dxa"/>
            <w:gridSpan w:val="2"/>
            <w:vMerge w:val="restart"/>
            <w:vAlign w:val="center"/>
          </w:tcPr>
          <w:p>
            <w:pPr>
              <w:jc w:val="center"/>
              <w:rPr>
                <w:rFonts w:ascii="宋体" w:hAnsi="宋体"/>
                <w:sz w:val="18"/>
                <w:szCs w:val="18"/>
              </w:rPr>
            </w:pPr>
            <w:r>
              <w:rPr>
                <w:rFonts w:hint="eastAsia" w:ascii="宋体" w:hAnsi="宋体"/>
                <w:sz w:val="18"/>
                <w:szCs w:val="18"/>
              </w:rPr>
              <w:t>管控措施</w:t>
            </w:r>
          </w:p>
        </w:tc>
        <w:tc>
          <w:tcPr>
            <w:tcW w:w="1059" w:type="dxa"/>
            <w:vAlign w:val="center"/>
          </w:tcPr>
          <w:p>
            <w:pPr>
              <w:jc w:val="center"/>
              <w:rPr>
                <w:rFonts w:ascii="宋体" w:hAnsi="宋体"/>
                <w:sz w:val="18"/>
                <w:szCs w:val="18"/>
              </w:rPr>
            </w:pPr>
            <w:r>
              <w:rPr>
                <w:rFonts w:hint="eastAsia" w:ascii="宋体" w:hAnsi="宋体"/>
                <w:sz w:val="18"/>
                <w:szCs w:val="18"/>
              </w:rPr>
              <w:t>交接班</w:t>
            </w:r>
          </w:p>
        </w:tc>
        <w:tc>
          <w:tcPr>
            <w:tcW w:w="1062" w:type="dxa"/>
            <w:vAlign w:val="center"/>
          </w:tcPr>
          <w:p>
            <w:pPr>
              <w:jc w:val="center"/>
              <w:rPr>
                <w:rFonts w:ascii="宋体" w:hAnsi="宋体"/>
                <w:sz w:val="18"/>
                <w:szCs w:val="18"/>
              </w:rPr>
            </w:pPr>
            <w:r>
              <w:rPr>
                <w:rFonts w:ascii="宋体" w:hAnsi="宋体"/>
                <w:sz w:val="18"/>
                <w:szCs w:val="18"/>
              </w:rPr>
              <w:t>巡检</w:t>
            </w:r>
          </w:p>
        </w:tc>
        <w:tc>
          <w:tcPr>
            <w:tcW w:w="506" w:type="dxa"/>
            <w:vAlign w:val="center"/>
          </w:tcPr>
          <w:p>
            <w:pPr>
              <w:jc w:val="center"/>
              <w:rPr>
                <w:rFonts w:ascii="宋体" w:hAnsi="宋体"/>
                <w:sz w:val="18"/>
                <w:szCs w:val="18"/>
              </w:rPr>
            </w:pPr>
            <w:r>
              <w:rPr>
                <w:rFonts w:hint="eastAsia" w:ascii="宋体" w:hAnsi="宋体"/>
                <w:sz w:val="18"/>
                <w:szCs w:val="18"/>
              </w:rPr>
              <w:t>…</w:t>
            </w:r>
          </w:p>
        </w:tc>
        <w:tc>
          <w:tcPr>
            <w:tcW w:w="1012" w:type="dxa"/>
            <w:vAlign w:val="center"/>
          </w:tcPr>
          <w:p>
            <w:pPr>
              <w:jc w:val="center"/>
              <w:rPr>
                <w:rFonts w:ascii="宋体" w:hAnsi="宋体"/>
                <w:sz w:val="18"/>
                <w:szCs w:val="18"/>
              </w:rPr>
            </w:pPr>
            <w:r>
              <w:rPr>
                <w:rFonts w:hint="eastAsia" w:ascii="宋体" w:hAnsi="宋体"/>
                <w:sz w:val="18"/>
                <w:szCs w:val="18"/>
              </w:rPr>
              <w:t>设备</w:t>
            </w:r>
          </w:p>
        </w:tc>
        <w:tc>
          <w:tcPr>
            <w:tcW w:w="1012" w:type="dxa"/>
            <w:vAlign w:val="center"/>
          </w:tcPr>
          <w:p>
            <w:pPr>
              <w:jc w:val="center"/>
              <w:rPr>
                <w:rFonts w:ascii="宋体" w:hAnsi="宋体"/>
                <w:sz w:val="18"/>
                <w:szCs w:val="18"/>
              </w:rPr>
            </w:pPr>
            <w:r>
              <w:rPr>
                <w:rFonts w:hint="eastAsia" w:ascii="宋体" w:hAnsi="宋体"/>
                <w:sz w:val="18"/>
                <w:szCs w:val="18"/>
              </w:rPr>
              <w:t>电气</w:t>
            </w:r>
          </w:p>
        </w:tc>
        <w:tc>
          <w:tcPr>
            <w:tcW w:w="609" w:type="dxa"/>
            <w:vAlign w:val="center"/>
          </w:tcPr>
          <w:p>
            <w:pPr>
              <w:jc w:val="center"/>
              <w:rPr>
                <w:rFonts w:ascii="宋体" w:hAnsi="宋体"/>
                <w:sz w:val="18"/>
                <w:szCs w:val="18"/>
              </w:rPr>
            </w:pPr>
            <w:r>
              <w:rPr>
                <w:rFonts w:hint="eastAsia" w:ascii="宋体" w:hAnsi="宋体"/>
                <w:sz w:val="18"/>
                <w:szCs w:val="18"/>
              </w:rPr>
              <w:t>…</w:t>
            </w:r>
          </w:p>
        </w:tc>
        <w:tc>
          <w:tcPr>
            <w:tcW w:w="972" w:type="dxa"/>
            <w:vAlign w:val="center"/>
          </w:tcPr>
          <w:p>
            <w:pPr>
              <w:jc w:val="center"/>
              <w:rPr>
                <w:rFonts w:ascii="宋体" w:hAnsi="宋体"/>
                <w:sz w:val="18"/>
                <w:szCs w:val="18"/>
              </w:rPr>
            </w:pPr>
            <w:r>
              <w:rPr>
                <w:rFonts w:hint="eastAsia" w:ascii="宋体" w:hAnsi="宋体"/>
                <w:sz w:val="18"/>
                <w:szCs w:val="18"/>
              </w:rPr>
              <w:t>车间级</w:t>
            </w:r>
          </w:p>
        </w:tc>
        <w:tc>
          <w:tcPr>
            <w:tcW w:w="972" w:type="dxa"/>
            <w:vAlign w:val="center"/>
          </w:tcPr>
          <w:p>
            <w:pPr>
              <w:jc w:val="center"/>
              <w:rPr>
                <w:rFonts w:ascii="宋体" w:hAnsi="宋体"/>
                <w:sz w:val="18"/>
                <w:szCs w:val="18"/>
              </w:rPr>
            </w:pPr>
            <w:r>
              <w:rPr>
                <w:rFonts w:hint="eastAsia" w:ascii="宋体" w:hAnsi="宋体"/>
                <w:sz w:val="18"/>
                <w:szCs w:val="18"/>
              </w:rPr>
              <w:t>公司级</w:t>
            </w:r>
          </w:p>
        </w:tc>
        <w:tc>
          <w:tcPr>
            <w:tcW w:w="438" w:type="dxa"/>
            <w:vAlign w:val="center"/>
          </w:tcPr>
          <w:p>
            <w:pPr>
              <w:jc w:val="center"/>
              <w:rPr>
                <w:rFonts w:ascii="宋体" w:hAnsi="宋体"/>
                <w:sz w:val="18"/>
                <w:szCs w:val="18"/>
              </w:rPr>
            </w:pPr>
            <w:r>
              <w:rPr>
                <w:rFonts w:hint="eastAsia" w:ascii="宋体" w:hAnsi="宋体"/>
                <w:sz w:val="18"/>
                <w:szCs w:val="18"/>
              </w:rPr>
              <w:t>…</w:t>
            </w:r>
          </w:p>
        </w:tc>
        <w:tc>
          <w:tcPr>
            <w:tcW w:w="1003" w:type="dxa"/>
            <w:vAlign w:val="center"/>
          </w:tcPr>
          <w:p>
            <w:pPr>
              <w:jc w:val="center"/>
              <w:rPr>
                <w:rFonts w:ascii="宋体" w:hAnsi="宋体"/>
                <w:sz w:val="18"/>
                <w:szCs w:val="18"/>
              </w:rPr>
            </w:pPr>
            <w:r>
              <w:rPr>
                <w:rFonts w:hint="eastAsia" w:ascii="宋体" w:hAnsi="宋体"/>
                <w:sz w:val="18"/>
                <w:szCs w:val="18"/>
              </w:rPr>
              <w:t>…</w:t>
            </w:r>
          </w:p>
        </w:tc>
        <w:tc>
          <w:tcPr>
            <w:tcW w:w="978" w:type="dxa"/>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Align w:val="center"/>
          </w:tcPr>
          <w:p>
            <w:pPr>
              <w:jc w:val="center"/>
              <w:rPr>
                <w:rFonts w:ascii="宋体" w:hAnsi="宋体"/>
                <w:sz w:val="18"/>
                <w:szCs w:val="18"/>
              </w:rPr>
            </w:pPr>
            <w:r>
              <w:rPr>
                <w:rFonts w:hint="eastAsia" w:ascii="宋体" w:hAnsi="宋体"/>
                <w:sz w:val="18"/>
                <w:szCs w:val="18"/>
              </w:rPr>
              <w:t>序号</w:t>
            </w:r>
          </w:p>
        </w:tc>
        <w:tc>
          <w:tcPr>
            <w:tcW w:w="658" w:type="dxa"/>
            <w:vAlign w:val="center"/>
          </w:tcPr>
          <w:p>
            <w:pPr>
              <w:jc w:val="center"/>
              <w:rPr>
                <w:rFonts w:ascii="宋体" w:hAnsi="宋体"/>
                <w:sz w:val="18"/>
                <w:szCs w:val="18"/>
              </w:rPr>
            </w:pPr>
            <w:r>
              <w:rPr>
                <w:rFonts w:hint="eastAsia" w:ascii="宋体" w:hAnsi="宋体"/>
                <w:sz w:val="18"/>
                <w:szCs w:val="18"/>
              </w:rPr>
              <w:t>名称</w:t>
            </w:r>
          </w:p>
        </w:tc>
        <w:tc>
          <w:tcPr>
            <w:tcW w:w="851" w:type="dxa"/>
            <w:vMerge w:val="continue"/>
            <w:vAlign w:val="center"/>
          </w:tcPr>
          <w:p>
            <w:pPr>
              <w:jc w:val="center"/>
              <w:rPr>
                <w:rFonts w:ascii="宋体" w:hAnsi="宋体"/>
                <w:sz w:val="18"/>
                <w:szCs w:val="18"/>
              </w:rPr>
            </w:pPr>
          </w:p>
        </w:tc>
        <w:tc>
          <w:tcPr>
            <w:tcW w:w="1171" w:type="dxa"/>
            <w:gridSpan w:val="2"/>
            <w:vMerge w:val="continue"/>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062"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506" w:type="dxa"/>
            <w:vAlign w:val="center"/>
          </w:tcPr>
          <w:p>
            <w:pPr>
              <w:jc w:val="center"/>
              <w:rPr>
                <w:rFonts w:ascii="宋体" w:hAnsi="宋体"/>
                <w:sz w:val="18"/>
                <w:szCs w:val="18"/>
              </w:rPr>
            </w:pPr>
            <w:r>
              <w:rPr>
                <w:rFonts w:hint="eastAsia" w:ascii="宋体" w:hAnsi="宋体"/>
                <w:sz w:val="18"/>
                <w:szCs w:val="18"/>
              </w:rPr>
              <w:t>…</w:t>
            </w:r>
          </w:p>
        </w:tc>
        <w:tc>
          <w:tcPr>
            <w:tcW w:w="1012"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012"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609" w:type="dxa"/>
            <w:vAlign w:val="center"/>
          </w:tcPr>
          <w:p>
            <w:pPr>
              <w:jc w:val="center"/>
              <w:rPr>
                <w:rFonts w:ascii="宋体" w:hAnsi="宋体"/>
                <w:sz w:val="18"/>
                <w:szCs w:val="18"/>
              </w:rPr>
            </w:pPr>
            <w:r>
              <w:rPr>
                <w:rFonts w:hint="eastAsia" w:ascii="宋体" w:hAnsi="宋体"/>
                <w:sz w:val="18"/>
                <w:szCs w:val="18"/>
              </w:rPr>
              <w:t>…</w:t>
            </w:r>
          </w:p>
        </w:tc>
        <w:tc>
          <w:tcPr>
            <w:tcW w:w="972"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972"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438" w:type="dxa"/>
            <w:vAlign w:val="center"/>
          </w:tcPr>
          <w:p>
            <w:pPr>
              <w:jc w:val="center"/>
              <w:rPr>
                <w:rFonts w:ascii="宋体" w:hAnsi="宋体"/>
                <w:sz w:val="18"/>
                <w:szCs w:val="18"/>
              </w:rPr>
            </w:pPr>
            <w:r>
              <w:rPr>
                <w:rFonts w:hint="eastAsia" w:ascii="宋体" w:hAnsi="宋体"/>
                <w:sz w:val="18"/>
                <w:szCs w:val="18"/>
              </w:rPr>
              <w:t>…</w:t>
            </w:r>
          </w:p>
        </w:tc>
        <w:tc>
          <w:tcPr>
            <w:tcW w:w="1003"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978"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restart"/>
            <w:vAlign w:val="center"/>
          </w:tcPr>
          <w:p>
            <w:pPr>
              <w:jc w:val="center"/>
              <w:rPr>
                <w:rFonts w:ascii="宋体" w:hAnsi="宋体"/>
                <w:sz w:val="18"/>
                <w:szCs w:val="18"/>
              </w:rPr>
            </w:pPr>
          </w:p>
        </w:tc>
        <w:tc>
          <w:tcPr>
            <w:tcW w:w="503" w:type="dxa"/>
            <w:vMerge w:val="restart"/>
            <w:vAlign w:val="center"/>
          </w:tcPr>
          <w:p>
            <w:pPr>
              <w:jc w:val="center"/>
              <w:rPr>
                <w:rFonts w:ascii="宋体" w:hAnsi="宋体"/>
                <w:sz w:val="18"/>
                <w:szCs w:val="18"/>
              </w:rPr>
            </w:pPr>
            <w:r>
              <w:rPr>
                <w:rFonts w:hint="eastAsia" w:ascii="宋体" w:hAnsi="宋体"/>
                <w:sz w:val="18"/>
                <w:szCs w:val="18"/>
              </w:rPr>
              <w:t>作业活动或设备设施</w:t>
            </w:r>
          </w:p>
        </w:tc>
        <w:tc>
          <w:tcPr>
            <w:tcW w:w="556" w:type="dxa"/>
            <w:vMerge w:val="restart"/>
            <w:vAlign w:val="center"/>
          </w:tcPr>
          <w:p>
            <w:pPr>
              <w:jc w:val="center"/>
              <w:rPr>
                <w:rFonts w:ascii="宋体" w:hAnsi="宋体"/>
                <w:sz w:val="18"/>
                <w:szCs w:val="18"/>
              </w:rPr>
            </w:pPr>
          </w:p>
        </w:tc>
        <w:tc>
          <w:tcPr>
            <w:tcW w:w="397" w:type="dxa"/>
            <w:vMerge w:val="restart"/>
            <w:vAlign w:val="center"/>
          </w:tcPr>
          <w:p>
            <w:pPr>
              <w:jc w:val="center"/>
              <w:rPr>
                <w:rFonts w:ascii="宋体" w:hAnsi="宋体"/>
                <w:sz w:val="18"/>
                <w:szCs w:val="18"/>
              </w:rPr>
            </w:pPr>
          </w:p>
        </w:tc>
        <w:tc>
          <w:tcPr>
            <w:tcW w:w="590" w:type="dxa"/>
            <w:vMerge w:val="restart"/>
            <w:vAlign w:val="center"/>
          </w:tcPr>
          <w:p>
            <w:pPr>
              <w:jc w:val="center"/>
              <w:rPr>
                <w:rFonts w:ascii="宋体" w:hAnsi="宋体"/>
                <w:sz w:val="18"/>
                <w:szCs w:val="18"/>
              </w:rPr>
            </w:pPr>
          </w:p>
        </w:tc>
        <w:tc>
          <w:tcPr>
            <w:tcW w:w="658" w:type="dxa"/>
            <w:vMerge w:val="restart"/>
            <w:vAlign w:val="center"/>
          </w:tcPr>
          <w:p>
            <w:pPr>
              <w:jc w:val="center"/>
              <w:rPr>
                <w:rFonts w:ascii="宋体" w:hAnsi="宋体"/>
                <w:sz w:val="18"/>
                <w:szCs w:val="18"/>
              </w:rPr>
            </w:pPr>
            <w:r>
              <w:rPr>
                <w:rFonts w:hint="eastAsia" w:ascii="宋体" w:hAnsi="宋体"/>
                <w:sz w:val="18"/>
                <w:szCs w:val="18"/>
              </w:rPr>
              <w:t>1</w:t>
            </w:r>
          </w:p>
        </w:tc>
        <w:tc>
          <w:tcPr>
            <w:tcW w:w="658" w:type="dxa"/>
            <w:vMerge w:val="restart"/>
            <w:vAlign w:val="center"/>
          </w:tcPr>
          <w:p>
            <w:pPr>
              <w:jc w:val="center"/>
              <w:rPr>
                <w:rFonts w:ascii="宋体" w:hAnsi="宋体"/>
                <w:sz w:val="18"/>
                <w:szCs w:val="18"/>
              </w:rPr>
            </w:pPr>
          </w:p>
        </w:tc>
        <w:tc>
          <w:tcPr>
            <w:tcW w:w="851" w:type="dxa"/>
            <w:vMerge w:val="restart"/>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工程技术</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851" w:type="dxa"/>
            <w:vMerge w:val="continue"/>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管理措施</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851" w:type="dxa"/>
            <w:vMerge w:val="continue"/>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培训教育</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851" w:type="dxa"/>
            <w:vMerge w:val="continue"/>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个体防护</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851" w:type="dxa"/>
            <w:vMerge w:val="continue"/>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应急处置</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Align w:val="center"/>
          </w:tcPr>
          <w:p>
            <w:pPr>
              <w:jc w:val="center"/>
              <w:rPr>
                <w:rFonts w:ascii="宋体" w:hAnsi="宋体"/>
                <w:sz w:val="18"/>
                <w:szCs w:val="18"/>
              </w:rPr>
            </w:pPr>
            <w:r>
              <w:rPr>
                <w:rFonts w:hint="eastAsia" w:ascii="宋体" w:hAnsi="宋体"/>
                <w:sz w:val="18"/>
                <w:szCs w:val="18"/>
              </w:rPr>
              <w:t>2</w:t>
            </w:r>
          </w:p>
        </w:tc>
        <w:tc>
          <w:tcPr>
            <w:tcW w:w="658" w:type="dxa"/>
            <w:vAlign w:val="center"/>
          </w:tcPr>
          <w:p>
            <w:pPr>
              <w:jc w:val="center"/>
              <w:rPr>
                <w:rFonts w:ascii="宋体" w:hAnsi="宋体"/>
                <w:sz w:val="18"/>
                <w:szCs w:val="18"/>
              </w:rPr>
            </w:pPr>
          </w:p>
        </w:tc>
        <w:tc>
          <w:tcPr>
            <w:tcW w:w="851" w:type="dxa"/>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Align w:val="center"/>
          </w:tcPr>
          <w:p>
            <w:pPr>
              <w:jc w:val="center"/>
              <w:rPr>
                <w:rFonts w:ascii="宋体" w:hAnsi="宋体"/>
                <w:sz w:val="18"/>
                <w:szCs w:val="18"/>
              </w:rPr>
            </w:pPr>
            <w:r>
              <w:rPr>
                <w:rFonts w:hint="eastAsia" w:ascii="宋体" w:hAnsi="宋体"/>
                <w:sz w:val="18"/>
                <w:szCs w:val="18"/>
              </w:rPr>
              <w:t>…</w:t>
            </w:r>
          </w:p>
        </w:tc>
        <w:tc>
          <w:tcPr>
            <w:tcW w:w="658" w:type="dxa"/>
            <w:vAlign w:val="center"/>
          </w:tcPr>
          <w:p>
            <w:pPr>
              <w:jc w:val="center"/>
              <w:rPr>
                <w:rFonts w:ascii="宋体" w:hAnsi="宋体"/>
                <w:sz w:val="18"/>
                <w:szCs w:val="18"/>
              </w:rPr>
            </w:pPr>
            <w:r>
              <w:rPr>
                <w:rFonts w:hint="eastAsia" w:ascii="宋体" w:hAnsi="宋体"/>
                <w:sz w:val="18"/>
                <w:szCs w:val="18"/>
              </w:rPr>
              <w:t>…</w:t>
            </w:r>
          </w:p>
        </w:tc>
        <w:tc>
          <w:tcPr>
            <w:tcW w:w="851" w:type="dxa"/>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bl>
    <w:p>
      <w:pPr>
        <w:pStyle w:val="44"/>
      </w:pPr>
      <w:r>
        <w:rPr>
          <w:rFonts w:hint="eastAsia"/>
        </w:rPr>
        <w:t>排查类型主要包括日常隐患排查、综合性隐患排查、专业或专项隐患排查、季节性隐患排查等。</w:t>
      </w:r>
    </w:p>
    <w:p>
      <w:pPr>
        <w:pStyle w:val="44"/>
      </w:pPr>
      <w:r>
        <w:rPr>
          <w:rFonts w:hint="eastAsia"/>
        </w:rPr>
        <w:t>组织级别一般包括公司级、部门级、车间级、班组级，也可结合本单位机构设置情况对组织级别进行调整。</w:t>
      </w:r>
    </w:p>
    <w:p>
      <w:pPr>
        <w:pStyle w:val="44"/>
      </w:pPr>
      <w:r>
        <w:rPr>
          <w:rFonts w:hint="eastAsia"/>
        </w:rPr>
        <w:t>根据排查类型、排查周期、组织级别对排查内容与排查标准进行勾选。</w:t>
      </w:r>
    </w:p>
    <w:p>
      <w:pPr>
        <w:pStyle w:val="26"/>
      </w:pPr>
      <w:bookmarkStart w:id="926" w:name="_Toc19880"/>
      <w:bookmarkEnd w:id="926"/>
    </w:p>
    <w:p>
      <w:pPr>
        <w:pStyle w:val="27"/>
      </w:pPr>
      <w:bookmarkStart w:id="927" w:name="_Toc25660"/>
      <w:bookmarkEnd w:id="927"/>
    </w:p>
    <w:p>
      <w:pPr>
        <w:pStyle w:val="21"/>
        <w:numPr>
          <w:ilvl w:val="0"/>
          <w:numId w:val="0"/>
        </w:numPr>
      </w:pPr>
      <w:bookmarkStart w:id="928" w:name="_Toc24442"/>
      <w:bookmarkStart w:id="929" w:name="_Toc487713741"/>
      <w:r>
        <w:rPr>
          <w:rFonts w:hint="eastAsia"/>
        </w:rPr>
        <w:t>表2基础管理类隐患排查清单</w:t>
      </w:r>
      <w:bookmarkEnd w:id="928"/>
      <w:bookmarkEnd w:id="929"/>
    </w:p>
    <w:tbl>
      <w:tblPr>
        <w:tblStyle w:val="13"/>
        <w:tblW w:w="14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227"/>
        <w:gridCol w:w="1774"/>
        <w:gridCol w:w="1115"/>
        <w:gridCol w:w="1115"/>
        <w:gridCol w:w="1115"/>
        <w:gridCol w:w="1115"/>
        <w:gridCol w:w="1115"/>
        <w:gridCol w:w="1118"/>
        <w:gridCol w:w="1115"/>
        <w:gridCol w:w="1115"/>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restart"/>
            <w:vAlign w:val="center"/>
          </w:tcPr>
          <w:p>
            <w:pPr>
              <w:jc w:val="center"/>
              <w:rPr>
                <w:rFonts w:ascii="宋体" w:hAnsi="宋体"/>
                <w:sz w:val="18"/>
                <w:szCs w:val="18"/>
              </w:rPr>
            </w:pPr>
            <w:r>
              <w:rPr>
                <w:rFonts w:hint="eastAsia" w:ascii="宋体" w:hAnsi="宋体"/>
                <w:sz w:val="18"/>
                <w:szCs w:val="18"/>
              </w:rPr>
              <w:t>序号</w:t>
            </w:r>
          </w:p>
        </w:tc>
        <w:tc>
          <w:tcPr>
            <w:tcW w:w="2227" w:type="dxa"/>
            <w:vMerge w:val="restart"/>
            <w:vAlign w:val="center"/>
          </w:tcPr>
          <w:p>
            <w:pPr>
              <w:jc w:val="center"/>
              <w:rPr>
                <w:rFonts w:ascii="宋体" w:hAnsi="宋体"/>
                <w:sz w:val="18"/>
                <w:szCs w:val="18"/>
              </w:rPr>
            </w:pPr>
            <w:r>
              <w:rPr>
                <w:rFonts w:hint="eastAsia" w:ascii="宋体" w:hAnsi="宋体"/>
                <w:sz w:val="18"/>
                <w:szCs w:val="18"/>
              </w:rPr>
              <w:t>排查项目</w:t>
            </w:r>
          </w:p>
        </w:tc>
        <w:tc>
          <w:tcPr>
            <w:tcW w:w="1774" w:type="dxa"/>
            <w:vMerge w:val="restart"/>
            <w:vAlign w:val="center"/>
          </w:tcPr>
          <w:p>
            <w:pPr>
              <w:jc w:val="center"/>
              <w:rPr>
                <w:rFonts w:ascii="宋体" w:hAnsi="宋体"/>
                <w:sz w:val="18"/>
                <w:szCs w:val="18"/>
              </w:rPr>
            </w:pPr>
            <w:r>
              <w:rPr>
                <w:rFonts w:ascii="宋体" w:hAnsi="宋体"/>
                <w:sz w:val="18"/>
                <w:szCs w:val="18"/>
              </w:rPr>
              <w:t>排查内容与排查标准</w:t>
            </w:r>
          </w:p>
        </w:tc>
        <w:tc>
          <w:tcPr>
            <w:tcW w:w="3345" w:type="dxa"/>
            <w:gridSpan w:val="3"/>
            <w:vAlign w:val="center"/>
          </w:tcPr>
          <w:p>
            <w:pPr>
              <w:jc w:val="center"/>
              <w:rPr>
                <w:rFonts w:ascii="宋体" w:hAnsi="宋体"/>
                <w:sz w:val="18"/>
                <w:szCs w:val="18"/>
              </w:rPr>
            </w:pPr>
            <w:r>
              <w:rPr>
                <w:rFonts w:hint="eastAsia" w:ascii="宋体" w:hAnsi="宋体"/>
                <w:sz w:val="18"/>
                <w:szCs w:val="18"/>
              </w:rPr>
              <w:t>专业性检查</w:t>
            </w:r>
          </w:p>
        </w:tc>
        <w:tc>
          <w:tcPr>
            <w:tcW w:w="3348" w:type="dxa"/>
            <w:gridSpan w:val="3"/>
            <w:vAlign w:val="center"/>
          </w:tcPr>
          <w:p>
            <w:pPr>
              <w:jc w:val="center"/>
              <w:rPr>
                <w:rFonts w:ascii="宋体" w:hAnsi="宋体"/>
                <w:sz w:val="18"/>
                <w:szCs w:val="18"/>
              </w:rPr>
            </w:pPr>
            <w:r>
              <w:rPr>
                <w:rFonts w:hint="eastAsia" w:ascii="宋体" w:hAnsi="宋体"/>
                <w:sz w:val="18"/>
                <w:szCs w:val="18"/>
              </w:rPr>
              <w:t>综合性检查</w:t>
            </w:r>
          </w:p>
        </w:tc>
        <w:tc>
          <w:tcPr>
            <w:tcW w:w="3348" w:type="dxa"/>
            <w:gridSpan w:val="3"/>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Merge w:val="continue"/>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r>
              <w:rPr>
                <w:rFonts w:hint="eastAsia" w:ascii="宋体" w:hAnsi="宋体"/>
                <w:sz w:val="18"/>
                <w:szCs w:val="18"/>
              </w:rPr>
              <w:t>设备</w:t>
            </w:r>
          </w:p>
        </w:tc>
        <w:tc>
          <w:tcPr>
            <w:tcW w:w="1115" w:type="dxa"/>
            <w:vAlign w:val="center"/>
          </w:tcPr>
          <w:p>
            <w:pPr>
              <w:jc w:val="center"/>
              <w:rPr>
                <w:rFonts w:ascii="宋体" w:hAnsi="宋体"/>
                <w:sz w:val="18"/>
                <w:szCs w:val="18"/>
              </w:rPr>
            </w:pPr>
            <w:r>
              <w:rPr>
                <w:rFonts w:hint="eastAsia" w:ascii="宋体" w:hAnsi="宋体"/>
                <w:sz w:val="18"/>
                <w:szCs w:val="18"/>
              </w:rPr>
              <w:t>电气</w:t>
            </w:r>
          </w:p>
        </w:tc>
        <w:tc>
          <w:tcPr>
            <w:tcW w:w="1115" w:type="dxa"/>
            <w:vAlign w:val="center"/>
          </w:tcPr>
          <w:p>
            <w:pPr>
              <w:jc w:val="center"/>
              <w:rPr>
                <w:rFonts w:ascii="宋体" w:hAnsi="宋体"/>
                <w:sz w:val="18"/>
                <w:szCs w:val="18"/>
              </w:rPr>
            </w:pPr>
            <w:r>
              <w:rPr>
                <w:rFonts w:hint="eastAsia" w:ascii="宋体" w:hAnsi="宋体"/>
                <w:sz w:val="18"/>
                <w:szCs w:val="18"/>
              </w:rPr>
              <w:t>…</w:t>
            </w:r>
          </w:p>
        </w:tc>
        <w:tc>
          <w:tcPr>
            <w:tcW w:w="1115" w:type="dxa"/>
            <w:vAlign w:val="center"/>
          </w:tcPr>
          <w:p>
            <w:pPr>
              <w:jc w:val="center"/>
              <w:rPr>
                <w:rFonts w:ascii="宋体" w:hAnsi="宋体"/>
                <w:sz w:val="18"/>
                <w:szCs w:val="18"/>
              </w:rPr>
            </w:pPr>
            <w:r>
              <w:rPr>
                <w:rFonts w:hint="eastAsia" w:ascii="宋体" w:hAnsi="宋体"/>
                <w:sz w:val="18"/>
                <w:szCs w:val="18"/>
              </w:rPr>
              <w:t>车间级</w:t>
            </w:r>
          </w:p>
        </w:tc>
        <w:tc>
          <w:tcPr>
            <w:tcW w:w="1115" w:type="dxa"/>
            <w:vAlign w:val="center"/>
          </w:tcPr>
          <w:p>
            <w:pPr>
              <w:jc w:val="center"/>
              <w:rPr>
                <w:rFonts w:ascii="宋体" w:hAnsi="宋体"/>
                <w:sz w:val="18"/>
                <w:szCs w:val="18"/>
              </w:rPr>
            </w:pPr>
            <w:r>
              <w:rPr>
                <w:rFonts w:hint="eastAsia" w:ascii="宋体" w:hAnsi="宋体"/>
                <w:sz w:val="18"/>
                <w:szCs w:val="18"/>
              </w:rPr>
              <w:t>公司级</w:t>
            </w:r>
          </w:p>
        </w:tc>
        <w:tc>
          <w:tcPr>
            <w:tcW w:w="1118" w:type="dxa"/>
            <w:vAlign w:val="center"/>
          </w:tcPr>
          <w:p>
            <w:pPr>
              <w:jc w:val="center"/>
              <w:rPr>
                <w:rFonts w:ascii="宋体" w:hAnsi="宋体"/>
                <w:sz w:val="18"/>
                <w:szCs w:val="18"/>
              </w:rPr>
            </w:pPr>
            <w:r>
              <w:rPr>
                <w:rFonts w:hint="eastAsia" w:ascii="宋体" w:hAnsi="宋体"/>
                <w:sz w:val="18"/>
                <w:szCs w:val="18"/>
              </w:rPr>
              <w:t>…</w:t>
            </w:r>
          </w:p>
        </w:tc>
        <w:tc>
          <w:tcPr>
            <w:tcW w:w="1115" w:type="dxa"/>
            <w:vAlign w:val="center"/>
          </w:tcPr>
          <w:p>
            <w:pPr>
              <w:jc w:val="center"/>
              <w:rPr>
                <w:rFonts w:ascii="宋体" w:hAnsi="宋体"/>
                <w:sz w:val="18"/>
                <w:szCs w:val="18"/>
              </w:rPr>
            </w:pPr>
            <w:r>
              <w:rPr>
                <w:rFonts w:hint="eastAsia" w:ascii="宋体" w:hAnsi="宋体"/>
                <w:sz w:val="18"/>
                <w:szCs w:val="18"/>
              </w:rPr>
              <w:t>……</w:t>
            </w:r>
          </w:p>
        </w:tc>
        <w:tc>
          <w:tcPr>
            <w:tcW w:w="1115" w:type="dxa"/>
            <w:vAlign w:val="center"/>
          </w:tcPr>
          <w:p>
            <w:pPr>
              <w:jc w:val="center"/>
              <w:rPr>
                <w:rFonts w:ascii="宋体" w:hAnsi="宋体"/>
                <w:sz w:val="18"/>
                <w:szCs w:val="18"/>
              </w:rPr>
            </w:pPr>
            <w:r>
              <w:rPr>
                <w:rFonts w:hint="eastAsia" w:ascii="宋体" w:hAnsi="宋体"/>
                <w:sz w:val="18"/>
                <w:szCs w:val="18"/>
              </w:rPr>
              <w:t>……</w:t>
            </w:r>
          </w:p>
        </w:tc>
        <w:tc>
          <w:tcPr>
            <w:tcW w:w="1118" w:type="dxa"/>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Merge w:val="continue"/>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5" w:type="dxa"/>
            <w:vAlign w:val="center"/>
          </w:tcPr>
          <w:p>
            <w:pPr>
              <w:jc w:val="center"/>
              <w:rPr>
                <w:rFonts w:ascii="宋体" w:hAnsi="宋体"/>
                <w:sz w:val="18"/>
                <w:szCs w:val="18"/>
              </w:rPr>
            </w:pPr>
            <w:r>
              <w:rPr>
                <w:rFonts w:hint="eastAsia" w:ascii="宋体" w:hAnsi="宋体"/>
                <w:sz w:val="18"/>
                <w:szCs w:val="18"/>
              </w:rPr>
              <w:t>…</w:t>
            </w: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8" w:type="dxa"/>
            <w:vAlign w:val="center"/>
          </w:tcPr>
          <w:p>
            <w:pPr>
              <w:jc w:val="center"/>
              <w:rPr>
                <w:rFonts w:ascii="宋体" w:hAnsi="宋体"/>
                <w:sz w:val="18"/>
                <w:szCs w:val="18"/>
              </w:rPr>
            </w:pPr>
            <w:r>
              <w:rPr>
                <w:rFonts w:hint="eastAsia" w:ascii="宋体" w:hAnsi="宋体"/>
                <w:sz w:val="18"/>
                <w:szCs w:val="18"/>
              </w:rPr>
              <w:t>…</w:t>
            </w: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8" w:type="dxa"/>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restart"/>
            <w:vAlign w:val="center"/>
          </w:tcPr>
          <w:p>
            <w:pPr>
              <w:jc w:val="center"/>
              <w:rPr>
                <w:rFonts w:ascii="宋体" w:hAnsi="宋体"/>
                <w:sz w:val="18"/>
                <w:szCs w:val="18"/>
              </w:rPr>
            </w:pPr>
          </w:p>
        </w:tc>
        <w:tc>
          <w:tcPr>
            <w:tcW w:w="2227" w:type="dxa"/>
            <w:vMerge w:val="restart"/>
            <w:vAlign w:val="center"/>
          </w:tcPr>
          <w:p>
            <w:pPr>
              <w:jc w:val="center"/>
              <w:rPr>
                <w:rFonts w:ascii="宋体" w:hAnsi="宋体"/>
                <w:sz w:val="18"/>
                <w:szCs w:val="18"/>
              </w:rPr>
            </w:pPr>
            <w:r>
              <w:rPr>
                <w:rFonts w:ascii="宋体" w:hAnsi="宋体"/>
                <w:sz w:val="18"/>
                <w:szCs w:val="18"/>
              </w:rPr>
              <w:t>生产经营单位资质证照</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宋体" w:hAnsi="宋体"/>
                <w:sz w:val="18"/>
                <w:szCs w:val="18"/>
              </w:rPr>
            </w:pPr>
          </w:p>
        </w:tc>
        <w:tc>
          <w:tcPr>
            <w:tcW w:w="2227" w:type="dxa"/>
            <w:vAlign w:val="center"/>
          </w:tcPr>
          <w:p>
            <w:pPr>
              <w:jc w:val="center"/>
              <w:rPr>
                <w:rFonts w:ascii="宋体" w:hAnsi="宋体"/>
                <w:sz w:val="18"/>
                <w:szCs w:val="18"/>
              </w:rPr>
            </w:pPr>
            <w:r>
              <w:rPr>
                <w:rFonts w:ascii="宋体" w:hAnsi="宋体"/>
                <w:sz w:val="18"/>
                <w:szCs w:val="18"/>
              </w:rPr>
              <w:t>安全生产管理机构及人员</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宋体" w:hAnsi="宋体"/>
                <w:sz w:val="18"/>
                <w:szCs w:val="18"/>
              </w:rPr>
            </w:pPr>
          </w:p>
        </w:tc>
        <w:tc>
          <w:tcPr>
            <w:tcW w:w="2227" w:type="dxa"/>
            <w:vAlign w:val="center"/>
          </w:tcPr>
          <w:p>
            <w:pPr>
              <w:jc w:val="center"/>
              <w:rPr>
                <w:rFonts w:ascii="宋体" w:hAnsi="宋体"/>
                <w:sz w:val="18"/>
                <w:szCs w:val="18"/>
              </w:rPr>
            </w:pPr>
            <w:r>
              <w:rPr>
                <w:rFonts w:ascii="宋体" w:hAnsi="宋体"/>
                <w:sz w:val="18"/>
                <w:szCs w:val="18"/>
              </w:rPr>
              <w:t>安全生产责任制</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宋体" w:hAnsi="宋体"/>
                <w:sz w:val="18"/>
                <w:szCs w:val="18"/>
              </w:rPr>
            </w:pPr>
          </w:p>
        </w:tc>
        <w:tc>
          <w:tcPr>
            <w:tcW w:w="2227" w:type="dxa"/>
            <w:vAlign w:val="center"/>
          </w:tcPr>
          <w:p>
            <w:pPr>
              <w:jc w:val="center"/>
              <w:rPr>
                <w:rFonts w:ascii="宋体" w:hAnsi="宋体"/>
                <w:sz w:val="18"/>
                <w:szCs w:val="18"/>
              </w:rPr>
            </w:pPr>
            <w:r>
              <w:rPr>
                <w:rFonts w:hint="eastAsia" w:ascii="宋体" w:hAnsi="宋体"/>
                <w:sz w:val="18"/>
                <w:szCs w:val="18"/>
              </w:rPr>
              <w:t>……</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宋体" w:hAnsi="宋体"/>
                <w:sz w:val="18"/>
                <w:szCs w:val="18"/>
              </w:rPr>
            </w:pPr>
          </w:p>
        </w:tc>
        <w:tc>
          <w:tcPr>
            <w:tcW w:w="2227" w:type="dxa"/>
            <w:vAlign w:val="center"/>
          </w:tcPr>
          <w:p>
            <w:pPr>
              <w:jc w:val="center"/>
              <w:rPr>
                <w:rFonts w:ascii="宋体" w:hAnsi="宋体"/>
                <w:sz w:val="18"/>
                <w:szCs w:val="18"/>
              </w:rPr>
            </w:pPr>
            <w:r>
              <w:rPr>
                <w:rFonts w:hint="eastAsia" w:ascii="宋体" w:hAnsi="宋体"/>
                <w:sz w:val="18"/>
                <w:szCs w:val="18"/>
              </w:rPr>
              <w:t>……</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宋体" w:hAnsi="宋体"/>
                <w:sz w:val="18"/>
                <w:szCs w:val="18"/>
              </w:rPr>
            </w:pPr>
          </w:p>
        </w:tc>
        <w:tc>
          <w:tcPr>
            <w:tcW w:w="2227" w:type="dxa"/>
            <w:vAlign w:val="center"/>
          </w:tcPr>
          <w:p>
            <w:pPr>
              <w:jc w:val="center"/>
              <w:rPr>
                <w:rFonts w:ascii="宋体" w:hAnsi="宋体"/>
                <w:sz w:val="18"/>
                <w:szCs w:val="18"/>
              </w:rPr>
            </w:pPr>
            <w:r>
              <w:rPr>
                <w:rFonts w:hint="eastAsia" w:ascii="宋体" w:hAnsi="宋体"/>
                <w:sz w:val="18"/>
                <w:szCs w:val="18"/>
              </w:rPr>
              <w:t>……</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bl>
    <w:p>
      <w:pPr>
        <w:pStyle w:val="44"/>
        <w:numPr>
          <w:ilvl w:val="0"/>
          <w:numId w:val="21"/>
        </w:numPr>
      </w:pPr>
      <w:r>
        <w:rPr>
          <w:rFonts w:hint="eastAsia"/>
        </w:rPr>
        <w:t>排查类型主要包括综合性隐患排查、专业或专项隐患排查、季节性隐患排查等。</w:t>
      </w:r>
    </w:p>
    <w:p>
      <w:pPr>
        <w:pStyle w:val="44"/>
      </w:pPr>
      <w:r>
        <w:rPr>
          <w:rFonts w:hint="eastAsia"/>
        </w:rPr>
        <w:t>组织级别一般包括公司级、部门级、车间级，也可结合本单位机构设置情况对组织级别进行调整。</w:t>
      </w:r>
    </w:p>
    <w:p>
      <w:pPr>
        <w:pStyle w:val="44"/>
      </w:pPr>
      <w:r>
        <w:rPr>
          <w:rFonts w:hint="eastAsia"/>
        </w:rPr>
        <w:t>根据排查类型、排查周期、组织级别对排查内容与排查标准进行勾选。</w:t>
      </w:r>
    </w:p>
    <w:p>
      <w:pPr>
        <w:pStyle w:val="26"/>
      </w:pPr>
      <w:bookmarkStart w:id="930" w:name="_Toc18427"/>
      <w:bookmarkEnd w:id="930"/>
    </w:p>
    <w:p>
      <w:pPr>
        <w:pStyle w:val="27"/>
      </w:pPr>
      <w:bookmarkStart w:id="931" w:name="_Toc31285"/>
      <w:bookmarkEnd w:id="931"/>
    </w:p>
    <w:p>
      <w:pPr>
        <w:pStyle w:val="21"/>
        <w:numPr>
          <w:ilvl w:val="0"/>
          <w:numId w:val="0"/>
        </w:numPr>
      </w:pPr>
      <w:bookmarkStart w:id="932" w:name="_Toc28932"/>
      <w:bookmarkStart w:id="933" w:name="_Toc487713742"/>
      <w:r>
        <w:rPr>
          <w:rFonts w:hint="eastAsia"/>
        </w:rPr>
        <w:t>表3现场管理类隐患排查治理台账</w:t>
      </w:r>
      <w:bookmarkEnd w:id="932"/>
      <w:bookmarkEnd w:id="933"/>
    </w:p>
    <w:tbl>
      <w:tblPr>
        <w:tblStyle w:val="13"/>
        <w:tblW w:w="15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
        <w:gridCol w:w="784"/>
        <w:gridCol w:w="462"/>
        <w:gridCol w:w="602"/>
        <w:gridCol w:w="556"/>
        <w:gridCol w:w="481"/>
        <w:gridCol w:w="481"/>
        <w:gridCol w:w="758"/>
        <w:gridCol w:w="680"/>
        <w:gridCol w:w="236"/>
        <w:gridCol w:w="556"/>
        <w:gridCol w:w="556"/>
        <w:gridCol w:w="556"/>
        <w:gridCol w:w="509"/>
        <w:gridCol w:w="556"/>
        <w:gridCol w:w="556"/>
        <w:gridCol w:w="556"/>
        <w:gridCol w:w="509"/>
        <w:gridCol w:w="556"/>
        <w:gridCol w:w="646"/>
        <w:gridCol w:w="556"/>
        <w:gridCol w:w="646"/>
        <w:gridCol w:w="599"/>
        <w:gridCol w:w="556"/>
        <w:gridCol w:w="509"/>
        <w:gridCol w:w="556"/>
        <w:gridCol w:w="509"/>
        <w:gridCol w:w="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gridSpan w:val="5"/>
            <w:vAlign w:val="center"/>
          </w:tcPr>
          <w:p>
            <w:pPr>
              <w:jc w:val="center"/>
              <w:rPr>
                <w:rFonts w:ascii="宋体" w:hAnsi="宋体"/>
                <w:sz w:val="18"/>
                <w:szCs w:val="18"/>
              </w:rPr>
            </w:pPr>
            <w:r>
              <w:rPr>
                <w:rFonts w:hint="eastAsia" w:ascii="宋体" w:hAnsi="宋体"/>
                <w:sz w:val="18"/>
                <w:szCs w:val="18"/>
              </w:rPr>
              <w:t>风险点</w:t>
            </w:r>
          </w:p>
        </w:tc>
        <w:tc>
          <w:tcPr>
            <w:tcW w:w="2633" w:type="dxa"/>
            <w:gridSpan w:val="5"/>
            <w:vAlign w:val="center"/>
          </w:tcPr>
          <w:p>
            <w:pPr>
              <w:jc w:val="center"/>
              <w:rPr>
                <w:rFonts w:ascii="宋体" w:hAnsi="宋体"/>
                <w:sz w:val="18"/>
                <w:szCs w:val="18"/>
              </w:rPr>
            </w:pPr>
            <w:r>
              <w:rPr>
                <w:rFonts w:hint="eastAsia" w:ascii="宋体" w:hAnsi="宋体"/>
                <w:sz w:val="18"/>
                <w:szCs w:val="18"/>
              </w:rPr>
              <w:t>排查内容与排查标准</w:t>
            </w:r>
          </w:p>
        </w:tc>
        <w:tc>
          <w:tcPr>
            <w:tcW w:w="2177" w:type="dxa"/>
            <w:gridSpan w:val="4"/>
            <w:vAlign w:val="center"/>
          </w:tcPr>
          <w:p>
            <w:pPr>
              <w:jc w:val="center"/>
              <w:rPr>
                <w:rFonts w:ascii="宋体" w:hAnsi="宋体"/>
                <w:sz w:val="18"/>
                <w:szCs w:val="18"/>
              </w:rPr>
            </w:pPr>
            <w:r>
              <w:rPr>
                <w:rFonts w:hint="eastAsia" w:ascii="宋体" w:hAnsi="宋体"/>
                <w:sz w:val="18"/>
                <w:szCs w:val="18"/>
              </w:rPr>
              <w:t>计划过程</w:t>
            </w:r>
          </w:p>
        </w:tc>
        <w:tc>
          <w:tcPr>
            <w:tcW w:w="3379" w:type="dxa"/>
            <w:gridSpan w:val="6"/>
            <w:vAlign w:val="center"/>
          </w:tcPr>
          <w:p>
            <w:pPr>
              <w:jc w:val="center"/>
              <w:rPr>
                <w:rFonts w:ascii="宋体" w:hAnsi="宋体"/>
                <w:sz w:val="18"/>
                <w:szCs w:val="18"/>
              </w:rPr>
            </w:pPr>
            <w:r>
              <w:rPr>
                <w:rFonts w:hint="eastAsia" w:ascii="宋体" w:hAnsi="宋体"/>
                <w:sz w:val="18"/>
                <w:szCs w:val="18"/>
              </w:rPr>
              <w:t>排查过程</w:t>
            </w:r>
          </w:p>
        </w:tc>
        <w:tc>
          <w:tcPr>
            <w:tcW w:w="2866" w:type="dxa"/>
            <w:gridSpan w:val="5"/>
            <w:vAlign w:val="center"/>
          </w:tcPr>
          <w:p>
            <w:pPr>
              <w:jc w:val="center"/>
              <w:rPr>
                <w:rFonts w:ascii="宋体" w:hAnsi="宋体"/>
                <w:sz w:val="18"/>
                <w:szCs w:val="18"/>
              </w:rPr>
            </w:pPr>
            <w:r>
              <w:rPr>
                <w:rFonts w:hint="eastAsia" w:ascii="宋体" w:hAnsi="宋体"/>
                <w:sz w:val="18"/>
                <w:szCs w:val="18"/>
              </w:rPr>
              <w:t>整改过程</w:t>
            </w:r>
          </w:p>
        </w:tc>
        <w:tc>
          <w:tcPr>
            <w:tcW w:w="1602" w:type="dxa"/>
            <w:gridSpan w:val="3"/>
            <w:vAlign w:val="center"/>
          </w:tcPr>
          <w:p>
            <w:pPr>
              <w:jc w:val="center"/>
              <w:rPr>
                <w:rFonts w:ascii="宋体" w:hAnsi="宋体"/>
                <w:sz w:val="18"/>
                <w:szCs w:val="18"/>
              </w:rPr>
            </w:pPr>
            <w:r>
              <w:rPr>
                <w:rFonts w:hint="eastAsia" w:ascii="宋体" w:hAnsi="宋体"/>
                <w:sz w:val="18"/>
                <w:szCs w:val="18"/>
              </w:rPr>
              <w:t>验收过程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restart"/>
            <w:vAlign w:val="center"/>
          </w:tcPr>
          <w:p>
            <w:pPr>
              <w:jc w:val="center"/>
              <w:rPr>
                <w:rFonts w:ascii="宋体" w:hAnsi="宋体"/>
                <w:sz w:val="18"/>
                <w:szCs w:val="18"/>
              </w:rPr>
            </w:pPr>
            <w:r>
              <w:rPr>
                <w:rFonts w:hint="eastAsia" w:ascii="宋体" w:hAnsi="宋体"/>
                <w:sz w:val="18"/>
                <w:szCs w:val="18"/>
              </w:rPr>
              <w:t>编号</w:t>
            </w:r>
          </w:p>
        </w:tc>
        <w:tc>
          <w:tcPr>
            <w:tcW w:w="785" w:type="dxa"/>
            <w:vMerge w:val="restart"/>
            <w:vAlign w:val="center"/>
          </w:tcPr>
          <w:p>
            <w:pPr>
              <w:jc w:val="center"/>
              <w:rPr>
                <w:rFonts w:ascii="宋体" w:hAnsi="宋体"/>
                <w:sz w:val="18"/>
                <w:szCs w:val="18"/>
              </w:rPr>
            </w:pPr>
            <w:r>
              <w:rPr>
                <w:rFonts w:hint="eastAsia" w:ascii="宋体" w:hAnsi="宋体"/>
                <w:sz w:val="18"/>
                <w:szCs w:val="18"/>
              </w:rPr>
              <w:t>类型</w:t>
            </w:r>
          </w:p>
        </w:tc>
        <w:tc>
          <w:tcPr>
            <w:tcW w:w="463" w:type="dxa"/>
            <w:vMerge w:val="restart"/>
            <w:vAlign w:val="center"/>
          </w:tcPr>
          <w:p>
            <w:pPr>
              <w:jc w:val="center"/>
              <w:rPr>
                <w:rFonts w:ascii="宋体" w:hAnsi="宋体"/>
                <w:sz w:val="18"/>
                <w:szCs w:val="18"/>
              </w:rPr>
            </w:pPr>
            <w:r>
              <w:rPr>
                <w:rFonts w:hint="eastAsia" w:ascii="宋体" w:hAnsi="宋体"/>
                <w:sz w:val="18"/>
                <w:szCs w:val="18"/>
              </w:rPr>
              <w:t>名称</w:t>
            </w:r>
          </w:p>
        </w:tc>
        <w:tc>
          <w:tcPr>
            <w:tcW w:w="602" w:type="dxa"/>
            <w:vMerge w:val="restart"/>
            <w:vAlign w:val="center"/>
          </w:tcPr>
          <w:p>
            <w:pPr>
              <w:jc w:val="center"/>
              <w:rPr>
                <w:rFonts w:ascii="宋体" w:hAnsi="宋体"/>
                <w:sz w:val="18"/>
                <w:szCs w:val="18"/>
              </w:rPr>
            </w:pPr>
            <w:r>
              <w:rPr>
                <w:rFonts w:hint="eastAsia" w:ascii="宋体" w:hAnsi="宋体"/>
                <w:sz w:val="18"/>
                <w:szCs w:val="18"/>
              </w:rPr>
              <w:t>风险点等级</w:t>
            </w:r>
          </w:p>
        </w:tc>
        <w:tc>
          <w:tcPr>
            <w:tcW w:w="556" w:type="dxa"/>
            <w:vMerge w:val="restart"/>
            <w:vAlign w:val="center"/>
          </w:tcPr>
          <w:p>
            <w:pPr>
              <w:jc w:val="center"/>
              <w:rPr>
                <w:rFonts w:ascii="宋体" w:hAnsi="宋体"/>
                <w:sz w:val="18"/>
                <w:szCs w:val="18"/>
              </w:rPr>
            </w:pPr>
            <w:r>
              <w:rPr>
                <w:rFonts w:hint="eastAsia" w:ascii="宋体" w:hAnsi="宋体"/>
                <w:sz w:val="18"/>
                <w:szCs w:val="18"/>
              </w:rPr>
              <w:t>责任单位</w:t>
            </w:r>
          </w:p>
        </w:tc>
        <w:tc>
          <w:tcPr>
            <w:tcW w:w="962" w:type="dxa"/>
            <w:gridSpan w:val="2"/>
            <w:vAlign w:val="center"/>
          </w:tcPr>
          <w:p>
            <w:pPr>
              <w:jc w:val="center"/>
              <w:rPr>
                <w:rFonts w:ascii="宋体" w:hAnsi="宋体"/>
                <w:sz w:val="18"/>
                <w:szCs w:val="18"/>
              </w:rPr>
            </w:pPr>
            <w:r>
              <w:rPr>
                <w:rFonts w:hint="eastAsia" w:ascii="宋体" w:hAnsi="宋体"/>
                <w:sz w:val="18"/>
                <w:szCs w:val="18"/>
              </w:rPr>
              <w:t>作业步骤</w:t>
            </w:r>
          </w:p>
          <w:p>
            <w:pPr>
              <w:jc w:val="center"/>
              <w:rPr>
                <w:rFonts w:ascii="宋体" w:hAnsi="宋体"/>
                <w:sz w:val="18"/>
                <w:szCs w:val="18"/>
              </w:rPr>
            </w:pPr>
            <w:r>
              <w:rPr>
                <w:rFonts w:hint="eastAsia" w:ascii="宋体" w:hAnsi="宋体"/>
                <w:sz w:val="18"/>
                <w:szCs w:val="18"/>
              </w:rPr>
              <w:t>(检查项目)</w:t>
            </w:r>
          </w:p>
        </w:tc>
        <w:tc>
          <w:tcPr>
            <w:tcW w:w="758" w:type="dxa"/>
            <w:vMerge w:val="restart"/>
            <w:vAlign w:val="center"/>
          </w:tcPr>
          <w:p>
            <w:pPr>
              <w:jc w:val="center"/>
              <w:rPr>
                <w:rFonts w:ascii="宋体" w:hAnsi="宋体"/>
                <w:sz w:val="18"/>
                <w:szCs w:val="18"/>
              </w:rPr>
            </w:pPr>
            <w:r>
              <w:rPr>
                <w:rFonts w:hint="eastAsia" w:ascii="宋体" w:hAnsi="宋体"/>
                <w:sz w:val="18"/>
                <w:szCs w:val="18"/>
              </w:rPr>
              <w:t>危险源或潜在事件</w:t>
            </w:r>
          </w:p>
          <w:p>
            <w:pPr>
              <w:jc w:val="center"/>
              <w:rPr>
                <w:rFonts w:ascii="宋体" w:hAnsi="宋体"/>
                <w:sz w:val="18"/>
                <w:szCs w:val="18"/>
              </w:rPr>
            </w:pPr>
            <w:r>
              <w:rPr>
                <w:rFonts w:hint="eastAsia" w:ascii="宋体" w:hAnsi="宋体"/>
                <w:sz w:val="18"/>
                <w:szCs w:val="18"/>
              </w:rPr>
              <w:t>(标准)</w:t>
            </w:r>
          </w:p>
        </w:tc>
        <w:tc>
          <w:tcPr>
            <w:tcW w:w="913" w:type="dxa"/>
            <w:gridSpan w:val="2"/>
            <w:vMerge w:val="restart"/>
            <w:vAlign w:val="center"/>
          </w:tcPr>
          <w:p>
            <w:pPr>
              <w:jc w:val="center"/>
              <w:rPr>
                <w:rFonts w:ascii="宋体" w:hAnsi="宋体"/>
                <w:sz w:val="18"/>
                <w:szCs w:val="18"/>
              </w:rPr>
            </w:pPr>
            <w:r>
              <w:rPr>
                <w:rFonts w:hint="eastAsia" w:ascii="宋体" w:hAnsi="宋体"/>
                <w:sz w:val="18"/>
                <w:szCs w:val="18"/>
              </w:rPr>
              <w:t>管控</w:t>
            </w:r>
          </w:p>
          <w:p>
            <w:pPr>
              <w:jc w:val="center"/>
              <w:rPr>
                <w:rFonts w:ascii="宋体" w:hAnsi="宋体"/>
                <w:sz w:val="18"/>
                <w:szCs w:val="18"/>
              </w:rPr>
            </w:pPr>
            <w:r>
              <w:rPr>
                <w:rFonts w:hint="eastAsia" w:ascii="宋体" w:hAnsi="宋体"/>
                <w:sz w:val="18"/>
                <w:szCs w:val="18"/>
              </w:rPr>
              <w:t>措施</w:t>
            </w:r>
          </w:p>
        </w:tc>
        <w:tc>
          <w:tcPr>
            <w:tcW w:w="556" w:type="dxa"/>
            <w:vMerge w:val="restart"/>
            <w:vAlign w:val="center"/>
          </w:tcPr>
          <w:p>
            <w:pPr>
              <w:jc w:val="center"/>
              <w:rPr>
                <w:rFonts w:ascii="宋体" w:hAnsi="宋体"/>
                <w:sz w:val="18"/>
                <w:szCs w:val="18"/>
              </w:rPr>
            </w:pPr>
            <w:r>
              <w:rPr>
                <w:rFonts w:hint="eastAsia" w:ascii="宋体" w:hAnsi="宋体"/>
                <w:sz w:val="18"/>
                <w:szCs w:val="18"/>
              </w:rPr>
              <w:t>排查类型</w:t>
            </w:r>
          </w:p>
        </w:tc>
        <w:tc>
          <w:tcPr>
            <w:tcW w:w="556" w:type="dxa"/>
            <w:vMerge w:val="restart"/>
            <w:vAlign w:val="center"/>
          </w:tcPr>
          <w:p>
            <w:pPr>
              <w:jc w:val="center"/>
              <w:rPr>
                <w:rFonts w:ascii="宋体" w:hAnsi="宋体"/>
                <w:sz w:val="18"/>
                <w:szCs w:val="18"/>
              </w:rPr>
            </w:pPr>
            <w:r>
              <w:rPr>
                <w:rFonts w:hint="eastAsia" w:ascii="宋体" w:hAnsi="宋体"/>
                <w:sz w:val="18"/>
                <w:szCs w:val="18"/>
              </w:rPr>
              <w:t>排查周期</w:t>
            </w:r>
          </w:p>
        </w:tc>
        <w:tc>
          <w:tcPr>
            <w:tcW w:w="556" w:type="dxa"/>
            <w:vMerge w:val="restart"/>
            <w:vAlign w:val="center"/>
          </w:tcPr>
          <w:p>
            <w:pPr>
              <w:jc w:val="center"/>
              <w:rPr>
                <w:rFonts w:ascii="宋体" w:hAnsi="宋体"/>
                <w:sz w:val="18"/>
                <w:szCs w:val="18"/>
              </w:rPr>
            </w:pPr>
            <w:r>
              <w:rPr>
                <w:rFonts w:hint="eastAsia" w:ascii="宋体" w:hAnsi="宋体"/>
                <w:sz w:val="18"/>
                <w:szCs w:val="18"/>
              </w:rPr>
              <w:t>责任单位</w:t>
            </w:r>
          </w:p>
        </w:tc>
        <w:tc>
          <w:tcPr>
            <w:tcW w:w="509" w:type="dxa"/>
            <w:vMerge w:val="restart"/>
            <w:vAlign w:val="center"/>
          </w:tcPr>
          <w:p>
            <w:pPr>
              <w:jc w:val="center"/>
              <w:rPr>
                <w:rFonts w:ascii="宋体" w:hAnsi="宋体"/>
                <w:sz w:val="18"/>
                <w:szCs w:val="18"/>
              </w:rPr>
            </w:pPr>
            <w:r>
              <w:rPr>
                <w:rFonts w:hint="eastAsia" w:ascii="宋体" w:hAnsi="宋体"/>
                <w:sz w:val="18"/>
                <w:szCs w:val="18"/>
              </w:rPr>
              <w:t>责任人</w:t>
            </w:r>
          </w:p>
        </w:tc>
        <w:tc>
          <w:tcPr>
            <w:tcW w:w="556" w:type="dxa"/>
            <w:vMerge w:val="restart"/>
            <w:vAlign w:val="center"/>
          </w:tcPr>
          <w:p>
            <w:pPr>
              <w:jc w:val="center"/>
              <w:rPr>
                <w:rFonts w:ascii="宋体" w:hAnsi="宋体"/>
                <w:sz w:val="18"/>
                <w:szCs w:val="18"/>
              </w:rPr>
            </w:pPr>
            <w:r>
              <w:rPr>
                <w:rFonts w:hint="eastAsia" w:ascii="宋体" w:hAnsi="宋体"/>
                <w:sz w:val="18"/>
                <w:szCs w:val="18"/>
              </w:rPr>
              <w:t>排查结果</w:t>
            </w:r>
          </w:p>
        </w:tc>
        <w:tc>
          <w:tcPr>
            <w:tcW w:w="556" w:type="dxa"/>
            <w:vMerge w:val="restart"/>
            <w:vAlign w:val="center"/>
          </w:tcPr>
          <w:p>
            <w:pPr>
              <w:jc w:val="center"/>
              <w:rPr>
                <w:rFonts w:ascii="宋体" w:hAnsi="宋体"/>
                <w:sz w:val="18"/>
                <w:szCs w:val="18"/>
              </w:rPr>
            </w:pPr>
            <w:r>
              <w:rPr>
                <w:rFonts w:hint="eastAsia" w:ascii="宋体" w:hAnsi="宋体"/>
                <w:sz w:val="18"/>
                <w:szCs w:val="18"/>
              </w:rPr>
              <w:t>隐患描述</w:t>
            </w:r>
          </w:p>
        </w:tc>
        <w:tc>
          <w:tcPr>
            <w:tcW w:w="556" w:type="dxa"/>
            <w:vMerge w:val="restart"/>
            <w:vAlign w:val="center"/>
          </w:tcPr>
          <w:p>
            <w:pPr>
              <w:jc w:val="center"/>
              <w:rPr>
                <w:rFonts w:ascii="宋体" w:hAnsi="宋体"/>
                <w:sz w:val="18"/>
                <w:szCs w:val="18"/>
              </w:rPr>
            </w:pPr>
            <w:r>
              <w:rPr>
                <w:rFonts w:hint="eastAsia" w:ascii="宋体" w:hAnsi="宋体"/>
                <w:sz w:val="18"/>
                <w:szCs w:val="18"/>
              </w:rPr>
              <w:t>隐患级别</w:t>
            </w:r>
          </w:p>
        </w:tc>
        <w:tc>
          <w:tcPr>
            <w:tcW w:w="509" w:type="dxa"/>
            <w:vMerge w:val="restart"/>
            <w:vAlign w:val="center"/>
          </w:tcPr>
          <w:p>
            <w:pPr>
              <w:jc w:val="center"/>
              <w:rPr>
                <w:rFonts w:ascii="宋体" w:hAnsi="宋体"/>
                <w:sz w:val="18"/>
                <w:szCs w:val="18"/>
              </w:rPr>
            </w:pPr>
            <w:r>
              <w:rPr>
                <w:rFonts w:hint="eastAsia" w:ascii="宋体" w:hAnsi="宋体"/>
                <w:sz w:val="18"/>
                <w:szCs w:val="18"/>
              </w:rPr>
              <w:t>排查人</w:t>
            </w:r>
          </w:p>
        </w:tc>
        <w:tc>
          <w:tcPr>
            <w:tcW w:w="556" w:type="dxa"/>
            <w:vMerge w:val="restart"/>
            <w:vAlign w:val="center"/>
          </w:tcPr>
          <w:p>
            <w:pPr>
              <w:jc w:val="center"/>
              <w:rPr>
                <w:rFonts w:ascii="宋体" w:hAnsi="宋体"/>
                <w:sz w:val="18"/>
                <w:szCs w:val="18"/>
              </w:rPr>
            </w:pPr>
            <w:r>
              <w:rPr>
                <w:rFonts w:hint="eastAsia" w:ascii="宋体" w:hAnsi="宋体"/>
                <w:sz w:val="18"/>
                <w:szCs w:val="18"/>
              </w:rPr>
              <w:t>排查时间</w:t>
            </w:r>
          </w:p>
        </w:tc>
        <w:tc>
          <w:tcPr>
            <w:tcW w:w="646" w:type="dxa"/>
            <w:vMerge w:val="restart"/>
            <w:vAlign w:val="center"/>
          </w:tcPr>
          <w:p>
            <w:pPr>
              <w:jc w:val="center"/>
              <w:rPr>
                <w:rFonts w:ascii="宋体" w:hAnsi="宋体"/>
                <w:sz w:val="18"/>
                <w:szCs w:val="18"/>
              </w:rPr>
            </w:pPr>
            <w:r>
              <w:rPr>
                <w:rFonts w:hint="eastAsia" w:ascii="宋体" w:hAnsi="宋体"/>
                <w:sz w:val="18"/>
                <w:szCs w:val="18"/>
              </w:rPr>
              <w:t>形成原因分析</w:t>
            </w:r>
          </w:p>
        </w:tc>
        <w:tc>
          <w:tcPr>
            <w:tcW w:w="556" w:type="dxa"/>
            <w:vMerge w:val="restart"/>
            <w:vAlign w:val="center"/>
          </w:tcPr>
          <w:p>
            <w:pPr>
              <w:jc w:val="center"/>
              <w:rPr>
                <w:rFonts w:ascii="宋体" w:hAnsi="宋体"/>
                <w:sz w:val="18"/>
                <w:szCs w:val="18"/>
              </w:rPr>
            </w:pPr>
            <w:r>
              <w:rPr>
                <w:rFonts w:hint="eastAsia" w:ascii="宋体" w:hAnsi="宋体"/>
                <w:sz w:val="18"/>
                <w:szCs w:val="18"/>
              </w:rPr>
              <w:t>整改措施</w:t>
            </w:r>
          </w:p>
        </w:tc>
        <w:tc>
          <w:tcPr>
            <w:tcW w:w="646" w:type="dxa"/>
            <w:vMerge w:val="restart"/>
            <w:vAlign w:val="center"/>
          </w:tcPr>
          <w:p>
            <w:pPr>
              <w:jc w:val="center"/>
              <w:rPr>
                <w:rFonts w:ascii="宋体" w:hAnsi="宋体"/>
                <w:sz w:val="18"/>
                <w:szCs w:val="18"/>
              </w:rPr>
            </w:pPr>
            <w:r>
              <w:rPr>
                <w:rFonts w:hint="eastAsia" w:ascii="宋体" w:hAnsi="宋体"/>
                <w:sz w:val="18"/>
                <w:szCs w:val="18"/>
              </w:rPr>
              <w:t>整改责任单位</w:t>
            </w:r>
          </w:p>
        </w:tc>
        <w:tc>
          <w:tcPr>
            <w:tcW w:w="599" w:type="dxa"/>
            <w:vMerge w:val="restart"/>
            <w:vAlign w:val="center"/>
          </w:tcPr>
          <w:p>
            <w:pPr>
              <w:jc w:val="center"/>
              <w:rPr>
                <w:rFonts w:ascii="宋体" w:hAnsi="宋体"/>
                <w:sz w:val="18"/>
                <w:szCs w:val="18"/>
              </w:rPr>
            </w:pPr>
            <w:r>
              <w:rPr>
                <w:rFonts w:hint="eastAsia" w:ascii="宋体" w:hAnsi="宋体"/>
                <w:sz w:val="18"/>
                <w:szCs w:val="18"/>
              </w:rPr>
              <w:t>整改责任人</w:t>
            </w:r>
          </w:p>
        </w:tc>
        <w:tc>
          <w:tcPr>
            <w:tcW w:w="556" w:type="dxa"/>
            <w:vMerge w:val="restart"/>
            <w:vAlign w:val="center"/>
          </w:tcPr>
          <w:p>
            <w:pPr>
              <w:jc w:val="center"/>
              <w:rPr>
                <w:rFonts w:ascii="宋体" w:hAnsi="宋体"/>
                <w:sz w:val="18"/>
                <w:szCs w:val="18"/>
              </w:rPr>
            </w:pPr>
            <w:r>
              <w:rPr>
                <w:rFonts w:hint="eastAsia" w:ascii="宋体" w:hAnsi="宋体"/>
                <w:sz w:val="18"/>
                <w:szCs w:val="18"/>
              </w:rPr>
              <w:t>整改期限</w:t>
            </w:r>
          </w:p>
        </w:tc>
        <w:tc>
          <w:tcPr>
            <w:tcW w:w="509" w:type="dxa"/>
            <w:vMerge w:val="restart"/>
            <w:vAlign w:val="center"/>
          </w:tcPr>
          <w:p>
            <w:pPr>
              <w:jc w:val="center"/>
              <w:rPr>
                <w:rFonts w:ascii="宋体" w:hAnsi="宋体"/>
                <w:sz w:val="18"/>
                <w:szCs w:val="18"/>
              </w:rPr>
            </w:pPr>
            <w:r>
              <w:rPr>
                <w:rFonts w:hint="eastAsia" w:ascii="宋体" w:hAnsi="宋体"/>
                <w:sz w:val="18"/>
                <w:szCs w:val="18"/>
              </w:rPr>
              <w:t>资金额</w:t>
            </w:r>
          </w:p>
        </w:tc>
        <w:tc>
          <w:tcPr>
            <w:tcW w:w="556" w:type="dxa"/>
            <w:vMerge w:val="restart"/>
            <w:vAlign w:val="center"/>
          </w:tcPr>
          <w:p>
            <w:pPr>
              <w:jc w:val="center"/>
              <w:rPr>
                <w:rFonts w:ascii="宋体" w:hAnsi="宋体"/>
                <w:sz w:val="18"/>
                <w:szCs w:val="18"/>
              </w:rPr>
            </w:pPr>
            <w:r>
              <w:rPr>
                <w:rFonts w:hint="eastAsia" w:ascii="宋体" w:hAnsi="宋体"/>
                <w:sz w:val="18"/>
                <w:szCs w:val="18"/>
              </w:rPr>
              <w:t>验收时间</w:t>
            </w:r>
          </w:p>
        </w:tc>
        <w:tc>
          <w:tcPr>
            <w:tcW w:w="509" w:type="dxa"/>
            <w:vMerge w:val="restart"/>
            <w:vAlign w:val="center"/>
          </w:tcPr>
          <w:p>
            <w:pPr>
              <w:jc w:val="center"/>
              <w:rPr>
                <w:rFonts w:ascii="宋体" w:hAnsi="宋体"/>
                <w:sz w:val="18"/>
                <w:szCs w:val="18"/>
              </w:rPr>
            </w:pPr>
            <w:r>
              <w:rPr>
                <w:rFonts w:hint="eastAsia" w:ascii="宋体" w:hAnsi="宋体"/>
                <w:sz w:val="18"/>
                <w:szCs w:val="18"/>
              </w:rPr>
              <w:t>验收人</w:t>
            </w:r>
          </w:p>
        </w:tc>
        <w:tc>
          <w:tcPr>
            <w:tcW w:w="537" w:type="dxa"/>
            <w:vMerge w:val="restart"/>
            <w:vAlign w:val="center"/>
          </w:tcPr>
          <w:p>
            <w:pPr>
              <w:jc w:val="center"/>
              <w:rPr>
                <w:rFonts w:ascii="宋体" w:hAnsi="宋体"/>
                <w:sz w:val="18"/>
                <w:szCs w:val="18"/>
              </w:rPr>
            </w:pPr>
            <w:r>
              <w:rPr>
                <w:rFonts w:hint="eastAsia" w:ascii="宋体" w:hAnsi="宋体"/>
                <w:sz w:val="18"/>
                <w:szCs w:val="18"/>
              </w:rPr>
              <w:t>验收情况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Align w:val="center"/>
          </w:tcPr>
          <w:p>
            <w:pPr>
              <w:jc w:val="center"/>
              <w:rPr>
                <w:rFonts w:ascii="宋体" w:hAnsi="宋体"/>
                <w:sz w:val="18"/>
                <w:szCs w:val="18"/>
              </w:rPr>
            </w:pPr>
            <w:r>
              <w:rPr>
                <w:rFonts w:hint="eastAsia" w:ascii="宋体" w:hAnsi="宋体"/>
                <w:sz w:val="18"/>
                <w:szCs w:val="18"/>
              </w:rPr>
              <w:t>序号</w:t>
            </w:r>
          </w:p>
        </w:tc>
        <w:tc>
          <w:tcPr>
            <w:tcW w:w="481" w:type="dxa"/>
            <w:vAlign w:val="center"/>
          </w:tcPr>
          <w:p>
            <w:pPr>
              <w:jc w:val="center"/>
              <w:rPr>
                <w:rFonts w:ascii="宋体" w:hAnsi="宋体"/>
                <w:sz w:val="18"/>
                <w:szCs w:val="18"/>
              </w:rPr>
            </w:pPr>
            <w:r>
              <w:rPr>
                <w:rFonts w:hint="eastAsia" w:ascii="宋体" w:hAnsi="宋体"/>
                <w:sz w:val="18"/>
                <w:szCs w:val="18"/>
              </w:rPr>
              <w:t>名称</w:t>
            </w:r>
          </w:p>
        </w:tc>
        <w:tc>
          <w:tcPr>
            <w:tcW w:w="758" w:type="dxa"/>
            <w:vMerge w:val="continue"/>
            <w:vAlign w:val="center"/>
          </w:tcPr>
          <w:p>
            <w:pPr>
              <w:jc w:val="center"/>
              <w:rPr>
                <w:rFonts w:ascii="宋体" w:hAnsi="宋体"/>
                <w:sz w:val="18"/>
                <w:szCs w:val="18"/>
              </w:rPr>
            </w:pPr>
          </w:p>
        </w:tc>
        <w:tc>
          <w:tcPr>
            <w:tcW w:w="913" w:type="dxa"/>
            <w:gridSpan w:val="2"/>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09"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09"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646"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646" w:type="dxa"/>
            <w:vMerge w:val="continue"/>
            <w:vAlign w:val="center"/>
          </w:tcPr>
          <w:p>
            <w:pPr>
              <w:jc w:val="center"/>
              <w:rPr>
                <w:rFonts w:ascii="宋体" w:hAnsi="宋体"/>
                <w:sz w:val="18"/>
                <w:szCs w:val="18"/>
              </w:rPr>
            </w:pPr>
          </w:p>
        </w:tc>
        <w:tc>
          <w:tcPr>
            <w:tcW w:w="599"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09"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09" w:type="dxa"/>
            <w:vMerge w:val="continue"/>
            <w:vAlign w:val="center"/>
          </w:tcPr>
          <w:p>
            <w:pPr>
              <w:jc w:val="center"/>
              <w:rPr>
                <w:rFonts w:ascii="宋体" w:hAnsi="宋体"/>
                <w:sz w:val="18"/>
                <w:szCs w:val="18"/>
              </w:rPr>
            </w:pPr>
          </w:p>
        </w:tc>
        <w:tc>
          <w:tcPr>
            <w:tcW w:w="537" w:type="dxa"/>
            <w:vMerge w:val="continue"/>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restart"/>
            <w:vAlign w:val="center"/>
          </w:tcPr>
          <w:p>
            <w:pPr>
              <w:jc w:val="center"/>
              <w:rPr>
                <w:rFonts w:ascii="宋体" w:hAnsi="宋体"/>
                <w:sz w:val="18"/>
                <w:szCs w:val="18"/>
              </w:rPr>
            </w:pPr>
          </w:p>
        </w:tc>
        <w:tc>
          <w:tcPr>
            <w:tcW w:w="785" w:type="dxa"/>
            <w:vMerge w:val="restart"/>
            <w:vAlign w:val="center"/>
          </w:tcPr>
          <w:p>
            <w:pPr>
              <w:jc w:val="center"/>
              <w:rPr>
                <w:rFonts w:ascii="宋体" w:hAnsi="宋体"/>
                <w:sz w:val="18"/>
                <w:szCs w:val="18"/>
              </w:rPr>
            </w:pPr>
            <w:r>
              <w:rPr>
                <w:rFonts w:hint="eastAsia" w:ascii="宋体" w:hAnsi="宋体"/>
                <w:sz w:val="18"/>
                <w:szCs w:val="18"/>
              </w:rPr>
              <w:t>作业活动或设备设施</w:t>
            </w:r>
          </w:p>
        </w:tc>
        <w:tc>
          <w:tcPr>
            <w:tcW w:w="463" w:type="dxa"/>
            <w:vMerge w:val="restart"/>
            <w:vAlign w:val="center"/>
          </w:tcPr>
          <w:p>
            <w:pPr>
              <w:jc w:val="center"/>
              <w:rPr>
                <w:rFonts w:ascii="宋体" w:hAnsi="宋体"/>
                <w:sz w:val="18"/>
                <w:szCs w:val="18"/>
              </w:rPr>
            </w:pPr>
          </w:p>
        </w:tc>
        <w:tc>
          <w:tcPr>
            <w:tcW w:w="602" w:type="dxa"/>
            <w:vMerge w:val="restart"/>
            <w:vAlign w:val="center"/>
          </w:tcPr>
          <w:p>
            <w:pPr>
              <w:jc w:val="center"/>
              <w:rPr>
                <w:rFonts w:ascii="宋体" w:hAnsi="宋体"/>
                <w:sz w:val="18"/>
                <w:szCs w:val="18"/>
              </w:rPr>
            </w:pPr>
          </w:p>
        </w:tc>
        <w:tc>
          <w:tcPr>
            <w:tcW w:w="556" w:type="dxa"/>
            <w:vMerge w:val="restart"/>
            <w:vAlign w:val="center"/>
          </w:tcPr>
          <w:p>
            <w:pPr>
              <w:jc w:val="center"/>
              <w:rPr>
                <w:rFonts w:ascii="宋体" w:hAnsi="宋体"/>
                <w:sz w:val="18"/>
                <w:szCs w:val="18"/>
              </w:rPr>
            </w:pPr>
          </w:p>
        </w:tc>
        <w:tc>
          <w:tcPr>
            <w:tcW w:w="481" w:type="dxa"/>
            <w:vMerge w:val="restart"/>
            <w:vAlign w:val="center"/>
          </w:tcPr>
          <w:p>
            <w:pPr>
              <w:jc w:val="center"/>
              <w:rPr>
                <w:rFonts w:ascii="宋体" w:hAnsi="宋体"/>
                <w:sz w:val="18"/>
                <w:szCs w:val="18"/>
              </w:rPr>
            </w:pPr>
            <w:r>
              <w:rPr>
                <w:rFonts w:hint="eastAsia" w:ascii="宋体" w:hAnsi="宋体"/>
                <w:sz w:val="18"/>
                <w:szCs w:val="18"/>
              </w:rPr>
              <w:t>1</w:t>
            </w:r>
          </w:p>
        </w:tc>
        <w:tc>
          <w:tcPr>
            <w:tcW w:w="481" w:type="dxa"/>
            <w:vMerge w:val="restart"/>
            <w:vAlign w:val="center"/>
          </w:tcPr>
          <w:p>
            <w:pPr>
              <w:jc w:val="center"/>
              <w:rPr>
                <w:rFonts w:ascii="宋体" w:hAnsi="宋体"/>
                <w:sz w:val="18"/>
                <w:szCs w:val="18"/>
              </w:rPr>
            </w:pPr>
          </w:p>
        </w:tc>
        <w:tc>
          <w:tcPr>
            <w:tcW w:w="758" w:type="dxa"/>
            <w:vMerge w:val="restart"/>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r>
              <w:rPr>
                <w:rFonts w:hint="eastAsia" w:ascii="宋体" w:hAnsi="宋体"/>
                <w:sz w:val="18"/>
                <w:szCs w:val="18"/>
              </w:rPr>
              <w:t>工程技术</w:t>
            </w: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758" w:type="dxa"/>
            <w:vMerge w:val="continue"/>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r>
              <w:rPr>
                <w:rFonts w:hint="eastAsia" w:ascii="宋体" w:hAnsi="宋体"/>
                <w:sz w:val="18"/>
                <w:szCs w:val="18"/>
              </w:rPr>
              <w:t>管理措施</w:t>
            </w: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758" w:type="dxa"/>
            <w:vMerge w:val="continue"/>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r>
              <w:rPr>
                <w:rFonts w:hint="eastAsia" w:ascii="宋体" w:hAnsi="宋体"/>
                <w:sz w:val="18"/>
                <w:szCs w:val="18"/>
              </w:rPr>
              <w:t>培训教育</w:t>
            </w: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758" w:type="dxa"/>
            <w:vMerge w:val="continue"/>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r>
              <w:rPr>
                <w:rFonts w:hint="eastAsia" w:ascii="宋体" w:hAnsi="宋体"/>
                <w:sz w:val="18"/>
                <w:szCs w:val="18"/>
              </w:rPr>
              <w:t>个体防护</w:t>
            </w: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758" w:type="dxa"/>
            <w:vMerge w:val="continue"/>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r>
              <w:rPr>
                <w:rFonts w:hint="eastAsia" w:ascii="宋体" w:hAnsi="宋体"/>
                <w:sz w:val="18"/>
                <w:szCs w:val="18"/>
              </w:rPr>
              <w:t>应急处置</w:t>
            </w: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Align w:val="center"/>
          </w:tcPr>
          <w:p>
            <w:pPr>
              <w:jc w:val="center"/>
              <w:rPr>
                <w:rFonts w:ascii="宋体" w:hAnsi="宋体"/>
                <w:sz w:val="18"/>
                <w:szCs w:val="18"/>
              </w:rPr>
            </w:pPr>
            <w:r>
              <w:rPr>
                <w:rFonts w:hint="eastAsia" w:ascii="宋体" w:hAnsi="宋体"/>
                <w:sz w:val="18"/>
                <w:szCs w:val="18"/>
              </w:rPr>
              <w:t>2</w:t>
            </w:r>
          </w:p>
        </w:tc>
        <w:tc>
          <w:tcPr>
            <w:tcW w:w="481" w:type="dxa"/>
            <w:vAlign w:val="center"/>
          </w:tcPr>
          <w:p>
            <w:pPr>
              <w:jc w:val="center"/>
              <w:rPr>
                <w:rFonts w:ascii="宋体" w:hAnsi="宋体"/>
                <w:sz w:val="18"/>
                <w:szCs w:val="18"/>
              </w:rPr>
            </w:pPr>
          </w:p>
        </w:tc>
        <w:tc>
          <w:tcPr>
            <w:tcW w:w="758" w:type="dxa"/>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bl>
    <w:p>
      <w:pPr>
        <w:pStyle w:val="26"/>
      </w:pPr>
      <w:bookmarkStart w:id="934" w:name="_Toc12823"/>
      <w:bookmarkEnd w:id="934"/>
    </w:p>
    <w:p>
      <w:pPr>
        <w:pStyle w:val="27"/>
      </w:pPr>
      <w:bookmarkStart w:id="935" w:name="_Toc21646"/>
      <w:bookmarkEnd w:id="935"/>
    </w:p>
    <w:p>
      <w:pPr>
        <w:pStyle w:val="21"/>
        <w:numPr>
          <w:ilvl w:val="0"/>
          <w:numId w:val="0"/>
        </w:numPr>
      </w:pPr>
      <w:bookmarkStart w:id="936" w:name="_Toc31110"/>
      <w:bookmarkStart w:id="937" w:name="_Toc487713743"/>
      <w:r>
        <w:rPr>
          <w:rFonts w:hint="eastAsia"/>
        </w:rPr>
        <w:t>表3基础管理类隐患排查治理台帐</w:t>
      </w:r>
      <w:bookmarkEnd w:id="936"/>
      <w:bookmarkEnd w:id="937"/>
    </w:p>
    <w:tbl>
      <w:tblPr>
        <w:tblStyle w:val="13"/>
        <w:tblW w:w="14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
        <w:gridCol w:w="1339"/>
        <w:gridCol w:w="1167"/>
        <w:gridCol w:w="650"/>
        <w:gridCol w:w="650"/>
        <w:gridCol w:w="651"/>
        <w:gridCol w:w="568"/>
        <w:gridCol w:w="651"/>
        <w:gridCol w:w="651"/>
        <w:gridCol w:w="651"/>
        <w:gridCol w:w="565"/>
        <w:gridCol w:w="651"/>
        <w:gridCol w:w="822"/>
        <w:gridCol w:w="651"/>
        <w:gridCol w:w="819"/>
        <w:gridCol w:w="736"/>
        <w:gridCol w:w="651"/>
        <w:gridCol w:w="568"/>
        <w:gridCol w:w="651"/>
        <w:gridCol w:w="565"/>
        <w:gridCol w:w="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03" w:type="dxa"/>
            <w:gridSpan w:val="7"/>
            <w:vAlign w:val="center"/>
          </w:tcPr>
          <w:p>
            <w:pPr>
              <w:jc w:val="center"/>
              <w:rPr>
                <w:rFonts w:ascii="宋体" w:hAnsi="宋体"/>
                <w:sz w:val="18"/>
                <w:szCs w:val="18"/>
              </w:rPr>
            </w:pPr>
            <w:r>
              <w:rPr>
                <w:rFonts w:hint="eastAsia" w:ascii="宋体" w:hAnsi="宋体"/>
                <w:sz w:val="18"/>
                <w:szCs w:val="18"/>
              </w:rPr>
              <w:t>计划过程</w:t>
            </w:r>
          </w:p>
        </w:tc>
        <w:tc>
          <w:tcPr>
            <w:tcW w:w="3991" w:type="dxa"/>
            <w:gridSpan w:val="6"/>
            <w:vAlign w:val="center"/>
          </w:tcPr>
          <w:p>
            <w:pPr>
              <w:jc w:val="center"/>
              <w:rPr>
                <w:rFonts w:ascii="宋体" w:hAnsi="宋体"/>
                <w:sz w:val="18"/>
                <w:szCs w:val="18"/>
              </w:rPr>
            </w:pPr>
            <w:r>
              <w:rPr>
                <w:rFonts w:hint="eastAsia" w:ascii="宋体" w:hAnsi="宋体"/>
                <w:sz w:val="18"/>
                <w:szCs w:val="18"/>
              </w:rPr>
              <w:t>排查过程</w:t>
            </w:r>
          </w:p>
        </w:tc>
        <w:tc>
          <w:tcPr>
            <w:tcW w:w="3425" w:type="dxa"/>
            <w:gridSpan w:val="5"/>
            <w:vAlign w:val="center"/>
          </w:tcPr>
          <w:p>
            <w:pPr>
              <w:jc w:val="center"/>
              <w:rPr>
                <w:rFonts w:ascii="宋体" w:hAnsi="宋体"/>
                <w:sz w:val="18"/>
                <w:szCs w:val="18"/>
              </w:rPr>
            </w:pPr>
            <w:r>
              <w:rPr>
                <w:rFonts w:hint="eastAsia" w:ascii="宋体" w:hAnsi="宋体"/>
                <w:sz w:val="18"/>
                <w:szCs w:val="18"/>
              </w:rPr>
              <w:t>整改过程</w:t>
            </w:r>
          </w:p>
        </w:tc>
        <w:tc>
          <w:tcPr>
            <w:tcW w:w="1867" w:type="dxa"/>
            <w:gridSpan w:val="3"/>
            <w:vAlign w:val="center"/>
          </w:tcPr>
          <w:p>
            <w:pPr>
              <w:jc w:val="center"/>
              <w:rPr>
                <w:rFonts w:ascii="宋体" w:hAnsi="宋体"/>
                <w:sz w:val="18"/>
                <w:szCs w:val="18"/>
              </w:rPr>
            </w:pPr>
            <w:r>
              <w:rPr>
                <w:rFonts w:hint="eastAsia" w:ascii="宋体" w:hAnsi="宋体"/>
                <w:sz w:val="18"/>
                <w:szCs w:val="18"/>
              </w:rPr>
              <w:t>验收过程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Align w:val="center"/>
          </w:tcPr>
          <w:p>
            <w:pPr>
              <w:jc w:val="center"/>
              <w:rPr>
                <w:rFonts w:ascii="宋体" w:hAnsi="宋体"/>
                <w:sz w:val="18"/>
                <w:szCs w:val="18"/>
              </w:rPr>
            </w:pPr>
            <w:r>
              <w:rPr>
                <w:rFonts w:hint="eastAsia" w:ascii="宋体" w:hAnsi="宋体"/>
                <w:sz w:val="18"/>
                <w:szCs w:val="18"/>
              </w:rPr>
              <w:t>序号</w:t>
            </w:r>
          </w:p>
        </w:tc>
        <w:tc>
          <w:tcPr>
            <w:tcW w:w="1339" w:type="dxa"/>
            <w:vAlign w:val="center"/>
          </w:tcPr>
          <w:p>
            <w:pPr>
              <w:jc w:val="center"/>
              <w:rPr>
                <w:rFonts w:ascii="宋体" w:hAnsi="宋体"/>
                <w:sz w:val="18"/>
                <w:szCs w:val="18"/>
              </w:rPr>
            </w:pPr>
            <w:r>
              <w:rPr>
                <w:rFonts w:hint="eastAsia" w:ascii="宋体" w:hAnsi="宋体"/>
                <w:sz w:val="18"/>
                <w:szCs w:val="18"/>
              </w:rPr>
              <w:t>排查项目</w:t>
            </w:r>
          </w:p>
        </w:tc>
        <w:tc>
          <w:tcPr>
            <w:tcW w:w="1167" w:type="dxa"/>
            <w:vAlign w:val="center"/>
          </w:tcPr>
          <w:p>
            <w:pPr>
              <w:jc w:val="center"/>
              <w:rPr>
                <w:rFonts w:ascii="宋体" w:hAnsi="宋体"/>
                <w:sz w:val="18"/>
                <w:szCs w:val="18"/>
              </w:rPr>
            </w:pPr>
            <w:r>
              <w:rPr>
                <w:rFonts w:ascii="宋体" w:hAnsi="宋体"/>
                <w:sz w:val="18"/>
                <w:szCs w:val="18"/>
              </w:rPr>
              <w:t>排查内容与排查标准</w:t>
            </w:r>
          </w:p>
        </w:tc>
        <w:tc>
          <w:tcPr>
            <w:tcW w:w="650" w:type="dxa"/>
            <w:vAlign w:val="center"/>
          </w:tcPr>
          <w:p>
            <w:pPr>
              <w:jc w:val="center"/>
              <w:rPr>
                <w:rFonts w:ascii="宋体" w:hAnsi="宋体"/>
                <w:sz w:val="18"/>
                <w:szCs w:val="18"/>
              </w:rPr>
            </w:pPr>
            <w:r>
              <w:rPr>
                <w:rFonts w:hint="eastAsia" w:ascii="宋体" w:hAnsi="宋体"/>
                <w:sz w:val="18"/>
                <w:szCs w:val="18"/>
              </w:rPr>
              <w:t>排查类型</w:t>
            </w:r>
          </w:p>
        </w:tc>
        <w:tc>
          <w:tcPr>
            <w:tcW w:w="650" w:type="dxa"/>
            <w:vAlign w:val="center"/>
          </w:tcPr>
          <w:p>
            <w:pPr>
              <w:jc w:val="center"/>
              <w:rPr>
                <w:rFonts w:ascii="宋体" w:hAnsi="宋体"/>
                <w:sz w:val="18"/>
                <w:szCs w:val="18"/>
              </w:rPr>
            </w:pPr>
            <w:r>
              <w:rPr>
                <w:rFonts w:hint="eastAsia" w:ascii="宋体" w:hAnsi="宋体"/>
                <w:sz w:val="18"/>
                <w:szCs w:val="18"/>
              </w:rPr>
              <w:t>排查周期</w:t>
            </w:r>
          </w:p>
        </w:tc>
        <w:tc>
          <w:tcPr>
            <w:tcW w:w="651" w:type="dxa"/>
            <w:vAlign w:val="center"/>
          </w:tcPr>
          <w:p>
            <w:pPr>
              <w:jc w:val="center"/>
              <w:rPr>
                <w:rFonts w:ascii="宋体" w:hAnsi="宋体"/>
                <w:sz w:val="18"/>
                <w:szCs w:val="18"/>
              </w:rPr>
            </w:pPr>
            <w:r>
              <w:rPr>
                <w:rFonts w:hint="eastAsia" w:ascii="宋体" w:hAnsi="宋体"/>
                <w:sz w:val="18"/>
                <w:szCs w:val="18"/>
              </w:rPr>
              <w:t>责任单位</w:t>
            </w:r>
          </w:p>
        </w:tc>
        <w:tc>
          <w:tcPr>
            <w:tcW w:w="568" w:type="dxa"/>
            <w:vAlign w:val="center"/>
          </w:tcPr>
          <w:p>
            <w:pPr>
              <w:jc w:val="center"/>
              <w:rPr>
                <w:rFonts w:ascii="宋体" w:hAnsi="宋体"/>
                <w:sz w:val="18"/>
                <w:szCs w:val="18"/>
              </w:rPr>
            </w:pPr>
            <w:r>
              <w:rPr>
                <w:rFonts w:hint="eastAsia" w:ascii="宋体" w:hAnsi="宋体"/>
                <w:sz w:val="18"/>
                <w:szCs w:val="18"/>
              </w:rPr>
              <w:t>责任人</w:t>
            </w:r>
          </w:p>
        </w:tc>
        <w:tc>
          <w:tcPr>
            <w:tcW w:w="651" w:type="dxa"/>
            <w:vAlign w:val="center"/>
          </w:tcPr>
          <w:p>
            <w:pPr>
              <w:jc w:val="center"/>
              <w:rPr>
                <w:rFonts w:ascii="宋体" w:hAnsi="宋体"/>
                <w:sz w:val="18"/>
                <w:szCs w:val="18"/>
              </w:rPr>
            </w:pPr>
            <w:r>
              <w:rPr>
                <w:rFonts w:hint="eastAsia" w:ascii="宋体" w:hAnsi="宋体"/>
                <w:sz w:val="18"/>
                <w:szCs w:val="18"/>
              </w:rPr>
              <w:t>排查结果</w:t>
            </w:r>
          </w:p>
        </w:tc>
        <w:tc>
          <w:tcPr>
            <w:tcW w:w="651" w:type="dxa"/>
            <w:vAlign w:val="center"/>
          </w:tcPr>
          <w:p>
            <w:pPr>
              <w:jc w:val="center"/>
              <w:rPr>
                <w:rFonts w:ascii="宋体" w:hAnsi="宋体"/>
                <w:sz w:val="18"/>
                <w:szCs w:val="18"/>
              </w:rPr>
            </w:pPr>
            <w:r>
              <w:rPr>
                <w:rFonts w:hint="eastAsia" w:ascii="宋体" w:hAnsi="宋体"/>
                <w:sz w:val="18"/>
                <w:szCs w:val="18"/>
              </w:rPr>
              <w:t>隐患描述</w:t>
            </w:r>
          </w:p>
        </w:tc>
        <w:tc>
          <w:tcPr>
            <w:tcW w:w="651" w:type="dxa"/>
            <w:vAlign w:val="center"/>
          </w:tcPr>
          <w:p>
            <w:pPr>
              <w:jc w:val="center"/>
              <w:rPr>
                <w:rFonts w:ascii="宋体" w:hAnsi="宋体"/>
                <w:sz w:val="18"/>
                <w:szCs w:val="18"/>
              </w:rPr>
            </w:pPr>
            <w:r>
              <w:rPr>
                <w:rFonts w:hint="eastAsia" w:ascii="宋体" w:hAnsi="宋体"/>
                <w:sz w:val="18"/>
                <w:szCs w:val="18"/>
              </w:rPr>
              <w:t>隐患级别</w:t>
            </w:r>
          </w:p>
        </w:tc>
        <w:tc>
          <w:tcPr>
            <w:tcW w:w="565" w:type="dxa"/>
            <w:vAlign w:val="center"/>
          </w:tcPr>
          <w:p>
            <w:pPr>
              <w:jc w:val="center"/>
              <w:rPr>
                <w:rFonts w:ascii="宋体" w:hAnsi="宋体"/>
                <w:sz w:val="18"/>
                <w:szCs w:val="18"/>
              </w:rPr>
            </w:pPr>
            <w:r>
              <w:rPr>
                <w:rFonts w:hint="eastAsia" w:ascii="宋体" w:hAnsi="宋体"/>
                <w:sz w:val="18"/>
                <w:szCs w:val="18"/>
              </w:rPr>
              <w:t>排查人</w:t>
            </w:r>
          </w:p>
        </w:tc>
        <w:tc>
          <w:tcPr>
            <w:tcW w:w="651" w:type="dxa"/>
            <w:vAlign w:val="center"/>
          </w:tcPr>
          <w:p>
            <w:pPr>
              <w:jc w:val="center"/>
              <w:rPr>
                <w:rFonts w:ascii="宋体" w:hAnsi="宋体"/>
                <w:sz w:val="18"/>
                <w:szCs w:val="18"/>
              </w:rPr>
            </w:pPr>
            <w:r>
              <w:rPr>
                <w:rFonts w:hint="eastAsia" w:ascii="宋体" w:hAnsi="宋体"/>
                <w:sz w:val="18"/>
                <w:szCs w:val="18"/>
              </w:rPr>
              <w:t>排查时间</w:t>
            </w:r>
          </w:p>
        </w:tc>
        <w:tc>
          <w:tcPr>
            <w:tcW w:w="822" w:type="dxa"/>
            <w:vAlign w:val="center"/>
          </w:tcPr>
          <w:p>
            <w:pPr>
              <w:jc w:val="center"/>
              <w:rPr>
                <w:rFonts w:ascii="宋体" w:hAnsi="宋体"/>
                <w:sz w:val="18"/>
                <w:szCs w:val="18"/>
              </w:rPr>
            </w:pPr>
            <w:r>
              <w:rPr>
                <w:rFonts w:hint="eastAsia" w:ascii="宋体" w:hAnsi="宋体"/>
                <w:sz w:val="18"/>
                <w:szCs w:val="18"/>
              </w:rPr>
              <w:t>形成原因分析</w:t>
            </w:r>
          </w:p>
        </w:tc>
        <w:tc>
          <w:tcPr>
            <w:tcW w:w="651" w:type="dxa"/>
            <w:vAlign w:val="center"/>
          </w:tcPr>
          <w:p>
            <w:pPr>
              <w:jc w:val="center"/>
              <w:rPr>
                <w:rFonts w:ascii="宋体" w:hAnsi="宋体"/>
                <w:sz w:val="18"/>
                <w:szCs w:val="18"/>
              </w:rPr>
            </w:pPr>
            <w:r>
              <w:rPr>
                <w:rFonts w:hint="eastAsia" w:ascii="宋体" w:hAnsi="宋体"/>
                <w:sz w:val="18"/>
                <w:szCs w:val="18"/>
              </w:rPr>
              <w:t>整改措施</w:t>
            </w:r>
          </w:p>
        </w:tc>
        <w:tc>
          <w:tcPr>
            <w:tcW w:w="819" w:type="dxa"/>
            <w:vAlign w:val="center"/>
          </w:tcPr>
          <w:p>
            <w:pPr>
              <w:jc w:val="center"/>
              <w:rPr>
                <w:rFonts w:ascii="宋体" w:hAnsi="宋体"/>
                <w:sz w:val="18"/>
                <w:szCs w:val="18"/>
              </w:rPr>
            </w:pPr>
            <w:r>
              <w:rPr>
                <w:rFonts w:hint="eastAsia" w:ascii="宋体" w:hAnsi="宋体"/>
                <w:sz w:val="18"/>
                <w:szCs w:val="18"/>
              </w:rPr>
              <w:t>整改责任单位</w:t>
            </w:r>
          </w:p>
        </w:tc>
        <w:tc>
          <w:tcPr>
            <w:tcW w:w="736" w:type="dxa"/>
            <w:vAlign w:val="center"/>
          </w:tcPr>
          <w:p>
            <w:pPr>
              <w:jc w:val="center"/>
              <w:rPr>
                <w:rFonts w:ascii="宋体" w:hAnsi="宋体"/>
                <w:sz w:val="18"/>
                <w:szCs w:val="18"/>
              </w:rPr>
            </w:pPr>
            <w:r>
              <w:rPr>
                <w:rFonts w:hint="eastAsia" w:ascii="宋体" w:hAnsi="宋体"/>
                <w:sz w:val="18"/>
                <w:szCs w:val="18"/>
              </w:rPr>
              <w:t>整改责任人</w:t>
            </w:r>
          </w:p>
        </w:tc>
        <w:tc>
          <w:tcPr>
            <w:tcW w:w="651" w:type="dxa"/>
            <w:vAlign w:val="center"/>
          </w:tcPr>
          <w:p>
            <w:pPr>
              <w:jc w:val="center"/>
              <w:rPr>
                <w:rFonts w:ascii="宋体" w:hAnsi="宋体"/>
                <w:sz w:val="18"/>
                <w:szCs w:val="18"/>
              </w:rPr>
            </w:pPr>
            <w:r>
              <w:rPr>
                <w:rFonts w:hint="eastAsia" w:ascii="宋体" w:hAnsi="宋体"/>
                <w:sz w:val="18"/>
                <w:szCs w:val="18"/>
              </w:rPr>
              <w:t>整改期限</w:t>
            </w:r>
          </w:p>
        </w:tc>
        <w:tc>
          <w:tcPr>
            <w:tcW w:w="568" w:type="dxa"/>
            <w:vAlign w:val="center"/>
          </w:tcPr>
          <w:p>
            <w:pPr>
              <w:jc w:val="center"/>
              <w:rPr>
                <w:rFonts w:ascii="宋体" w:hAnsi="宋体"/>
                <w:sz w:val="18"/>
                <w:szCs w:val="18"/>
              </w:rPr>
            </w:pPr>
            <w:r>
              <w:rPr>
                <w:rFonts w:hint="eastAsia" w:ascii="宋体" w:hAnsi="宋体"/>
                <w:sz w:val="18"/>
                <w:szCs w:val="18"/>
              </w:rPr>
              <w:t>资金额</w:t>
            </w:r>
          </w:p>
        </w:tc>
        <w:tc>
          <w:tcPr>
            <w:tcW w:w="651" w:type="dxa"/>
            <w:vAlign w:val="center"/>
          </w:tcPr>
          <w:p>
            <w:pPr>
              <w:jc w:val="center"/>
              <w:rPr>
                <w:rFonts w:ascii="宋体" w:hAnsi="宋体"/>
                <w:sz w:val="18"/>
                <w:szCs w:val="18"/>
              </w:rPr>
            </w:pPr>
            <w:r>
              <w:rPr>
                <w:rFonts w:hint="eastAsia" w:ascii="宋体" w:hAnsi="宋体"/>
                <w:sz w:val="18"/>
                <w:szCs w:val="18"/>
              </w:rPr>
              <w:t>验收时间</w:t>
            </w:r>
          </w:p>
        </w:tc>
        <w:tc>
          <w:tcPr>
            <w:tcW w:w="565" w:type="dxa"/>
            <w:vAlign w:val="center"/>
          </w:tcPr>
          <w:p>
            <w:pPr>
              <w:jc w:val="center"/>
              <w:rPr>
                <w:rFonts w:ascii="宋体" w:hAnsi="宋体"/>
                <w:sz w:val="18"/>
                <w:szCs w:val="18"/>
              </w:rPr>
            </w:pPr>
            <w:r>
              <w:rPr>
                <w:rFonts w:hint="eastAsia" w:ascii="宋体" w:hAnsi="宋体"/>
                <w:sz w:val="18"/>
                <w:szCs w:val="18"/>
              </w:rPr>
              <w:t>验收人</w:t>
            </w:r>
          </w:p>
        </w:tc>
        <w:tc>
          <w:tcPr>
            <w:tcW w:w="651" w:type="dxa"/>
            <w:vAlign w:val="center"/>
          </w:tcPr>
          <w:p>
            <w:pPr>
              <w:jc w:val="center"/>
              <w:rPr>
                <w:rFonts w:ascii="宋体" w:hAnsi="宋体"/>
                <w:sz w:val="18"/>
                <w:szCs w:val="18"/>
              </w:rPr>
            </w:pPr>
            <w:r>
              <w:rPr>
                <w:rFonts w:hint="eastAsia" w:ascii="宋体" w:hAnsi="宋体"/>
                <w:sz w:val="18"/>
                <w:szCs w:val="18"/>
              </w:rPr>
              <w:t>验收情况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restart"/>
            <w:vAlign w:val="center"/>
          </w:tcPr>
          <w:p>
            <w:pPr>
              <w:jc w:val="center"/>
              <w:rPr>
                <w:rFonts w:ascii="宋体" w:hAnsi="宋体"/>
                <w:sz w:val="18"/>
                <w:szCs w:val="18"/>
              </w:rPr>
            </w:pPr>
          </w:p>
        </w:tc>
        <w:tc>
          <w:tcPr>
            <w:tcW w:w="1339" w:type="dxa"/>
            <w:vMerge w:val="restart"/>
            <w:vAlign w:val="center"/>
          </w:tcPr>
          <w:p>
            <w:pPr>
              <w:jc w:val="center"/>
              <w:rPr>
                <w:rFonts w:ascii="宋体" w:hAnsi="宋体"/>
                <w:sz w:val="18"/>
                <w:szCs w:val="18"/>
              </w:rPr>
            </w:pPr>
            <w:r>
              <w:rPr>
                <w:rFonts w:ascii="宋体" w:hAnsi="宋体"/>
                <w:sz w:val="18"/>
                <w:szCs w:val="18"/>
              </w:rPr>
              <w:t>生产经营单位资质证照</w:t>
            </w: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continue"/>
            <w:vAlign w:val="center"/>
          </w:tcPr>
          <w:p>
            <w:pPr>
              <w:jc w:val="center"/>
              <w:rPr>
                <w:rFonts w:ascii="宋体" w:hAnsi="宋体"/>
                <w:sz w:val="18"/>
                <w:szCs w:val="18"/>
              </w:rPr>
            </w:pPr>
          </w:p>
        </w:tc>
        <w:tc>
          <w:tcPr>
            <w:tcW w:w="1339" w:type="dxa"/>
            <w:vMerge w:val="continue"/>
            <w:vAlign w:val="center"/>
          </w:tcPr>
          <w:p>
            <w:pPr>
              <w:jc w:val="center"/>
              <w:rPr>
                <w:rFonts w:ascii="宋体" w:hAnsi="宋体"/>
                <w:sz w:val="18"/>
                <w:szCs w:val="18"/>
              </w:rPr>
            </w:pP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continue"/>
            <w:vAlign w:val="center"/>
          </w:tcPr>
          <w:p>
            <w:pPr>
              <w:jc w:val="center"/>
              <w:rPr>
                <w:rFonts w:ascii="宋体" w:hAnsi="宋体"/>
                <w:sz w:val="18"/>
                <w:szCs w:val="18"/>
              </w:rPr>
            </w:pPr>
          </w:p>
        </w:tc>
        <w:tc>
          <w:tcPr>
            <w:tcW w:w="1339" w:type="dxa"/>
            <w:vMerge w:val="continue"/>
            <w:vAlign w:val="center"/>
          </w:tcPr>
          <w:p>
            <w:pPr>
              <w:jc w:val="center"/>
              <w:rPr>
                <w:rFonts w:ascii="宋体" w:hAnsi="宋体"/>
                <w:sz w:val="18"/>
                <w:szCs w:val="18"/>
              </w:rPr>
            </w:pPr>
          </w:p>
        </w:tc>
        <w:tc>
          <w:tcPr>
            <w:tcW w:w="1167" w:type="dxa"/>
            <w:vAlign w:val="center"/>
          </w:tcPr>
          <w:p>
            <w:pPr>
              <w:jc w:val="center"/>
              <w:rPr>
                <w:rFonts w:ascii="宋体" w:hAnsi="宋体"/>
                <w:sz w:val="18"/>
                <w:szCs w:val="18"/>
              </w:rPr>
            </w:pPr>
            <w:r>
              <w:rPr>
                <w:rFonts w:hint="eastAsia" w:ascii="宋体" w:hAnsi="宋体"/>
                <w:sz w:val="18"/>
                <w:szCs w:val="18"/>
              </w:rPr>
              <w:t>……</w:t>
            </w: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restart"/>
            <w:vAlign w:val="center"/>
          </w:tcPr>
          <w:p>
            <w:pPr>
              <w:jc w:val="center"/>
              <w:rPr>
                <w:rFonts w:ascii="宋体" w:hAnsi="宋体"/>
                <w:sz w:val="18"/>
                <w:szCs w:val="18"/>
              </w:rPr>
            </w:pPr>
          </w:p>
        </w:tc>
        <w:tc>
          <w:tcPr>
            <w:tcW w:w="1339" w:type="dxa"/>
            <w:vMerge w:val="restart"/>
            <w:vAlign w:val="center"/>
          </w:tcPr>
          <w:p>
            <w:pPr>
              <w:jc w:val="center"/>
              <w:rPr>
                <w:rFonts w:ascii="宋体" w:hAnsi="宋体"/>
                <w:sz w:val="18"/>
                <w:szCs w:val="18"/>
              </w:rPr>
            </w:pPr>
            <w:r>
              <w:rPr>
                <w:rFonts w:ascii="宋体" w:hAnsi="宋体"/>
                <w:sz w:val="18"/>
                <w:szCs w:val="18"/>
              </w:rPr>
              <w:t>安全生产管理机构及人员</w:t>
            </w: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continue"/>
            <w:vAlign w:val="center"/>
          </w:tcPr>
          <w:p>
            <w:pPr>
              <w:jc w:val="center"/>
              <w:rPr>
                <w:rFonts w:ascii="宋体" w:hAnsi="宋体"/>
                <w:sz w:val="18"/>
                <w:szCs w:val="18"/>
              </w:rPr>
            </w:pPr>
          </w:p>
        </w:tc>
        <w:tc>
          <w:tcPr>
            <w:tcW w:w="1339" w:type="dxa"/>
            <w:vMerge w:val="continue"/>
            <w:vAlign w:val="center"/>
          </w:tcPr>
          <w:p>
            <w:pPr>
              <w:jc w:val="center"/>
              <w:rPr>
                <w:rFonts w:ascii="宋体" w:hAnsi="宋体"/>
                <w:sz w:val="18"/>
                <w:szCs w:val="18"/>
              </w:rPr>
            </w:pP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continue"/>
            <w:vAlign w:val="center"/>
          </w:tcPr>
          <w:p>
            <w:pPr>
              <w:jc w:val="center"/>
              <w:rPr>
                <w:rFonts w:ascii="宋体" w:hAnsi="宋体"/>
                <w:sz w:val="18"/>
                <w:szCs w:val="18"/>
              </w:rPr>
            </w:pPr>
          </w:p>
        </w:tc>
        <w:tc>
          <w:tcPr>
            <w:tcW w:w="1339" w:type="dxa"/>
            <w:vMerge w:val="continue"/>
            <w:vAlign w:val="center"/>
          </w:tcPr>
          <w:p>
            <w:pPr>
              <w:jc w:val="center"/>
              <w:rPr>
                <w:rFonts w:ascii="宋体" w:hAnsi="宋体"/>
                <w:sz w:val="18"/>
                <w:szCs w:val="18"/>
              </w:rPr>
            </w:pP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continue"/>
            <w:vAlign w:val="center"/>
          </w:tcPr>
          <w:p>
            <w:pPr>
              <w:jc w:val="center"/>
              <w:rPr>
                <w:rFonts w:ascii="宋体" w:hAnsi="宋体"/>
                <w:sz w:val="18"/>
                <w:szCs w:val="18"/>
              </w:rPr>
            </w:pPr>
          </w:p>
        </w:tc>
        <w:tc>
          <w:tcPr>
            <w:tcW w:w="1339" w:type="dxa"/>
            <w:vMerge w:val="continue"/>
            <w:vAlign w:val="center"/>
          </w:tcPr>
          <w:p>
            <w:pPr>
              <w:jc w:val="center"/>
              <w:rPr>
                <w:rFonts w:ascii="宋体" w:hAnsi="宋体"/>
                <w:sz w:val="18"/>
                <w:szCs w:val="18"/>
              </w:rPr>
            </w:pPr>
          </w:p>
        </w:tc>
        <w:tc>
          <w:tcPr>
            <w:tcW w:w="1167" w:type="dxa"/>
            <w:vAlign w:val="center"/>
          </w:tcPr>
          <w:p>
            <w:pPr>
              <w:jc w:val="center"/>
              <w:rPr>
                <w:rFonts w:ascii="宋体" w:hAnsi="宋体"/>
                <w:sz w:val="18"/>
                <w:szCs w:val="18"/>
              </w:rPr>
            </w:pPr>
            <w:r>
              <w:rPr>
                <w:rFonts w:hint="eastAsia" w:ascii="宋体" w:hAnsi="宋体"/>
                <w:sz w:val="18"/>
                <w:szCs w:val="18"/>
              </w:rPr>
              <w:t>……</w:t>
            </w: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Align w:val="center"/>
          </w:tcPr>
          <w:p>
            <w:pPr>
              <w:jc w:val="center"/>
              <w:rPr>
                <w:rFonts w:ascii="宋体" w:hAnsi="宋体"/>
                <w:sz w:val="18"/>
                <w:szCs w:val="18"/>
              </w:rPr>
            </w:pPr>
          </w:p>
        </w:tc>
        <w:tc>
          <w:tcPr>
            <w:tcW w:w="1339" w:type="dxa"/>
            <w:vAlign w:val="center"/>
          </w:tcPr>
          <w:p>
            <w:pPr>
              <w:jc w:val="center"/>
              <w:rPr>
                <w:rFonts w:ascii="宋体" w:hAnsi="宋体"/>
                <w:sz w:val="18"/>
                <w:szCs w:val="18"/>
              </w:rPr>
            </w:pPr>
            <w:r>
              <w:rPr>
                <w:rFonts w:ascii="宋体" w:hAnsi="宋体"/>
                <w:sz w:val="18"/>
                <w:szCs w:val="18"/>
              </w:rPr>
              <w:t>生产经营单位资质证照</w:t>
            </w:r>
          </w:p>
        </w:tc>
        <w:tc>
          <w:tcPr>
            <w:tcW w:w="1167" w:type="dxa"/>
            <w:vAlign w:val="center"/>
          </w:tcPr>
          <w:p>
            <w:pPr>
              <w:jc w:val="center"/>
              <w:rPr>
                <w:rFonts w:ascii="宋体" w:hAnsi="宋体"/>
                <w:sz w:val="18"/>
                <w:szCs w:val="18"/>
              </w:rPr>
            </w:pPr>
            <w:r>
              <w:rPr>
                <w:rFonts w:hint="eastAsia" w:ascii="宋体" w:hAnsi="宋体"/>
                <w:sz w:val="18"/>
                <w:szCs w:val="18"/>
              </w:rPr>
              <w:t>……</w:t>
            </w: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Align w:val="center"/>
          </w:tcPr>
          <w:p>
            <w:pPr>
              <w:jc w:val="center"/>
              <w:rPr>
                <w:rFonts w:ascii="宋体" w:hAnsi="宋体"/>
                <w:sz w:val="18"/>
                <w:szCs w:val="18"/>
              </w:rPr>
            </w:pPr>
          </w:p>
        </w:tc>
        <w:tc>
          <w:tcPr>
            <w:tcW w:w="1339" w:type="dxa"/>
            <w:vAlign w:val="center"/>
          </w:tcPr>
          <w:p>
            <w:pPr>
              <w:jc w:val="center"/>
              <w:rPr>
                <w:rFonts w:ascii="宋体" w:hAnsi="宋体"/>
                <w:sz w:val="18"/>
                <w:szCs w:val="18"/>
              </w:rPr>
            </w:pPr>
            <w:r>
              <w:rPr>
                <w:rFonts w:hint="eastAsia" w:ascii="宋体" w:hAnsi="宋体"/>
                <w:sz w:val="18"/>
                <w:szCs w:val="18"/>
              </w:rPr>
              <w:t>……</w:t>
            </w: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bl>
    <w:p>
      <w:pPr>
        <w:pStyle w:val="18"/>
      </w:pPr>
    </w:p>
    <w:p>
      <w:pPr>
        <w:spacing w:line="360" w:lineRule="auto"/>
        <w:rPr>
          <w:rFonts w:ascii="宋体" w:hAnsi="宋体" w:eastAsia="宋体" w:cs="宋体"/>
          <w:sz w:val="28"/>
          <w:szCs w:val="28"/>
        </w:rPr>
      </w:pPr>
    </w:p>
    <w:p>
      <w:pPr>
        <w:spacing w:line="360" w:lineRule="auto"/>
        <w:rPr>
          <w:rFonts w:ascii="宋体" w:hAnsi="宋体" w:eastAsia="宋体" w:cs="宋体"/>
          <w:sz w:val="28"/>
          <w:szCs w:val="28"/>
        </w:rPr>
        <w:sectPr>
          <w:pgSz w:w="16838" w:h="11906" w:orient="landscape"/>
          <w:pgMar w:top="1800" w:right="1440" w:bottom="1800" w:left="1440" w:header="851" w:footer="992" w:gutter="0"/>
          <w:cols w:space="425" w:num="1"/>
          <w:docGrid w:type="lines" w:linePitch="312" w:charSpace="0"/>
        </w:sectPr>
      </w:pPr>
      <w:bookmarkStart w:id="940" w:name="_GoBack"/>
      <w:bookmarkEnd w:id="940"/>
    </w:p>
    <w:p>
      <w:pPr>
        <w:spacing w:line="360" w:lineRule="auto"/>
        <w:rPr>
          <w:rFonts w:ascii="宋体" w:hAnsi="宋体" w:eastAsia="宋体" w:cs="宋体"/>
          <w:sz w:val="28"/>
          <w:szCs w:val="28"/>
        </w:rPr>
      </w:pPr>
    </w:p>
    <w:p>
      <w:pPr>
        <w:pStyle w:val="2"/>
        <w:rPr>
          <w:szCs w:val="40"/>
        </w:rPr>
      </w:pPr>
      <w:bookmarkStart w:id="938" w:name="_Toc28513_WPSOffice_Level2"/>
      <w:bookmarkStart w:id="939" w:name="_Toc27955"/>
      <w:r>
        <w:rPr>
          <w:rFonts w:hint="eastAsia"/>
        </w:rPr>
        <w:t>双重预防体系建设相关文件发放记录</w:t>
      </w:r>
      <w:bookmarkEnd w:id="938"/>
      <w:bookmarkEnd w:id="939"/>
    </w:p>
    <w:p>
      <w:pPr>
        <w:jc w:val="center"/>
        <w:rPr>
          <w:b/>
          <w:bCs/>
          <w:sz w:val="24"/>
          <w:szCs w:val="32"/>
        </w:rPr>
      </w:pPr>
    </w:p>
    <w:tbl>
      <w:tblPr>
        <w:tblStyle w:val="1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994"/>
        <w:gridCol w:w="2063"/>
        <w:gridCol w:w="2061"/>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tcPr>
          <w:p>
            <w:pPr>
              <w:jc w:val="center"/>
              <w:rPr>
                <w:b/>
                <w:bCs/>
              </w:rPr>
            </w:pPr>
            <w:r>
              <w:rPr>
                <w:rFonts w:hint="eastAsia"/>
                <w:b/>
                <w:bCs/>
              </w:rPr>
              <w:t>文件内容</w:t>
            </w:r>
          </w:p>
        </w:tc>
        <w:tc>
          <w:tcPr>
            <w:tcW w:w="994" w:type="dxa"/>
          </w:tcPr>
          <w:p>
            <w:pPr>
              <w:jc w:val="center"/>
              <w:rPr>
                <w:b/>
                <w:bCs/>
              </w:rPr>
            </w:pPr>
            <w:r>
              <w:rPr>
                <w:rFonts w:hint="eastAsia"/>
                <w:b/>
                <w:bCs/>
              </w:rPr>
              <w:t>发放人</w:t>
            </w:r>
          </w:p>
        </w:tc>
        <w:tc>
          <w:tcPr>
            <w:tcW w:w="2063" w:type="dxa"/>
          </w:tcPr>
          <w:p>
            <w:pPr>
              <w:jc w:val="center"/>
              <w:rPr>
                <w:b/>
                <w:bCs/>
              </w:rPr>
            </w:pPr>
            <w:r>
              <w:rPr>
                <w:rFonts w:hint="eastAsia"/>
                <w:b/>
                <w:bCs/>
              </w:rPr>
              <w:t>接收人</w:t>
            </w:r>
          </w:p>
        </w:tc>
        <w:tc>
          <w:tcPr>
            <w:tcW w:w="2061" w:type="dxa"/>
          </w:tcPr>
          <w:p>
            <w:pPr>
              <w:jc w:val="center"/>
              <w:rPr>
                <w:b/>
                <w:bCs/>
              </w:rPr>
            </w:pPr>
            <w:r>
              <w:rPr>
                <w:rFonts w:hint="eastAsia"/>
                <w:b/>
                <w:bCs/>
              </w:rPr>
              <w:t>所在岗位</w:t>
            </w:r>
          </w:p>
        </w:tc>
        <w:tc>
          <w:tcPr>
            <w:tcW w:w="1697" w:type="dxa"/>
          </w:tcPr>
          <w:p>
            <w:pPr>
              <w:jc w:val="center"/>
              <w:rPr>
                <w:b/>
                <w:bCs/>
              </w:rPr>
            </w:pPr>
            <w:r>
              <w:rPr>
                <w:rFonts w:hint="eastAsia"/>
                <w:b/>
                <w:bCs/>
              </w:rPr>
              <w:t>接收日期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restart"/>
          </w:tcPr>
          <w:p>
            <w:r>
              <w:rPr>
                <w:rFonts w:hint="eastAsia"/>
              </w:rPr>
              <w:t>成立双重预防体系建设领导小组文件、双重预防体系建设实施方案、双重预防体系建设培训计划、风险分级管控制度、隐患排查治理制度、双重预防体系考核奖惩制度、风险分级管控作业指导书、隐患排查治理作业指导书、安全风险公告制度、事故隐患分析会制度</w:t>
            </w:r>
          </w:p>
        </w:tc>
        <w:tc>
          <w:tcPr>
            <w:tcW w:w="994" w:type="dxa"/>
            <w:vMerge w:val="restart"/>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bl>
    <w:p/>
    <w:p>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06"/>
        <w:tab w:val="clear" w:pos="4153"/>
      </w:tabs>
      <w:ind w:firstLine="360"/>
    </w:pP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fkHQ0V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HfkHQ0VAgAAFQQAAA4AAAAAAAAA&#10;AQAgAAAAHwEAAGRycy9lMm9Eb2MueG1sUEsFBgAAAAAGAAYAWQEAAKYFAAAAAA==&#10;">
          <v:path/>
          <v:fill on="f" focussize="0,0"/>
          <v:stroke on="f" weight="0.5pt" joinstyle="miter"/>
          <v:imagedata o:title=""/>
          <o:lock v:ext="edit"/>
          <v:textbox inset="0mm,0mm,0mm,0mm" style="mso-fit-shape-to-text:t;">
            <w:txbxContent>
              <w:p>
                <w:pPr>
                  <w:pStyle w:val="46"/>
                </w:pPr>
                <w:r>
                  <w:fldChar w:fldCharType="begin"/>
                </w:r>
                <w:r>
                  <w:instrText xml:space="preserve"> PAGE  \* MERGEFORMAT </w:instrText>
                </w:r>
                <w:r>
                  <w:fldChar w:fldCharType="separate"/>
                </w:r>
                <w:r>
                  <w:t>97</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pict>
        <v:shape id="_x0000_s2053" o:spid="_x0000_s2053"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KhkOcVAgAAFQQAAA4AAABkcnMvZTJvRG9jLnhtbK1Ty47TMBTdI/EP&#10;lvc0aWFG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vrmiRDOFHZ2+fzv9+HX6+ZVAB4Ba62fw21h4hu6t6bDoQe+hjHN3&#10;lVPxxkQEdkB9vMArukB4DJpOptMcJg7b8ED+7DHcOh/eCaNIFArqsL8EKzusfehdB5dYTZtVI2Xa&#10;odSkLej166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MKhkOcVAgAAFQQAAA4AAAAAAAAA&#10;AQAgAAAAHwEAAGRycy9lMm9Eb2MueG1sUEsFBgAAAAAGAAYAWQEAAKYFAAAAAA==&#10;">
          <v:path/>
          <v:fill on="f" focussize="0,0"/>
          <v:stroke on="f" weight="0.5pt"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pict>
        <v:shape id="_x0000_s2052" o:spid="_x0000_s2052"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YFfpEU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pgV+kRQCAAAVBAAADgAAAAAAAAAB&#10;ACAAAAAfAQAAZHJzL2Uyb0RvYy54bWxQSwUGAAAAAAYABgBZAQAApQUAAAAA&#10;">
          <v:path/>
          <v:fill on="f" focussize="0,0"/>
          <v:stroke on="f" weight="0.5pt"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pict>
        <v:shape id="_x0000_s2051" o:spid="_x0000_s2051"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yowpkVAgAAFQQAAA4AAAAAAAAA&#10;AQAgAAAAHwEAAGRycy9lMm9Eb2MueG1sUEsFBgAAAAAGAAYAWQEAAKYFAAAAAA==&#10;">
          <v:path/>
          <v:fill on="f" focussize="0,0"/>
          <v:stroke on="f" weight="0.5pt"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path/>
          <v:fill on="f" focussize="0,0"/>
          <v:stroke on="f" weight="0.5pt" joinstyle="miter"/>
          <v:imagedata o:title=""/>
          <o:lock v:ext="edit"/>
          <v:textbox inset="0mm,0mm,0mm,0mm" style="mso-fit-shape-to-text:t;">
            <w:txbxContent>
              <w:p>
                <w:pPr>
                  <w:pStyle w:val="9"/>
                  <w:ind w:firstLine="360"/>
                  <w:jc w:val="center"/>
                </w:pPr>
                <w:r>
                  <w:fldChar w:fldCharType="begin"/>
                </w:r>
                <w:r>
                  <w:instrText xml:space="preserve"> PAGE   \* MERGEFORMAT </w:instrText>
                </w:r>
                <w:r>
                  <w:fldChar w:fldCharType="separate"/>
                </w:r>
                <w:r>
                  <w:rPr>
                    <w:lang w:val="zh-CN"/>
                  </w:rPr>
                  <w:t>70</w:t>
                </w:r>
                <w:r>
                  <w:fldChar w:fldCharType="end"/>
                </w:r>
              </w:p>
            </w:txbxContent>
          </v:textbox>
        </v:shape>
      </w:pict>
    </w:r>
  </w:p>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540"/>
      </w:tabs>
      <w:ind w:left="420"/>
      <w:jc w:val="center"/>
      <w:rPr>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jc w:val="center"/>
    </w:pPr>
    <w:r>
      <w:rPr>
        <w:rFonts w:hint="eastAsia"/>
      </w:rPr>
      <w:t>微信公众号</w:t>
    </w:r>
    <w:r>
      <w:t>：每日安全生产</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jc w:val="center"/>
      <w:rPr>
        <w:sz w:val="24"/>
        <w:szCs w:val="2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CF3B53"/>
    <w:multiLevelType w:val="singleLevel"/>
    <w:tmpl w:val="A6CF3B53"/>
    <w:lvl w:ilvl="0" w:tentative="0">
      <w:start w:val="1"/>
      <w:numFmt w:val="decimal"/>
      <w:suff w:val="nothing"/>
      <w:lvlText w:val="%1、"/>
      <w:lvlJc w:val="left"/>
    </w:lvl>
  </w:abstractNum>
  <w:abstractNum w:abstractNumId="1">
    <w:nsid w:val="B3262D27"/>
    <w:multiLevelType w:val="singleLevel"/>
    <w:tmpl w:val="B3262D27"/>
    <w:lvl w:ilvl="0" w:tentative="0">
      <w:start w:val="1"/>
      <w:numFmt w:val="chineseCounting"/>
      <w:suff w:val="nothing"/>
      <w:lvlText w:val="%1、"/>
      <w:lvlJc w:val="left"/>
      <w:rPr>
        <w:rFonts w:hint="eastAsia"/>
      </w:rPr>
    </w:lvl>
  </w:abstractNum>
  <w:abstractNum w:abstractNumId="2">
    <w:nsid w:val="C555CF77"/>
    <w:multiLevelType w:val="singleLevel"/>
    <w:tmpl w:val="C555CF77"/>
    <w:lvl w:ilvl="0" w:tentative="0">
      <w:start w:val="5"/>
      <w:numFmt w:val="decimal"/>
      <w:suff w:val="nothing"/>
      <w:lvlText w:val="%1、"/>
      <w:lvlJc w:val="left"/>
    </w:lvl>
  </w:abstractNum>
  <w:abstractNum w:abstractNumId="3">
    <w:nsid w:val="0AE367E9"/>
    <w:multiLevelType w:val="multilevel"/>
    <w:tmpl w:val="0AE367E9"/>
    <w:lvl w:ilvl="0" w:tentative="0">
      <w:start w:val="1"/>
      <w:numFmt w:val="none"/>
      <w:pStyle w:val="3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18A57861"/>
    <w:multiLevelType w:val="singleLevel"/>
    <w:tmpl w:val="18A57861"/>
    <w:lvl w:ilvl="0" w:tentative="0">
      <w:start w:val="1"/>
      <w:numFmt w:val="decimal"/>
      <w:suff w:val="nothing"/>
      <w:lvlText w:val="%1、"/>
      <w:lvlJc w:val="left"/>
    </w:lvl>
  </w:abstractNum>
  <w:abstractNum w:abstractNumId="5">
    <w:nsid w:val="1DBF583A"/>
    <w:multiLevelType w:val="multilevel"/>
    <w:tmpl w:val="1DBF583A"/>
    <w:lvl w:ilvl="0" w:tentative="0">
      <w:start w:val="1"/>
      <w:numFmt w:val="decimal"/>
      <w:pStyle w:val="4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2"/>
      <w:suff w:val="nothing"/>
      <w:lvlText w:val="%1.%2.%3　"/>
      <w:lvlJc w:val="left"/>
      <w:pPr>
        <w:ind w:left="0" w:firstLine="0"/>
      </w:pPr>
      <w:rPr>
        <w:rFonts w:hint="eastAsia" w:ascii="黑体" w:hAnsi="Times New Roman" w:eastAsia="黑体"/>
        <w:b w:val="0"/>
        <w:i w:val="0"/>
        <w:sz w:val="21"/>
      </w:rPr>
    </w:lvl>
    <w:lvl w:ilvl="3" w:tentative="0">
      <w:start w:val="1"/>
      <w:numFmt w:val="decimal"/>
      <w:pStyle w:val="31"/>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0FED136"/>
    <w:multiLevelType w:val="singleLevel"/>
    <w:tmpl w:val="20FED136"/>
    <w:lvl w:ilvl="0" w:tentative="0">
      <w:start w:val="8"/>
      <w:numFmt w:val="decimal"/>
      <w:lvlText w:val="%1."/>
      <w:lvlJc w:val="left"/>
      <w:pPr>
        <w:tabs>
          <w:tab w:val="left" w:pos="312"/>
        </w:tabs>
      </w:pPr>
    </w:lvl>
  </w:abstractNum>
  <w:abstractNum w:abstractNumId="8">
    <w:nsid w:val="2A8F7113"/>
    <w:multiLevelType w:val="multilevel"/>
    <w:tmpl w:val="2A8F7113"/>
    <w:lvl w:ilvl="0" w:tentative="0">
      <w:start w:val="1"/>
      <w:numFmt w:val="upperLetter"/>
      <w:pStyle w:val="26"/>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24"/>
      <w:suff w:val="nothing"/>
      <w:lvlText w:val="%1——"/>
      <w:lvlJc w:val="left"/>
      <w:pPr>
        <w:ind w:left="833" w:hanging="408"/>
      </w:pPr>
      <w:rPr>
        <w:rFonts w:hint="eastAsia"/>
      </w:rPr>
    </w:lvl>
    <w:lvl w:ilvl="1" w:tentative="0">
      <w:start w:val="1"/>
      <w:numFmt w:val="bullet"/>
      <w:pStyle w:val="42"/>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CC34793"/>
    <w:multiLevelType w:val="singleLevel"/>
    <w:tmpl w:val="3CC34793"/>
    <w:lvl w:ilvl="0" w:tentative="0">
      <w:start w:val="1"/>
      <w:numFmt w:val="chineseCounting"/>
      <w:suff w:val="nothing"/>
      <w:lvlText w:val="%1、"/>
      <w:lvlJc w:val="left"/>
      <w:rPr>
        <w:rFonts w:hint="eastAsia"/>
      </w:rPr>
    </w:lvl>
  </w:abstractNum>
  <w:abstractNum w:abstractNumId="11">
    <w:nsid w:val="44C50F90"/>
    <w:multiLevelType w:val="multilevel"/>
    <w:tmpl w:val="44C50F90"/>
    <w:lvl w:ilvl="0" w:tentative="0">
      <w:start w:val="1"/>
      <w:numFmt w:val="lowerLetter"/>
      <w:pStyle w:val="25"/>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2">
    <w:nsid w:val="47203391"/>
    <w:multiLevelType w:val="singleLevel"/>
    <w:tmpl w:val="47203391"/>
    <w:lvl w:ilvl="0" w:tentative="0">
      <w:start w:val="2"/>
      <w:numFmt w:val="decimal"/>
      <w:suff w:val="nothing"/>
      <w:lvlText w:val="%1、"/>
      <w:lvlJc w:val="left"/>
    </w:lvl>
  </w:abstractNum>
  <w:abstractNum w:abstractNumId="13">
    <w:nsid w:val="60B55DC2"/>
    <w:multiLevelType w:val="multilevel"/>
    <w:tmpl w:val="60B55DC2"/>
    <w:lvl w:ilvl="0" w:tentative="0">
      <w:start w:val="1"/>
      <w:numFmt w:val="upperLetter"/>
      <w:pStyle w:val="27"/>
      <w:lvlText w:val="%1"/>
      <w:lvlJc w:val="left"/>
      <w:pPr>
        <w:tabs>
          <w:tab w:val="left" w:pos="0"/>
        </w:tabs>
        <w:ind w:left="0" w:hanging="425"/>
      </w:pPr>
      <w:rPr>
        <w:rFonts w:hint="eastAsia"/>
      </w:rPr>
    </w:lvl>
    <w:lvl w:ilvl="1" w:tentative="0">
      <w:start w:val="1"/>
      <w:numFmt w:val="decimal"/>
      <w:pStyle w:val="1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2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2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BF04F4"/>
    <w:multiLevelType w:val="multilevel"/>
    <w:tmpl w:val="6DBF04F4"/>
    <w:lvl w:ilvl="0" w:tentative="0">
      <w:start w:val="1"/>
      <w:numFmt w:val="none"/>
      <w:pStyle w:val="3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3"/>
  </w:num>
  <w:num w:numId="2">
    <w:abstractNumId w:val="14"/>
  </w:num>
  <w:num w:numId="3">
    <w:abstractNumId w:val="15"/>
  </w:num>
  <w:num w:numId="4">
    <w:abstractNumId w:val="9"/>
  </w:num>
  <w:num w:numId="5">
    <w:abstractNumId w:val="11"/>
  </w:num>
  <w:num w:numId="6">
    <w:abstractNumId w:val="8"/>
  </w:num>
  <w:num w:numId="7">
    <w:abstractNumId w:val="6"/>
  </w:num>
  <w:num w:numId="8">
    <w:abstractNumId w:val="3"/>
  </w:num>
  <w:num w:numId="9">
    <w:abstractNumId w:val="16"/>
  </w:num>
  <w:num w:numId="10">
    <w:abstractNumId w:val="5"/>
  </w:num>
  <w:num w:numId="11">
    <w:abstractNumId w:val="2"/>
  </w:num>
  <w:num w:numId="12">
    <w:abstractNumId w:val="12"/>
  </w:num>
  <w:num w:numId="13">
    <w:abstractNumId w:val="4"/>
  </w:num>
  <w:num w:numId="14">
    <w:abstractNumId w:val="1"/>
  </w:num>
  <w:num w:numId="15">
    <w:abstractNumId w:val="0"/>
  </w:num>
  <w:num w:numId="16">
    <w:abstractNumId w:val="10"/>
  </w:num>
  <w:num w:numId="17">
    <w:abstractNumId w:val="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70FFE"/>
    <w:rsid w:val="00172A27"/>
    <w:rsid w:val="00222A8B"/>
    <w:rsid w:val="002940C8"/>
    <w:rsid w:val="002E2FA6"/>
    <w:rsid w:val="003D258F"/>
    <w:rsid w:val="004143DE"/>
    <w:rsid w:val="00564512"/>
    <w:rsid w:val="0058298B"/>
    <w:rsid w:val="0069579B"/>
    <w:rsid w:val="00717AA1"/>
    <w:rsid w:val="008B3C30"/>
    <w:rsid w:val="00B90CDE"/>
    <w:rsid w:val="00C36FAC"/>
    <w:rsid w:val="00CA4663"/>
    <w:rsid w:val="00CE3F73"/>
    <w:rsid w:val="00DF145C"/>
    <w:rsid w:val="00E4302B"/>
    <w:rsid w:val="00E74AF3"/>
    <w:rsid w:val="00EA5B50"/>
    <w:rsid w:val="00F2068D"/>
    <w:rsid w:val="019831F3"/>
    <w:rsid w:val="02246072"/>
    <w:rsid w:val="02544AA1"/>
    <w:rsid w:val="02C71681"/>
    <w:rsid w:val="04F1548F"/>
    <w:rsid w:val="055F1E24"/>
    <w:rsid w:val="059559CB"/>
    <w:rsid w:val="06A020B5"/>
    <w:rsid w:val="07FA54B5"/>
    <w:rsid w:val="084950B7"/>
    <w:rsid w:val="084D505A"/>
    <w:rsid w:val="085B7147"/>
    <w:rsid w:val="09AE2E69"/>
    <w:rsid w:val="0A0F46CC"/>
    <w:rsid w:val="0AE51AFA"/>
    <w:rsid w:val="0BB158FE"/>
    <w:rsid w:val="0C0562BD"/>
    <w:rsid w:val="0DC23C1F"/>
    <w:rsid w:val="0E1306B6"/>
    <w:rsid w:val="0E260E45"/>
    <w:rsid w:val="0ED150DD"/>
    <w:rsid w:val="0FA72463"/>
    <w:rsid w:val="11D46EBF"/>
    <w:rsid w:val="12CB0B6C"/>
    <w:rsid w:val="131F1EF2"/>
    <w:rsid w:val="14165D2B"/>
    <w:rsid w:val="159C4257"/>
    <w:rsid w:val="15BF1985"/>
    <w:rsid w:val="15F76BF5"/>
    <w:rsid w:val="16366C2C"/>
    <w:rsid w:val="16FB1F8E"/>
    <w:rsid w:val="1955279A"/>
    <w:rsid w:val="1A8C0DC5"/>
    <w:rsid w:val="1AC17AF1"/>
    <w:rsid w:val="1BD53949"/>
    <w:rsid w:val="1EC72C80"/>
    <w:rsid w:val="1ED5582E"/>
    <w:rsid w:val="209E76C0"/>
    <w:rsid w:val="2176458A"/>
    <w:rsid w:val="21B4138B"/>
    <w:rsid w:val="23E254C4"/>
    <w:rsid w:val="27576967"/>
    <w:rsid w:val="275A1A47"/>
    <w:rsid w:val="29105C4F"/>
    <w:rsid w:val="2D085345"/>
    <w:rsid w:val="2D8E6A14"/>
    <w:rsid w:val="328071DB"/>
    <w:rsid w:val="33E9664F"/>
    <w:rsid w:val="34517193"/>
    <w:rsid w:val="39FD3ABA"/>
    <w:rsid w:val="3A904F71"/>
    <w:rsid w:val="3A931F3A"/>
    <w:rsid w:val="3C872715"/>
    <w:rsid w:val="3F4371E5"/>
    <w:rsid w:val="3F9C4040"/>
    <w:rsid w:val="40617723"/>
    <w:rsid w:val="424E12C5"/>
    <w:rsid w:val="42CD249C"/>
    <w:rsid w:val="462202D3"/>
    <w:rsid w:val="46242059"/>
    <w:rsid w:val="464C4903"/>
    <w:rsid w:val="470B186D"/>
    <w:rsid w:val="47C6519E"/>
    <w:rsid w:val="4A3015BE"/>
    <w:rsid w:val="4A472D34"/>
    <w:rsid w:val="4D3D5F88"/>
    <w:rsid w:val="4DE95A28"/>
    <w:rsid w:val="5066639E"/>
    <w:rsid w:val="530C4CB8"/>
    <w:rsid w:val="533771B0"/>
    <w:rsid w:val="549E0C79"/>
    <w:rsid w:val="54D136C8"/>
    <w:rsid w:val="55DE4E8C"/>
    <w:rsid w:val="57122A4E"/>
    <w:rsid w:val="572C6190"/>
    <w:rsid w:val="57DF5544"/>
    <w:rsid w:val="59CD5FAA"/>
    <w:rsid w:val="5C300B0E"/>
    <w:rsid w:val="5DFE389C"/>
    <w:rsid w:val="603B4F13"/>
    <w:rsid w:val="6045675B"/>
    <w:rsid w:val="622E1445"/>
    <w:rsid w:val="63162994"/>
    <w:rsid w:val="6389648F"/>
    <w:rsid w:val="64326B67"/>
    <w:rsid w:val="64F9454B"/>
    <w:rsid w:val="693A298E"/>
    <w:rsid w:val="693F02BC"/>
    <w:rsid w:val="6A146153"/>
    <w:rsid w:val="6AB45E6D"/>
    <w:rsid w:val="6CBD0D20"/>
    <w:rsid w:val="6D1775A7"/>
    <w:rsid w:val="72545634"/>
    <w:rsid w:val="77477680"/>
    <w:rsid w:val="78507C11"/>
    <w:rsid w:val="78A976FE"/>
    <w:rsid w:val="79652DA1"/>
    <w:rsid w:val="796D70BD"/>
    <w:rsid w:val="7C1F0CA4"/>
    <w:rsid w:val="7D624F66"/>
    <w:rsid w:val="7D864DC1"/>
    <w:rsid w:val="7EC4312F"/>
    <w:rsid w:val="7EF00184"/>
    <w:rsid w:val="7FE42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nhideWhenUsed="0" w:uiPriority="99" w:semiHidden="0" w:name="Table Professional"/>
    <w:lsdException w:uiPriority="99" w:name="Table Subtle 1"/>
    <w:lsdException w:uiPriority="99" w:name="Table Subtle 2"/>
    <w:lsdException w:unhideWhenUsed="0" w:uiPriority="99" w:semiHidden="0" w:name="Table Web 1"/>
    <w:lsdException w:unhideWhenUsed="0" w:uiPriority="99" w:semiHidden="0"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line="360" w:lineRule="auto"/>
      <w:jc w:val="center"/>
      <w:outlineLvl w:val="0"/>
    </w:pPr>
    <w:rPr>
      <w:rFonts w:ascii="Times New Roman" w:hAnsi="Times New Roman" w:eastAsia="宋体"/>
      <w:b/>
      <w:bCs/>
      <w:kern w:val="44"/>
      <w:sz w:val="36"/>
      <w:szCs w:val="44"/>
    </w:rPr>
  </w:style>
  <w:style w:type="paragraph" w:styleId="3">
    <w:name w:val="heading 2"/>
    <w:basedOn w:val="1"/>
    <w:next w:val="1"/>
    <w:qFormat/>
    <w:uiPriority w:val="0"/>
    <w:pPr>
      <w:keepNext/>
      <w:keepLines/>
      <w:spacing w:beforeLines="50" w:afterLines="50" w:line="360" w:lineRule="auto"/>
      <w:outlineLvl w:val="1"/>
    </w:pPr>
    <w:rPr>
      <w:rFonts w:ascii="Arial" w:hAnsi="Arial" w:eastAsia="宋体"/>
      <w:b/>
      <w:sz w:val="28"/>
    </w:rPr>
  </w:style>
  <w:style w:type="paragraph" w:styleId="4">
    <w:name w:val="heading 3"/>
    <w:basedOn w:val="1"/>
    <w:next w:val="1"/>
    <w:qFormat/>
    <w:uiPriority w:val="0"/>
    <w:pPr>
      <w:keepNext/>
      <w:keepLines/>
      <w:spacing w:line="360" w:lineRule="auto"/>
      <w:outlineLvl w:val="2"/>
    </w:pPr>
    <w:rPr>
      <w:rFonts w:ascii="Times New Roman" w:hAnsi="Times New Roman" w:eastAsia="宋体"/>
      <w:b/>
      <w:bCs/>
      <w:sz w:val="28"/>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link w:val="23"/>
    <w:qFormat/>
    <w:uiPriority w:val="0"/>
    <w:pPr>
      <w:spacing w:line="0" w:lineRule="atLeast"/>
      <w:ind w:firstLine="723" w:firstLineChars="200"/>
    </w:pPr>
    <w:rPr>
      <w:rFonts w:ascii="宋体" w:hAnsi="宋体" w:eastAsia="宋体"/>
      <w:bCs/>
      <w:sz w:val="18"/>
    </w:rPr>
  </w:style>
  <w:style w:type="paragraph" w:styleId="6">
    <w:name w:val="toc 3"/>
    <w:basedOn w:val="1"/>
    <w:next w:val="1"/>
    <w:qFormat/>
    <w:uiPriority w:val="39"/>
    <w:pPr>
      <w:ind w:left="840" w:leftChars="400"/>
    </w:pPr>
  </w:style>
  <w:style w:type="paragraph" w:styleId="7">
    <w:name w:val="Plain Text"/>
    <w:basedOn w:val="1"/>
    <w:qFormat/>
    <w:uiPriority w:val="0"/>
    <w:rPr>
      <w:rFonts w:ascii="宋体" w:hAnsi="Courier New"/>
    </w:rPr>
  </w:style>
  <w:style w:type="paragraph" w:styleId="8">
    <w:name w:val="Balloon Text"/>
    <w:basedOn w:val="1"/>
    <w:link w:val="47"/>
    <w:semiHidden/>
    <w:unhideWhenUsed/>
    <w:qFormat/>
    <w:uiPriority w:val="99"/>
    <w:rPr>
      <w:sz w:val="18"/>
      <w:szCs w:val="18"/>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99"/>
    <w:pPr>
      <w:widowControl/>
      <w:tabs>
        <w:tab w:val="right" w:leader="dot" w:pos="8636"/>
      </w:tabs>
      <w:spacing w:line="540" w:lineRule="exact"/>
      <w:jc w:val="center"/>
    </w:pPr>
    <w:rPr>
      <w:rFonts w:ascii="等线" w:hAnsi="等线" w:eastAsia="等线" w:cs="等线"/>
      <w:kern w:val="0"/>
      <w:sz w:val="22"/>
    </w:rPr>
  </w:style>
  <w:style w:type="paragraph" w:styleId="12">
    <w:name w:val="toc 2"/>
    <w:basedOn w:val="1"/>
    <w:next w:val="1"/>
    <w:qFormat/>
    <w:uiPriority w:val="39"/>
    <w:pPr>
      <w:widowControl/>
      <w:tabs>
        <w:tab w:val="right" w:leader="dot" w:pos="8931"/>
      </w:tabs>
      <w:spacing w:after="100" w:line="259" w:lineRule="auto"/>
      <w:ind w:left="220"/>
      <w:jc w:val="left"/>
    </w:pPr>
    <w:rPr>
      <w:rFonts w:ascii="等线" w:hAnsi="等线" w:eastAsia="等线" w:cs="等线"/>
      <w:kern w:val="0"/>
      <w:sz w:val="2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99"/>
    <w:rPr>
      <w:color w:val="0000FF"/>
      <w:spacing w:val="0"/>
      <w:w w:val="100"/>
      <w:szCs w:val="21"/>
      <w:u w:val="single"/>
    </w:rPr>
  </w:style>
  <w:style w:type="paragraph" w:customStyle="1" w:styleId="17">
    <w:name w:val="附录表标题"/>
    <w:basedOn w:val="1"/>
    <w:next w:val="18"/>
    <w:qFormat/>
    <w:uiPriority w:val="0"/>
    <w:pPr>
      <w:numPr>
        <w:ilvl w:val="1"/>
        <w:numId w:val="1"/>
      </w:numPr>
      <w:tabs>
        <w:tab w:val="left" w:pos="180"/>
      </w:tabs>
      <w:spacing w:beforeLines="50" w:afterLines="50"/>
      <w:ind w:left="0" w:firstLine="0"/>
      <w:jc w:val="center"/>
    </w:pPr>
    <w:rPr>
      <w:rFonts w:ascii="黑体" w:eastAsia="黑体"/>
      <w:szCs w:val="21"/>
    </w:rPr>
  </w:style>
  <w:style w:type="paragraph" w:customStyle="1" w:styleId="18">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9">
    <w:name w:val="_Style 5"/>
    <w:basedOn w:val="2"/>
    <w:next w:val="1"/>
    <w:qFormat/>
    <w:uiPriority w:val="99"/>
    <w:pPr>
      <w:widowControl/>
      <w:spacing w:before="320" w:after="40" w:line="252" w:lineRule="auto"/>
      <w:outlineLvl w:val="9"/>
    </w:pPr>
    <w:rPr>
      <w:rFonts w:ascii="Calibri Light" w:hAnsi="Calibri Light" w:cs="Calibri Light"/>
      <w:caps/>
      <w:spacing w:val="4"/>
      <w:kern w:val="0"/>
      <w:sz w:val="28"/>
      <w:szCs w:val="28"/>
    </w:rPr>
  </w:style>
  <w:style w:type="paragraph" w:customStyle="1" w:styleId="20">
    <w:name w:val="正文表标题"/>
    <w:next w:val="18"/>
    <w:qFormat/>
    <w:uiPriority w:val="0"/>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1">
    <w:name w:val="附录标识"/>
    <w:basedOn w:val="1"/>
    <w:next w:val="18"/>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2">
    <w:name w:val="附录章标题"/>
    <w:next w:val="18"/>
    <w:qFormat/>
    <w:uiPriority w:val="0"/>
    <w:pPr>
      <w:numPr>
        <w:ilvl w:val="1"/>
        <w:numId w:val="3"/>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character" w:customStyle="1" w:styleId="23">
    <w:name w:val="正文文本缩进 字符"/>
    <w:link w:val="5"/>
    <w:qFormat/>
    <w:uiPriority w:val="0"/>
    <w:rPr>
      <w:rFonts w:ascii="宋体" w:hAnsi="宋体" w:eastAsia="宋体"/>
      <w:bCs/>
      <w:sz w:val="18"/>
    </w:rPr>
  </w:style>
  <w:style w:type="paragraph" w:customStyle="1" w:styleId="24">
    <w:name w:val="列项——（一级）"/>
    <w:qFormat/>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25">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26">
    <w:name w:val="附录图标号"/>
    <w:basedOn w:val="1"/>
    <w:qFormat/>
    <w:uiPriority w:val="0"/>
    <w:pPr>
      <w:keepNext/>
      <w:pageBreakBefore/>
      <w:widowControl/>
      <w:numPr>
        <w:ilvl w:val="0"/>
        <w:numId w:val="6"/>
      </w:numPr>
      <w:spacing w:line="14" w:lineRule="exact"/>
      <w:ind w:left="0" w:firstLine="363"/>
      <w:jc w:val="center"/>
      <w:outlineLvl w:val="0"/>
    </w:pPr>
    <w:rPr>
      <w:color w:val="FFFFFF"/>
    </w:rPr>
  </w:style>
  <w:style w:type="paragraph" w:customStyle="1" w:styleId="27">
    <w:name w:val="附录表标号"/>
    <w:basedOn w:val="1"/>
    <w:next w:val="18"/>
    <w:qFormat/>
    <w:uiPriority w:val="0"/>
    <w:pPr>
      <w:numPr>
        <w:ilvl w:val="0"/>
        <w:numId w:val="1"/>
      </w:numPr>
      <w:tabs>
        <w:tab w:val="clear" w:pos="0"/>
      </w:tabs>
      <w:spacing w:line="14" w:lineRule="exact"/>
      <w:ind w:left="811" w:hanging="448"/>
      <w:jc w:val="center"/>
      <w:outlineLvl w:val="0"/>
    </w:pPr>
    <w:rPr>
      <w:color w:val="FFFFFF"/>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_Style 3"/>
    <w:basedOn w:val="2"/>
    <w:next w:val="1"/>
    <w:qFormat/>
    <w:uiPriority w:val="99"/>
    <w:pPr>
      <w:widowControl/>
      <w:spacing w:before="320" w:after="40" w:line="252" w:lineRule="auto"/>
      <w:outlineLvl w:val="9"/>
    </w:pPr>
    <w:rPr>
      <w:rFonts w:ascii="Calibri Light" w:hAnsi="Calibri Light" w:cs="Calibri Light"/>
      <w:caps/>
      <w:spacing w:val="4"/>
      <w:kern w:val="0"/>
      <w:sz w:val="28"/>
      <w:szCs w:val="28"/>
    </w:rPr>
  </w:style>
  <w:style w:type="paragraph" w:customStyle="1" w:styleId="31">
    <w:name w:val="三级条标题"/>
    <w:basedOn w:val="32"/>
    <w:next w:val="18"/>
    <w:qFormat/>
    <w:uiPriority w:val="0"/>
    <w:pPr>
      <w:numPr>
        <w:ilvl w:val="3"/>
      </w:numPr>
      <w:outlineLvl w:val="4"/>
    </w:pPr>
  </w:style>
  <w:style w:type="paragraph" w:customStyle="1" w:styleId="32">
    <w:name w:val="二级条标题"/>
    <w:basedOn w:val="33"/>
    <w:next w:val="18"/>
    <w:qFormat/>
    <w:uiPriority w:val="0"/>
    <w:pPr>
      <w:numPr>
        <w:ilvl w:val="2"/>
      </w:numPr>
      <w:spacing w:before="50" w:after="50"/>
      <w:outlineLvl w:val="3"/>
    </w:pPr>
  </w:style>
  <w:style w:type="paragraph" w:customStyle="1" w:styleId="33">
    <w:name w:val="一级条标题"/>
    <w:next w:val="18"/>
    <w:qFormat/>
    <w:uiPriority w:val="0"/>
    <w:pPr>
      <w:numPr>
        <w:ilvl w:val="1"/>
        <w:numId w:val="7"/>
      </w:numPr>
      <w:spacing w:beforeLines="50" w:afterLines="50"/>
      <w:outlineLvl w:val="2"/>
    </w:pPr>
    <w:rPr>
      <w:rFonts w:ascii="黑体" w:hAnsi="Times New Roman" w:eastAsia="黑体" w:cs="Times New Roman"/>
      <w:sz w:val="21"/>
      <w:szCs w:val="21"/>
      <w:lang w:val="en-US" w:eastAsia="zh-CN" w:bidi="ar-SA"/>
    </w:rPr>
  </w:style>
  <w:style w:type="paragraph" w:customStyle="1" w:styleId="34">
    <w:name w:val="示例"/>
    <w:next w:val="35"/>
    <w:qFormat/>
    <w:uiPriority w:val="0"/>
    <w:pPr>
      <w:widowControl w:val="0"/>
      <w:numPr>
        <w:ilvl w:val="0"/>
        <w:numId w:val="8"/>
      </w:numPr>
      <w:jc w:val="both"/>
    </w:pPr>
    <w:rPr>
      <w:rFonts w:ascii="宋体" w:hAnsi="Times New Roman" w:eastAsia="宋体" w:cs="Times New Roman"/>
      <w:sz w:val="18"/>
      <w:szCs w:val="18"/>
      <w:lang w:val="en-US" w:eastAsia="zh-CN" w:bidi="ar-SA"/>
    </w:rPr>
  </w:style>
  <w:style w:type="paragraph" w:customStyle="1" w:styleId="35">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36">
    <w:name w:val="三级无"/>
    <w:basedOn w:val="31"/>
    <w:qFormat/>
    <w:uiPriority w:val="0"/>
    <w:pPr>
      <w:spacing w:beforeLines="0" w:afterLines="0"/>
    </w:pPr>
    <w:rPr>
      <w:rFonts w:ascii="宋体" w:eastAsia="宋体"/>
    </w:rPr>
  </w:style>
  <w:style w:type="paragraph" w:customStyle="1" w:styleId="37">
    <w:name w:val="二级无"/>
    <w:basedOn w:val="32"/>
    <w:qFormat/>
    <w:uiPriority w:val="0"/>
    <w:pPr>
      <w:spacing w:beforeLines="0" w:afterLines="0"/>
    </w:pPr>
    <w:rPr>
      <w:rFonts w:ascii="宋体" w:eastAsia="宋体"/>
    </w:rPr>
  </w:style>
  <w:style w:type="paragraph" w:customStyle="1" w:styleId="38">
    <w:name w:val="注："/>
    <w:next w:val="18"/>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39">
    <w:name w:val="前言、引言标题"/>
    <w:next w:val="1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0">
    <w:name w:val="目次、标准名称标题"/>
    <w:basedOn w:val="1"/>
    <w:next w:val="1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1">
    <w:name w:val="章标题"/>
    <w:next w:val="18"/>
    <w:qFormat/>
    <w:uiPriority w:val="0"/>
    <w:pPr>
      <w:numPr>
        <w:ilvl w:val="0"/>
        <w:numId w:val="7"/>
      </w:numPr>
      <w:spacing w:beforeLines="100" w:afterLines="100"/>
      <w:jc w:val="both"/>
      <w:outlineLvl w:val="1"/>
    </w:pPr>
    <w:rPr>
      <w:rFonts w:ascii="黑体" w:hAnsi="Times New Roman" w:eastAsia="黑体" w:cs="Times New Roman"/>
      <w:sz w:val="21"/>
      <w:lang w:val="en-US" w:eastAsia="zh-CN" w:bidi="ar-SA"/>
    </w:rPr>
  </w:style>
  <w:style w:type="paragraph" w:customStyle="1" w:styleId="42">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43">
    <w:name w:val="一级无"/>
    <w:basedOn w:val="33"/>
    <w:qFormat/>
    <w:uiPriority w:val="0"/>
    <w:pPr>
      <w:spacing w:beforeLines="0" w:afterLines="0"/>
    </w:pPr>
    <w:rPr>
      <w:rFonts w:ascii="宋体" w:eastAsia="宋体"/>
    </w:rPr>
  </w:style>
  <w:style w:type="paragraph" w:customStyle="1" w:styleId="44">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47">
    <w:name w:val="批注框文本 字符"/>
    <w:basedOn w:val="15"/>
    <w:link w:val="8"/>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theme" Target="theme/theme1.xml"/><Relationship Id="rId36" Type="http://schemas.openxmlformats.org/officeDocument/2006/relationships/footer" Target="footer10.xml"/><Relationship Id="rId35" Type="http://schemas.openxmlformats.org/officeDocument/2006/relationships/header" Target="header24.xml"/><Relationship Id="rId34" Type="http://schemas.openxmlformats.org/officeDocument/2006/relationships/header" Target="header23.xml"/><Relationship Id="rId33" Type="http://schemas.openxmlformats.org/officeDocument/2006/relationships/header" Target="header22.xml"/><Relationship Id="rId32" Type="http://schemas.openxmlformats.org/officeDocument/2006/relationships/footer" Target="footer9.xml"/><Relationship Id="rId31" Type="http://schemas.openxmlformats.org/officeDocument/2006/relationships/header" Target="header21.xml"/><Relationship Id="rId30" Type="http://schemas.openxmlformats.org/officeDocument/2006/relationships/header" Target="header20.xml"/><Relationship Id="rId3" Type="http://schemas.openxmlformats.org/officeDocument/2006/relationships/header" Target="header1.xml"/><Relationship Id="rId29" Type="http://schemas.openxmlformats.org/officeDocument/2006/relationships/header" Target="header19.xml"/><Relationship Id="rId28" Type="http://schemas.openxmlformats.org/officeDocument/2006/relationships/footer" Target="footer8.xml"/><Relationship Id="rId27" Type="http://schemas.openxmlformats.org/officeDocument/2006/relationships/header" Target="header18.xml"/><Relationship Id="rId26" Type="http://schemas.openxmlformats.org/officeDocument/2006/relationships/header" Target="header17.xml"/><Relationship Id="rId25" Type="http://schemas.openxmlformats.org/officeDocument/2006/relationships/header" Target="header16.xml"/><Relationship Id="rId24" Type="http://schemas.openxmlformats.org/officeDocument/2006/relationships/footer" Target="footer7.xml"/><Relationship Id="rId23" Type="http://schemas.openxmlformats.org/officeDocument/2006/relationships/header" Target="header15.xml"/><Relationship Id="rId22" Type="http://schemas.openxmlformats.org/officeDocument/2006/relationships/header" Target="header14.xml"/><Relationship Id="rId21" Type="http://schemas.openxmlformats.org/officeDocument/2006/relationships/header" Target="header13.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2.xml"/><Relationship Id="rId18" Type="http://schemas.openxmlformats.org/officeDocument/2006/relationships/header" Target="header11.xml"/><Relationship Id="rId17" Type="http://schemas.openxmlformats.org/officeDocument/2006/relationships/header" Target="header10.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53"/>
    <customShpInfo spid="_x0000_s2052"/>
    <customShpInfo spid="_x0000_s2051"/>
    <customShpInfo spid="_x0000_s2050"/>
    <customShpInfo spid="_x0000_s2049"/>
    <customShpInfo spid="_x0000_s1026"/>
    <customShpInfo spid="_x0000_s3111"/>
    <customShpInfo spid="_x0000_s3110"/>
    <customShpInfo spid="_x0000_s3109"/>
    <customShpInfo spid="_x0000_s3108"/>
    <customShpInfo spid="_x0000_s3107"/>
    <customShpInfo spid="_x0000_s3106"/>
    <customShpInfo spid="_x0000_s3105"/>
    <customShpInfo spid="_x0000_s3104"/>
    <customShpInfo spid="_x0000_s3103"/>
    <customShpInfo spid="_x0000_s3102"/>
    <customShpInfo spid="_x0000_s3101"/>
    <customShpInfo spid="_x0000_s3100"/>
    <customShpInfo spid="_x0000_s3099"/>
    <customShpInfo spid="_x0000_s3098"/>
    <customShpInfo spid="_x0000_s3097"/>
    <customShpInfo spid="_x0000_s3096"/>
    <customShpInfo spid="_x0000_s3095"/>
    <customShpInfo spid="_x0000_s3094"/>
    <customShpInfo spid="_x0000_s3093"/>
    <customShpInfo spid="_x0000_s3092"/>
    <customShpInfo spid="_x0000_s3091"/>
    <customShpInfo spid="_x0000_s3090"/>
    <customShpInfo spid="_x0000_s3089"/>
    <customShpInfo spid="_x0000_s3088"/>
    <customShpInfo spid="_x0000_s3087"/>
    <customShpInfo spid="_x0000_s3086"/>
    <customShpInfo spid="_x0000_s3085"/>
    <customShpInfo spid="_x0000_s3084"/>
    <customShpInfo spid="_x0000_s3083"/>
    <customShpInfo spid="_x0000_s3082"/>
    <customShpInfo spid="_x0000_s3081"/>
    <customShpInfo spid="_x0000_s3080"/>
    <customShpInfo spid="_x0000_s3079"/>
    <customShpInfo spid="_x0000_s3078"/>
    <customShpInfo spid="_x0000_s3077"/>
    <customShpInfo spid="_x0000_s3076"/>
    <customShpInfo spid="_x0000_s3075"/>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100</Pages>
  <Words>5997</Words>
  <Characters>34184</Characters>
  <Lines>284</Lines>
  <Paragraphs>80</Paragraphs>
  <TotalTime>31</TotalTime>
  <ScaleCrop>false</ScaleCrop>
  <LinksUpToDate>false</LinksUpToDate>
  <CharactersWithSpaces>40101</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2016-11-09T03:19:00Z</dcterms:created>
  <dc:creator>lenovo</dc:creator>
  <cp:lastModifiedBy>A呀土豆baby</cp:lastModifiedBy>
  <cp:lastPrinted>2019-03-07T02:48:00Z</cp:lastPrinted>
  <dcterms:modified xsi:type="dcterms:W3CDTF">2021-12-24T13:43:23Z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BF7D17FECC5D4F2498CD05F2F00B01A1</vt:lpwstr>
  </property>
</Properties>
</file>