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cs="Arial"/>
          <w:color w:val="000000"/>
          <w:sz w:val="48"/>
          <w:szCs w:val="48"/>
        </w:rPr>
      </w:pPr>
    </w:p>
    <w:p>
      <w:pPr>
        <w:jc w:val="center"/>
        <w:rPr>
          <w:rFonts w:ascii="Arial" w:cs="Arial"/>
          <w:color w:val="000000"/>
          <w:sz w:val="48"/>
          <w:szCs w:val="48"/>
        </w:rPr>
      </w:pPr>
    </w:p>
    <w:p>
      <w:pPr>
        <w:jc w:val="center"/>
        <w:rPr>
          <w:rFonts w:ascii="Arial" w:cs="Arial"/>
          <w:color w:val="000000"/>
          <w:sz w:val="48"/>
          <w:szCs w:val="48"/>
        </w:rPr>
      </w:pPr>
    </w:p>
    <w:p>
      <w:pPr>
        <w:jc w:val="center"/>
        <w:rPr>
          <w:rFonts w:ascii="Arial" w:cs="Arial"/>
          <w:color w:val="000000"/>
          <w:sz w:val="48"/>
          <w:szCs w:val="48"/>
        </w:rPr>
      </w:pPr>
    </w:p>
    <w:p>
      <w:pPr>
        <w:jc w:val="center"/>
        <w:rPr>
          <w:rFonts w:ascii="Arial" w:cs="Arial"/>
          <w:color w:val="000000"/>
          <w:sz w:val="48"/>
          <w:szCs w:val="48"/>
        </w:rPr>
      </w:pPr>
    </w:p>
    <w:p>
      <w:pPr>
        <w:jc w:val="center"/>
        <w:rPr>
          <w:rFonts w:ascii="Arial" w:cs="Arial"/>
          <w:color w:val="000000"/>
          <w:sz w:val="48"/>
          <w:szCs w:val="48"/>
        </w:rPr>
      </w:pPr>
    </w:p>
    <w:p>
      <w:pPr>
        <w:jc w:val="center"/>
        <w:rPr>
          <w:rFonts w:ascii="仿宋_GB2312" w:hAnsi="仿宋_GB2312"/>
          <w:sz w:val="48"/>
          <w:szCs w:val="48"/>
        </w:rPr>
      </w:pPr>
      <w:r>
        <w:rPr>
          <w:rFonts w:hint="eastAsia" w:ascii="仿宋_GB2312" w:hAnsi="仿宋_GB2312"/>
          <w:sz w:val="48"/>
          <w:szCs w:val="48"/>
        </w:rPr>
        <w:t>建立安全风险分级管控和隐患排查</w:t>
      </w:r>
    </w:p>
    <w:p>
      <w:pPr>
        <w:jc w:val="center"/>
        <w:rPr>
          <w:rFonts w:ascii="仿宋_GB2312" w:hAnsi="仿宋_GB2312"/>
          <w:sz w:val="48"/>
          <w:szCs w:val="48"/>
        </w:rPr>
      </w:pPr>
      <w:r>
        <w:rPr>
          <w:rFonts w:hint="eastAsia" w:ascii="仿宋_GB2312" w:hAnsi="仿宋_GB2312"/>
          <w:sz w:val="48"/>
          <w:szCs w:val="48"/>
        </w:rPr>
        <w:t>治理双重预防机制作业指导书</w:t>
      </w: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ascii="Arial" w:hAnsi="Arial" w:cs="Arial"/>
          <w:color w:val="000000"/>
        </w:rPr>
      </w:pPr>
    </w:p>
    <w:p>
      <w:pPr>
        <w:rPr>
          <w:rFonts w:hint="eastAsia" w:ascii="Arial" w:hAnsi="Arial" w:cs="Arial"/>
          <w:color w:val="000000"/>
        </w:rPr>
      </w:pPr>
    </w:p>
    <w:p>
      <w:pPr>
        <w:rPr>
          <w:rFonts w:ascii="Arial" w:hAnsi="Arial" w:cs="Arial"/>
          <w:color w:val="000000"/>
        </w:rPr>
      </w:pPr>
    </w:p>
    <w:p>
      <w:pPr>
        <w:rPr>
          <w:rFonts w:ascii="Arial" w:hAnsi="Arial" w:cs="Arial"/>
          <w:color w:val="000000"/>
          <w:sz w:val="28"/>
          <w:szCs w:val="28"/>
        </w:rPr>
      </w:pPr>
      <w:r>
        <w:rPr>
          <w:rFonts w:hint="eastAsia" w:ascii="Arial" w:hAnsi="Arial" w:cs="Arial"/>
          <w:color w:val="000000"/>
          <w:sz w:val="28"/>
          <w:szCs w:val="28"/>
          <w:lang w:eastAsia="zh-CN"/>
        </w:rPr>
        <w:t>202X</w:t>
      </w:r>
      <w:r>
        <w:rPr>
          <w:rFonts w:ascii="Arial" w:hAnsi="Arial" w:cs="Arial"/>
          <w:color w:val="000000"/>
          <w:sz w:val="28"/>
          <w:szCs w:val="28"/>
        </w:rPr>
        <w:t>.</w:t>
      </w:r>
      <w:r>
        <w:rPr>
          <w:rFonts w:hint="eastAsia" w:ascii="Arial" w:hAnsi="Arial" w:cs="Arial"/>
          <w:color w:val="000000"/>
          <w:sz w:val="28"/>
          <w:szCs w:val="28"/>
        </w:rPr>
        <w:t>01</w:t>
      </w:r>
      <w:r>
        <w:rPr>
          <w:rFonts w:ascii="Arial" w:hAnsi="Arial" w:cs="Arial"/>
          <w:color w:val="000000"/>
          <w:sz w:val="28"/>
          <w:szCs w:val="28"/>
        </w:rPr>
        <w:t>.</w:t>
      </w:r>
      <w:r>
        <w:rPr>
          <w:rFonts w:hint="eastAsia" w:ascii="Arial" w:hAnsi="Arial" w:cs="Arial"/>
          <w:color w:val="000000"/>
          <w:sz w:val="28"/>
          <w:szCs w:val="28"/>
        </w:rPr>
        <w:t>01</w:t>
      </w:r>
      <w:r>
        <w:rPr>
          <w:rFonts w:hint="eastAsia" w:ascii="Arial" w:cs="Arial"/>
          <w:color w:val="000000"/>
          <w:sz w:val="28"/>
          <w:szCs w:val="28"/>
        </w:rPr>
        <w:t>制定</w:t>
      </w:r>
      <w:r>
        <w:rPr>
          <w:rFonts w:ascii="Arial" w:hAnsi="Arial" w:cs="Arial"/>
          <w:color w:val="000000"/>
          <w:sz w:val="28"/>
          <w:szCs w:val="28"/>
        </w:rPr>
        <w:t xml:space="preserve">                             </w:t>
      </w:r>
      <w:r>
        <w:rPr>
          <w:rFonts w:hint="eastAsia" w:ascii="Arial" w:hAnsi="Arial" w:cs="Arial"/>
          <w:color w:val="000000"/>
          <w:sz w:val="28"/>
          <w:szCs w:val="28"/>
        </w:rPr>
        <w:t xml:space="preserve">       </w:t>
      </w:r>
      <w:r>
        <w:rPr>
          <w:rFonts w:ascii="Arial" w:hAnsi="Arial" w:cs="Arial"/>
          <w:color w:val="000000"/>
          <w:sz w:val="28"/>
          <w:szCs w:val="28"/>
        </w:rPr>
        <w:t xml:space="preserve"> </w:t>
      </w:r>
      <w:bookmarkStart w:id="83" w:name="_GoBack"/>
      <w:bookmarkEnd w:id="83"/>
      <w:r>
        <w:rPr>
          <w:rFonts w:hint="eastAsia" w:ascii="Arial" w:hAnsi="Arial" w:cs="Arial"/>
          <w:color w:val="000000"/>
          <w:sz w:val="28"/>
          <w:szCs w:val="28"/>
          <w:lang w:eastAsia="zh-CN"/>
        </w:rPr>
        <w:t>202X</w:t>
      </w:r>
      <w:r>
        <w:rPr>
          <w:rFonts w:ascii="Arial" w:hAnsi="Arial" w:cs="Arial"/>
          <w:color w:val="000000"/>
          <w:sz w:val="28"/>
          <w:szCs w:val="28"/>
        </w:rPr>
        <w:t>.</w:t>
      </w:r>
      <w:r>
        <w:rPr>
          <w:rFonts w:hint="eastAsia" w:ascii="Arial" w:hAnsi="Arial" w:cs="Arial"/>
          <w:color w:val="000000"/>
          <w:sz w:val="28"/>
          <w:szCs w:val="28"/>
        </w:rPr>
        <w:t>05</w:t>
      </w:r>
      <w:r>
        <w:rPr>
          <w:rFonts w:ascii="Arial" w:hAnsi="Arial" w:cs="Arial"/>
          <w:color w:val="000000"/>
          <w:sz w:val="28"/>
          <w:szCs w:val="28"/>
        </w:rPr>
        <w:t>.</w:t>
      </w:r>
      <w:r>
        <w:rPr>
          <w:rFonts w:hint="eastAsia" w:ascii="Arial" w:hAnsi="Arial" w:cs="Arial"/>
          <w:color w:val="000000"/>
          <w:sz w:val="28"/>
          <w:szCs w:val="28"/>
        </w:rPr>
        <w:t>20</w:t>
      </w:r>
      <w:r>
        <w:rPr>
          <w:rFonts w:ascii="Arial" w:cs="Arial"/>
          <w:color w:val="000000"/>
          <w:sz w:val="28"/>
          <w:szCs w:val="28"/>
        </w:rPr>
        <w:t>实施</w:t>
      </w:r>
    </w:p>
    <w:p>
      <w:pPr>
        <w:rPr>
          <w:rFonts w:ascii="Arial" w:hAnsi="Arial" w:cs="Arial"/>
          <w:color w:val="000000"/>
          <w:u w:val="single"/>
        </w:rPr>
      </w:pPr>
      <w:r>
        <w:rPr>
          <w:rFonts w:ascii="Arial" w:hAnsi="Arial" w:cs="Arial"/>
          <w:color w:val="000000"/>
          <w:u w:val="single"/>
        </w:rPr>
        <w:t xml:space="preserve">                                                                               </w:t>
      </w:r>
      <w:r>
        <w:rPr>
          <w:rFonts w:hint="eastAsia" w:ascii="Arial" w:hAnsi="Arial" w:cs="Arial"/>
          <w:color w:val="000000"/>
          <w:u w:val="single"/>
        </w:rPr>
        <w:t xml:space="preserve">         </w:t>
      </w:r>
    </w:p>
    <w:p>
      <w:pPr>
        <w:rPr>
          <w:rFonts w:ascii="Arial" w:hAnsi="Arial" w:cs="Arial"/>
          <w:color w:val="000000"/>
        </w:rPr>
      </w:pPr>
    </w:p>
    <w:p>
      <w:pPr>
        <w:jc w:val="center"/>
        <w:rPr>
          <w:rFonts w:ascii="Arial" w:cs="Arial"/>
          <w:color w:val="000000"/>
          <w:sz w:val="48"/>
          <w:szCs w:val="48"/>
        </w:rPr>
      </w:pPr>
      <w:r>
        <w:rPr>
          <w:rFonts w:hint="eastAsia" w:ascii="Arial" w:cs="Arial"/>
          <w:color w:val="000000"/>
          <w:sz w:val="48"/>
          <w:szCs w:val="48"/>
        </w:rPr>
        <w:t>XXX</w:t>
      </w:r>
      <w:r>
        <w:rPr>
          <w:rFonts w:ascii="Arial" w:cs="Arial"/>
          <w:color w:val="000000"/>
          <w:sz w:val="48"/>
          <w:szCs w:val="48"/>
        </w:rPr>
        <w:t>有限公司</w:t>
      </w:r>
    </w:p>
    <w:p>
      <w:pPr>
        <w:jc w:val="right"/>
        <w:rPr>
          <w:rFonts w:hint="eastAsia" w:ascii="仿宋_GB2312" w:hAnsi="仿宋_GB2312" w:eastAsia="宋体"/>
          <w:b/>
          <w:bCs/>
          <w:sz w:val="52"/>
          <w:szCs w:val="52"/>
          <w:lang w:eastAsia="zh-CN"/>
        </w:rPr>
      </w:pPr>
      <w:r>
        <w:rPr>
          <w:rFonts w:ascii="Arial" w:hAnsi="Arial" w:cs="Arial"/>
          <w:color w:val="000000"/>
          <w:szCs w:val="21"/>
        </w:rPr>
        <w:t>XXX-</w:t>
      </w:r>
      <w:r>
        <w:rPr>
          <w:rFonts w:hint="eastAsia" w:ascii="Arial" w:hAnsi="Arial" w:cs="Arial"/>
          <w:color w:val="000000"/>
          <w:szCs w:val="21"/>
          <w:lang w:eastAsia="zh-CN"/>
        </w:rPr>
        <w:t>202X</w:t>
      </w:r>
    </w:p>
    <w:sdt>
      <w:sdtPr>
        <w:rPr>
          <w:rFonts w:ascii="Calibri" w:hAnsi="Calibri" w:eastAsia="宋体" w:cs="Times New Roman"/>
          <w:color w:val="auto"/>
          <w:kern w:val="2"/>
          <w:sz w:val="21"/>
          <w:szCs w:val="22"/>
          <w:lang w:val="zh-CN"/>
        </w:rPr>
        <w:id w:val="731203998"/>
        <w:docPartObj>
          <w:docPartGallery w:val="Table of Contents"/>
          <w:docPartUnique/>
        </w:docPartObj>
      </w:sdtPr>
      <w:sdtEndPr>
        <w:rPr>
          <w:rFonts w:ascii="Calibri" w:hAnsi="Calibri" w:eastAsia="宋体" w:cs="Times New Roman"/>
          <w:b/>
          <w:bCs/>
          <w:color w:val="auto"/>
          <w:kern w:val="2"/>
          <w:sz w:val="21"/>
          <w:szCs w:val="22"/>
          <w:lang w:val="zh-CN"/>
        </w:rPr>
      </w:sdtEndPr>
      <w:sdtContent>
        <w:p>
          <w:pPr>
            <w:pStyle w:val="23"/>
            <w:jc w:val="center"/>
          </w:pPr>
          <w:r>
            <w:rPr>
              <w:lang w:val="zh-CN"/>
            </w:rPr>
            <w:t>目录</w:t>
          </w:r>
        </w:p>
        <w:p>
          <w:pPr>
            <w:pStyle w:val="8"/>
            <w:tabs>
              <w:tab w:val="right" w:leader="dot" w:pos="9230"/>
            </w:tabs>
            <w:rPr>
              <w:rFonts w:asciiTheme="minorHAnsi" w:hAnsiTheme="minorHAnsi" w:eastAsiaTheme="minorEastAsia" w:cstheme="minorBidi"/>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"_Toc13473733" </w:instrText>
          </w:r>
          <w:r>
            <w:fldChar w:fldCharType="separate"/>
          </w:r>
          <w:r>
            <w:rPr>
              <w:rStyle w:val="13"/>
              <w:rFonts w:ascii="宋体" w:hAnsi="宋体" w:cs="宋体"/>
            </w:rPr>
            <w:t xml:space="preserve">1  </w:t>
          </w:r>
          <w:r>
            <w:rPr>
              <w:rStyle w:val="13"/>
              <w:rFonts w:hint="eastAsia" w:ascii="宋体" w:hAnsi="宋体" w:cs="宋体"/>
            </w:rPr>
            <w:t>范围</w:t>
          </w:r>
          <w:r>
            <w:tab/>
          </w:r>
          <w:r>
            <w:fldChar w:fldCharType="begin"/>
          </w:r>
          <w:r>
            <w:instrText xml:space="preserve"> PAGEREF _Toc13473733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"_Toc13473734" </w:instrText>
          </w:r>
          <w:r>
            <w:fldChar w:fldCharType="separate"/>
          </w:r>
          <w:r>
            <w:rPr>
              <w:rStyle w:val="13"/>
              <w:rFonts w:ascii="宋体" w:hAnsi="宋体" w:cs="宋体"/>
            </w:rPr>
            <w:t xml:space="preserve">2 </w:t>
          </w:r>
          <w:r>
            <w:rPr>
              <w:rStyle w:val="13"/>
              <w:rFonts w:hint="eastAsia" w:ascii="宋体" w:hAnsi="宋体" w:cs="宋体"/>
            </w:rPr>
            <w:t>规范性引用文件</w:t>
          </w:r>
          <w:r>
            <w:tab/>
          </w:r>
          <w:r>
            <w:fldChar w:fldCharType="begin"/>
          </w:r>
          <w:r>
            <w:instrText xml:space="preserve"> PAGEREF _Toc13473734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"_Toc13473735" </w:instrText>
          </w:r>
          <w:r>
            <w:fldChar w:fldCharType="separate"/>
          </w:r>
          <w:r>
            <w:rPr>
              <w:rStyle w:val="13"/>
              <w:rFonts w:ascii="宋体" w:hAnsi="宋体" w:cs="宋体"/>
            </w:rPr>
            <w:t xml:space="preserve">3 </w:t>
          </w:r>
          <w:r>
            <w:rPr>
              <w:rStyle w:val="13"/>
              <w:rFonts w:hint="eastAsia" w:ascii="宋体" w:hAnsi="宋体" w:cs="宋体"/>
            </w:rPr>
            <w:t>术语和定义</w:t>
          </w:r>
          <w:r>
            <w:tab/>
          </w:r>
          <w:r>
            <w:fldChar w:fldCharType="begin"/>
          </w:r>
          <w:r>
            <w:instrText xml:space="preserve"> PAGEREF _Toc13473735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"_Toc13473736" </w:instrText>
          </w:r>
          <w:r>
            <w:fldChar w:fldCharType="separate"/>
          </w:r>
          <w:r>
            <w:rPr>
              <w:rStyle w:val="13"/>
              <w:rFonts w:ascii="宋体" w:hAnsi="宋体" w:cs="宋体"/>
            </w:rPr>
            <w:t xml:space="preserve">3.1 </w:t>
          </w:r>
          <w:r>
            <w:rPr>
              <w:rStyle w:val="13"/>
              <w:rFonts w:hint="eastAsia" w:ascii="宋体" w:hAnsi="宋体" w:cs="宋体"/>
            </w:rPr>
            <w:t>风险</w:t>
          </w:r>
          <w:r>
            <w:tab/>
          </w:r>
          <w:r>
            <w:fldChar w:fldCharType="begin"/>
          </w:r>
          <w:r>
            <w:instrText xml:space="preserve"> PAGEREF _Toc13473736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"_Toc13473737" </w:instrText>
          </w:r>
          <w:r>
            <w:fldChar w:fldCharType="separate"/>
          </w:r>
          <w:r>
            <w:rPr>
              <w:rStyle w:val="13"/>
              <w:rFonts w:ascii="宋体" w:hAnsi="宋体" w:cs="宋体"/>
            </w:rPr>
            <w:t xml:space="preserve">3.2 </w:t>
          </w:r>
          <w:r>
            <w:rPr>
              <w:rStyle w:val="13"/>
              <w:rFonts w:hint="eastAsia" w:ascii="宋体" w:hAnsi="宋体" w:cs="宋体"/>
            </w:rPr>
            <w:t>可接受风险</w:t>
          </w:r>
          <w:r>
            <w:tab/>
          </w:r>
          <w:r>
            <w:fldChar w:fldCharType="begin"/>
          </w:r>
          <w:r>
            <w:instrText xml:space="preserve"> PAGEREF _Toc13473737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"_Toc13473738" </w:instrText>
          </w:r>
          <w:r>
            <w:fldChar w:fldCharType="separate"/>
          </w:r>
          <w:r>
            <w:rPr>
              <w:rStyle w:val="13"/>
              <w:rFonts w:ascii="宋体" w:hAnsi="宋体" w:cs="宋体"/>
            </w:rPr>
            <w:t xml:space="preserve">3.3 </w:t>
          </w:r>
          <w:r>
            <w:rPr>
              <w:rStyle w:val="13"/>
              <w:rFonts w:hint="eastAsia" w:ascii="宋体" w:hAnsi="宋体" w:cs="宋体"/>
            </w:rPr>
            <w:t>重大风险</w:t>
          </w:r>
          <w:r>
            <w:tab/>
          </w:r>
          <w:r>
            <w:fldChar w:fldCharType="begin"/>
          </w:r>
          <w:r>
            <w:instrText xml:space="preserve"> PAGEREF _Toc13473738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"_Toc13473739" </w:instrText>
          </w:r>
          <w:r>
            <w:fldChar w:fldCharType="separate"/>
          </w:r>
          <w:r>
            <w:rPr>
              <w:rStyle w:val="13"/>
              <w:rFonts w:ascii="宋体" w:hAnsi="宋体" w:cs="宋体"/>
            </w:rPr>
            <w:t xml:space="preserve">3.4 </w:t>
          </w:r>
          <w:r>
            <w:rPr>
              <w:rStyle w:val="13"/>
              <w:rFonts w:hint="eastAsia" w:ascii="宋体" w:hAnsi="宋体" w:cs="宋体"/>
            </w:rPr>
            <w:t>危险源</w:t>
          </w:r>
          <w:r>
            <w:tab/>
          </w:r>
          <w:r>
            <w:fldChar w:fldCharType="begin"/>
          </w:r>
          <w:r>
            <w:instrText xml:space="preserve"> PAGEREF _Toc13473739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"_Toc13473740" </w:instrText>
          </w:r>
          <w:r>
            <w:fldChar w:fldCharType="separate"/>
          </w:r>
          <w:r>
            <w:rPr>
              <w:rStyle w:val="13"/>
              <w:rFonts w:ascii="宋体" w:hAnsi="宋体" w:cs="宋体"/>
            </w:rPr>
            <w:t xml:space="preserve">3.5 </w:t>
          </w:r>
          <w:r>
            <w:rPr>
              <w:rStyle w:val="13"/>
              <w:rFonts w:hint="eastAsia" w:ascii="宋体" w:hAnsi="宋体" w:cs="宋体"/>
            </w:rPr>
            <w:t>危险源辨识</w:t>
          </w:r>
          <w:r>
            <w:tab/>
          </w:r>
          <w:r>
            <w:fldChar w:fldCharType="begin"/>
          </w:r>
          <w:r>
            <w:instrText xml:space="preserve"> PAGEREF _Toc13473740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"_Toc13473741" </w:instrText>
          </w:r>
          <w:r>
            <w:fldChar w:fldCharType="separate"/>
          </w:r>
          <w:r>
            <w:rPr>
              <w:rStyle w:val="13"/>
              <w:rFonts w:ascii="宋体" w:hAnsi="宋体" w:cs="宋体"/>
            </w:rPr>
            <w:t xml:space="preserve">3.6 </w:t>
          </w:r>
          <w:r>
            <w:rPr>
              <w:rStyle w:val="13"/>
              <w:rFonts w:hint="eastAsia" w:ascii="宋体" w:hAnsi="宋体" w:cs="宋体"/>
            </w:rPr>
            <w:t>风险评估</w:t>
          </w:r>
          <w:r>
            <w:tab/>
          </w:r>
          <w:r>
            <w:fldChar w:fldCharType="begin"/>
          </w:r>
          <w:r>
            <w:instrText xml:space="preserve"> PAGEREF _Toc13473741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"_Toc13473742" </w:instrText>
          </w:r>
          <w:r>
            <w:fldChar w:fldCharType="separate"/>
          </w:r>
          <w:r>
            <w:rPr>
              <w:rStyle w:val="13"/>
              <w:rFonts w:ascii="宋体" w:hAnsi="宋体" w:cs="宋体"/>
            </w:rPr>
            <w:t xml:space="preserve">3.7 </w:t>
          </w:r>
          <w:r>
            <w:rPr>
              <w:rStyle w:val="13"/>
              <w:rFonts w:hint="eastAsia" w:ascii="宋体" w:hAnsi="宋体" w:cs="宋体"/>
            </w:rPr>
            <w:t>风险分级</w:t>
          </w:r>
          <w:r>
            <w:tab/>
          </w:r>
          <w:r>
            <w:fldChar w:fldCharType="begin"/>
          </w:r>
          <w:r>
            <w:instrText xml:space="preserve"> PAGEREF _Toc13473742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"_Toc13473743" </w:instrText>
          </w:r>
          <w:r>
            <w:fldChar w:fldCharType="separate"/>
          </w:r>
          <w:r>
            <w:rPr>
              <w:rStyle w:val="13"/>
              <w:rFonts w:ascii="宋体" w:hAnsi="宋体" w:cs="宋体"/>
            </w:rPr>
            <w:t xml:space="preserve">3.8 </w:t>
          </w:r>
          <w:r>
            <w:rPr>
              <w:rStyle w:val="13"/>
              <w:rFonts w:hint="eastAsia" w:ascii="宋体" w:hAnsi="宋体" w:cs="宋体"/>
            </w:rPr>
            <w:t>风险分级管控</w:t>
          </w:r>
          <w:r>
            <w:tab/>
          </w:r>
          <w:r>
            <w:fldChar w:fldCharType="begin"/>
          </w:r>
          <w:r>
            <w:instrText xml:space="preserve"> PAGEREF _Toc13473743 \h </w:instrText>
          </w:r>
          <w:r>
            <w:fldChar w:fldCharType="separate"/>
          </w:r>
          <w:r>
            <w:t>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"_Toc13473744" </w:instrText>
          </w:r>
          <w:r>
            <w:fldChar w:fldCharType="separate"/>
          </w:r>
          <w:r>
            <w:rPr>
              <w:rStyle w:val="13"/>
              <w:rFonts w:ascii="宋体" w:hAnsi="宋体" w:cs="宋体"/>
            </w:rPr>
            <w:t xml:space="preserve">3.9 </w:t>
          </w:r>
          <w:r>
            <w:rPr>
              <w:rStyle w:val="13"/>
              <w:rFonts w:hint="eastAsia" w:ascii="宋体" w:hAnsi="宋体" w:cs="宋体"/>
            </w:rPr>
            <w:t>风险控制措施</w:t>
          </w:r>
          <w:r>
            <w:tab/>
          </w:r>
          <w:r>
            <w:fldChar w:fldCharType="begin"/>
          </w:r>
          <w:r>
            <w:instrText xml:space="preserve"> PAGEREF _Toc13473744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"_Toc13473745" </w:instrText>
          </w:r>
          <w:r>
            <w:fldChar w:fldCharType="separate"/>
          </w:r>
          <w:r>
            <w:rPr>
              <w:rStyle w:val="13"/>
              <w:rFonts w:ascii="宋体" w:hAnsi="宋体" w:cs="宋体"/>
            </w:rPr>
            <w:t xml:space="preserve">3.10 </w:t>
          </w:r>
          <w:r>
            <w:rPr>
              <w:rStyle w:val="13"/>
              <w:rFonts w:hint="eastAsia" w:ascii="宋体" w:hAnsi="宋体" w:cs="宋体"/>
            </w:rPr>
            <w:t>风险信息</w:t>
          </w:r>
          <w:r>
            <w:tab/>
          </w:r>
          <w:r>
            <w:fldChar w:fldCharType="begin"/>
          </w:r>
          <w:r>
            <w:instrText xml:space="preserve"> PAGEREF _Toc13473745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"_Toc13473746" </w:instrText>
          </w:r>
          <w:r>
            <w:fldChar w:fldCharType="separate"/>
          </w:r>
          <w:r>
            <w:rPr>
              <w:rStyle w:val="13"/>
              <w:rFonts w:ascii="宋体" w:hAnsi="宋体" w:cs="宋体"/>
            </w:rPr>
            <w:t xml:space="preserve">3.11 </w:t>
          </w:r>
          <w:r>
            <w:rPr>
              <w:rStyle w:val="13"/>
              <w:rFonts w:hint="eastAsia" w:ascii="宋体" w:hAnsi="宋体" w:cs="宋体"/>
            </w:rPr>
            <w:t>双重预防机制建设</w:t>
          </w:r>
          <w:r>
            <w:tab/>
          </w:r>
          <w:r>
            <w:fldChar w:fldCharType="begin"/>
          </w:r>
          <w:r>
            <w:instrText xml:space="preserve"> PAGEREF _Toc13473746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"_Toc13473747" </w:instrText>
          </w:r>
          <w:r>
            <w:fldChar w:fldCharType="separate"/>
          </w:r>
          <w:r>
            <w:rPr>
              <w:rStyle w:val="13"/>
              <w:rFonts w:ascii="宋体" w:hAnsi="宋体" w:cs="宋体"/>
            </w:rPr>
            <w:t xml:space="preserve">4 </w:t>
          </w:r>
          <w:r>
            <w:rPr>
              <w:rStyle w:val="13"/>
              <w:rFonts w:hint="eastAsia" w:ascii="宋体" w:hAnsi="宋体" w:cs="宋体"/>
            </w:rPr>
            <w:t>工作要求</w:t>
          </w:r>
          <w:r>
            <w:tab/>
          </w:r>
          <w:r>
            <w:fldChar w:fldCharType="begin"/>
          </w:r>
          <w:r>
            <w:instrText xml:space="preserve"> PAGEREF _Toc13473747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"_Toc13473748" </w:instrText>
          </w:r>
          <w:r>
            <w:fldChar w:fldCharType="separate"/>
          </w:r>
          <w:r>
            <w:rPr>
              <w:rStyle w:val="13"/>
              <w:rFonts w:ascii="宋体" w:hAnsi="宋体" w:cs="宋体"/>
            </w:rPr>
            <w:t>4.1</w:t>
          </w:r>
          <w:r>
            <w:rPr>
              <w:rStyle w:val="13"/>
              <w:rFonts w:hint="eastAsia" w:ascii="宋体" w:hAnsi="宋体" w:cs="宋体"/>
            </w:rPr>
            <w:t>文件体系要求</w:t>
          </w:r>
          <w:r>
            <w:tab/>
          </w:r>
          <w:r>
            <w:fldChar w:fldCharType="begin"/>
          </w:r>
          <w:r>
            <w:instrText xml:space="preserve"> PAGEREF _Toc13473748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"_Toc13473749" </w:instrText>
          </w:r>
          <w:r>
            <w:fldChar w:fldCharType="separate"/>
          </w:r>
          <w:r>
            <w:rPr>
              <w:rStyle w:val="13"/>
              <w:rFonts w:ascii="宋体" w:hAnsi="宋体" w:cs="宋体"/>
            </w:rPr>
            <w:t>4.1.1</w:t>
          </w:r>
          <w:r>
            <w:rPr>
              <w:rStyle w:val="13"/>
              <w:rFonts w:hint="eastAsia" w:ascii="宋体" w:hAnsi="宋体" w:cs="宋体"/>
            </w:rPr>
            <w:t>双重预防机制建设手册</w:t>
          </w:r>
          <w:r>
            <w:tab/>
          </w:r>
          <w:r>
            <w:fldChar w:fldCharType="begin"/>
          </w:r>
          <w:r>
            <w:instrText xml:space="preserve"> PAGEREF _Toc13473749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"_Toc13473750" </w:instrText>
          </w:r>
          <w:r>
            <w:fldChar w:fldCharType="separate"/>
          </w:r>
          <w:r>
            <w:rPr>
              <w:rStyle w:val="13"/>
              <w:rFonts w:ascii="宋体" w:hAnsi="宋体" w:cs="宋体"/>
            </w:rPr>
            <w:t>4.1.2</w:t>
          </w:r>
          <w:r>
            <w:rPr>
              <w:rStyle w:val="13"/>
              <w:rFonts w:hint="eastAsia" w:ascii="宋体" w:hAnsi="宋体" w:cs="宋体"/>
            </w:rPr>
            <w:t>双重预防机制建设细则</w:t>
          </w:r>
          <w:r>
            <w:tab/>
          </w:r>
          <w:r>
            <w:fldChar w:fldCharType="begin"/>
          </w:r>
          <w:r>
            <w:instrText xml:space="preserve"> PAGEREF _Toc13473750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"_Toc13473751" </w:instrText>
          </w:r>
          <w:r>
            <w:fldChar w:fldCharType="separate"/>
          </w:r>
          <w:r>
            <w:rPr>
              <w:rStyle w:val="13"/>
              <w:rFonts w:ascii="宋体" w:hAnsi="宋体" w:cs="宋体"/>
            </w:rPr>
            <w:t>4.1.3</w:t>
          </w:r>
          <w:r>
            <w:rPr>
              <w:rStyle w:val="13"/>
              <w:rFonts w:hint="eastAsia" w:ascii="宋体" w:hAnsi="宋体" w:cs="宋体"/>
            </w:rPr>
            <w:t>双重预防机制建设实施指南</w:t>
          </w:r>
          <w:r>
            <w:tab/>
          </w:r>
          <w:r>
            <w:fldChar w:fldCharType="begin"/>
          </w:r>
          <w:r>
            <w:instrText xml:space="preserve"> PAGEREF _Toc13473751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"_Toc13473752" </w:instrText>
          </w:r>
          <w:r>
            <w:fldChar w:fldCharType="separate"/>
          </w:r>
          <w:r>
            <w:rPr>
              <w:rStyle w:val="13"/>
              <w:rFonts w:ascii="宋体" w:hAnsi="宋体" w:cs="宋体"/>
            </w:rPr>
            <w:t xml:space="preserve">4.2 </w:t>
          </w:r>
          <w:r>
            <w:rPr>
              <w:rStyle w:val="13"/>
              <w:rFonts w:hint="eastAsia" w:ascii="宋体" w:hAnsi="宋体" w:cs="宋体"/>
            </w:rPr>
            <w:t>基本要求</w:t>
          </w:r>
          <w:r>
            <w:tab/>
          </w:r>
          <w:r>
            <w:fldChar w:fldCharType="begin"/>
          </w:r>
          <w:r>
            <w:instrText xml:space="preserve"> PAGEREF _Toc13473752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"_Toc13473753" </w:instrText>
          </w:r>
          <w:r>
            <w:fldChar w:fldCharType="separate"/>
          </w:r>
          <w:r>
            <w:rPr>
              <w:rStyle w:val="13"/>
              <w:rFonts w:ascii="宋体" w:hAnsi="宋体" w:cs="宋体"/>
            </w:rPr>
            <w:t>4.2.1</w:t>
          </w:r>
          <w:r>
            <w:rPr>
              <w:rStyle w:val="13"/>
              <w:rFonts w:hint="eastAsia" w:ascii="宋体" w:hAnsi="宋体" w:cs="宋体"/>
            </w:rPr>
            <w:t>组织有力，高效运行</w:t>
          </w:r>
          <w:r>
            <w:tab/>
          </w:r>
          <w:r>
            <w:fldChar w:fldCharType="begin"/>
          </w:r>
          <w:r>
            <w:instrText xml:space="preserve"> PAGEREF _Toc13473753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"_Toc13473754" </w:instrText>
          </w:r>
          <w:r>
            <w:fldChar w:fldCharType="separate"/>
          </w:r>
          <w:r>
            <w:rPr>
              <w:rStyle w:val="13"/>
              <w:rFonts w:ascii="宋体" w:hAnsi="宋体" w:cs="宋体"/>
            </w:rPr>
            <w:t>4.2.2</w:t>
          </w:r>
          <w:r>
            <w:rPr>
              <w:rStyle w:val="13"/>
              <w:rFonts w:hint="eastAsia" w:ascii="宋体" w:hAnsi="宋体" w:cs="宋体"/>
            </w:rPr>
            <w:t>全员参与，分级负责</w:t>
          </w:r>
          <w:r>
            <w:tab/>
          </w:r>
          <w:r>
            <w:fldChar w:fldCharType="begin"/>
          </w:r>
          <w:r>
            <w:instrText xml:space="preserve"> PAGEREF _Toc13473754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"_Toc13473755" </w:instrText>
          </w:r>
          <w:r>
            <w:fldChar w:fldCharType="separate"/>
          </w:r>
          <w:r>
            <w:rPr>
              <w:rStyle w:val="13"/>
              <w:rFonts w:ascii="宋体" w:hAnsi="宋体" w:cs="宋体"/>
            </w:rPr>
            <w:t>4.2.3</w:t>
          </w:r>
          <w:r>
            <w:rPr>
              <w:rStyle w:val="13"/>
              <w:rFonts w:hint="eastAsia" w:ascii="宋体" w:hAnsi="宋体" w:cs="宋体"/>
            </w:rPr>
            <w:t>自主建设，持续改进</w:t>
          </w:r>
          <w:r>
            <w:tab/>
          </w:r>
          <w:r>
            <w:fldChar w:fldCharType="begin"/>
          </w:r>
          <w:r>
            <w:instrText xml:space="preserve"> PAGEREF _Toc13473755 \h </w:instrText>
          </w:r>
          <w:r>
            <w:fldChar w:fldCharType="separate"/>
          </w:r>
          <w:r>
            <w:t>5</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"_Toc13473756" </w:instrText>
          </w:r>
          <w:r>
            <w:fldChar w:fldCharType="separate"/>
          </w:r>
          <w:r>
            <w:rPr>
              <w:rStyle w:val="13"/>
              <w:rFonts w:ascii="宋体" w:hAnsi="宋体" w:cs="宋体"/>
            </w:rPr>
            <w:t>4.2.4</w:t>
          </w:r>
          <w:r>
            <w:rPr>
              <w:rStyle w:val="13"/>
              <w:rFonts w:hint="eastAsia" w:ascii="宋体" w:hAnsi="宋体" w:cs="宋体"/>
            </w:rPr>
            <w:t>系统规范，融合深化</w:t>
          </w:r>
          <w:r>
            <w:tab/>
          </w:r>
          <w:r>
            <w:fldChar w:fldCharType="begin"/>
          </w:r>
          <w:r>
            <w:instrText xml:space="preserve"> PAGEREF _Toc13473756 \h </w:instrText>
          </w:r>
          <w:r>
            <w:fldChar w:fldCharType="separate"/>
          </w:r>
          <w:r>
            <w:t>6</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"_Toc13473757" </w:instrText>
          </w:r>
          <w:r>
            <w:fldChar w:fldCharType="separate"/>
          </w:r>
          <w:r>
            <w:rPr>
              <w:rStyle w:val="13"/>
              <w:rFonts w:ascii="宋体" w:hAnsi="宋体" w:cs="宋体"/>
            </w:rPr>
            <w:t>4.2.5</w:t>
          </w:r>
          <w:r>
            <w:rPr>
              <w:rStyle w:val="13"/>
              <w:rFonts w:hint="eastAsia" w:ascii="宋体" w:hAnsi="宋体" w:cs="宋体"/>
            </w:rPr>
            <w:t>激励约束，重在落实</w:t>
          </w:r>
          <w:r>
            <w:tab/>
          </w:r>
          <w:r>
            <w:fldChar w:fldCharType="begin"/>
          </w:r>
          <w:r>
            <w:instrText xml:space="preserve"> PAGEREF _Toc13473757 \h </w:instrText>
          </w:r>
          <w:r>
            <w:fldChar w:fldCharType="separate"/>
          </w:r>
          <w:r>
            <w:t>6</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"_Toc13473758" </w:instrText>
          </w:r>
          <w:r>
            <w:fldChar w:fldCharType="separate"/>
          </w:r>
          <w:r>
            <w:rPr>
              <w:rStyle w:val="13"/>
              <w:rFonts w:ascii="宋体" w:hAnsi="宋体" w:cs="宋体"/>
            </w:rPr>
            <w:t xml:space="preserve">5 </w:t>
          </w:r>
          <w:r>
            <w:rPr>
              <w:rStyle w:val="13"/>
              <w:rFonts w:hint="eastAsia" w:ascii="宋体" w:hAnsi="宋体" w:cs="宋体"/>
            </w:rPr>
            <w:t>工作目标</w:t>
          </w:r>
          <w:r>
            <w:tab/>
          </w:r>
          <w:r>
            <w:fldChar w:fldCharType="begin"/>
          </w:r>
          <w:r>
            <w:instrText xml:space="preserve"> PAGEREF _Toc13473758 \h </w:instrText>
          </w:r>
          <w:r>
            <w:fldChar w:fldCharType="separate"/>
          </w:r>
          <w:r>
            <w:t>6</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"_Toc13473759" </w:instrText>
          </w:r>
          <w:r>
            <w:fldChar w:fldCharType="separate"/>
          </w:r>
          <w:r>
            <w:rPr>
              <w:rStyle w:val="13"/>
              <w:rFonts w:ascii="宋体" w:hAnsi="宋体" w:cs="宋体"/>
            </w:rPr>
            <w:t xml:space="preserve">6 </w:t>
          </w:r>
          <w:r>
            <w:rPr>
              <w:rStyle w:val="13"/>
              <w:rFonts w:hint="eastAsia" w:ascii="宋体" w:hAnsi="宋体" w:cs="宋体"/>
            </w:rPr>
            <w:t>工作程序和内容</w:t>
          </w:r>
          <w:r>
            <w:tab/>
          </w:r>
          <w:r>
            <w:fldChar w:fldCharType="begin"/>
          </w:r>
          <w:r>
            <w:instrText xml:space="preserve"> PAGEREF _Toc13473759 \h </w:instrText>
          </w:r>
          <w:r>
            <w:fldChar w:fldCharType="separate"/>
          </w:r>
          <w:r>
            <w:t>6</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"_Toc13473760" </w:instrText>
          </w:r>
          <w:r>
            <w:fldChar w:fldCharType="separate"/>
          </w:r>
          <w:r>
            <w:rPr>
              <w:rStyle w:val="13"/>
              <w:rFonts w:ascii="宋体" w:hAnsi="宋体" w:cs="宋体"/>
            </w:rPr>
            <w:t xml:space="preserve">6.1 </w:t>
          </w:r>
          <w:r>
            <w:rPr>
              <w:rStyle w:val="13"/>
              <w:rFonts w:hint="eastAsia" w:ascii="宋体" w:hAnsi="宋体" w:cs="宋体"/>
            </w:rPr>
            <w:t>成立工作机构</w:t>
          </w:r>
          <w:r>
            <w:tab/>
          </w:r>
          <w:r>
            <w:fldChar w:fldCharType="begin"/>
          </w:r>
          <w:r>
            <w:instrText xml:space="preserve"> PAGEREF _Toc13473760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"_Toc13473761" </w:instrText>
          </w:r>
          <w:r>
            <w:fldChar w:fldCharType="separate"/>
          </w:r>
          <w:r>
            <w:rPr>
              <w:rStyle w:val="13"/>
              <w:rFonts w:ascii="宋体" w:hAnsi="宋体" w:cs="宋体"/>
            </w:rPr>
            <w:t xml:space="preserve">6.2 </w:t>
          </w:r>
          <w:r>
            <w:rPr>
              <w:rStyle w:val="13"/>
              <w:rFonts w:hint="eastAsia" w:ascii="宋体" w:hAnsi="宋体" w:cs="宋体"/>
            </w:rPr>
            <w:t>人员培训</w:t>
          </w:r>
          <w:r>
            <w:tab/>
          </w:r>
          <w:r>
            <w:fldChar w:fldCharType="begin"/>
          </w:r>
          <w:r>
            <w:instrText xml:space="preserve"> PAGEREF _Toc13473761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"_Toc13473762" </w:instrText>
          </w:r>
          <w:r>
            <w:fldChar w:fldCharType="separate"/>
          </w:r>
          <w:r>
            <w:rPr>
              <w:rStyle w:val="13"/>
              <w:rFonts w:ascii="宋体" w:hAnsi="宋体" w:cs="宋体"/>
            </w:rPr>
            <w:t xml:space="preserve">6.3 </w:t>
          </w:r>
          <w:r>
            <w:rPr>
              <w:rStyle w:val="13"/>
              <w:rFonts w:hint="eastAsia" w:ascii="宋体" w:hAnsi="宋体" w:cs="宋体"/>
            </w:rPr>
            <w:t>策划与准备</w:t>
          </w:r>
          <w:r>
            <w:tab/>
          </w:r>
          <w:r>
            <w:fldChar w:fldCharType="begin"/>
          </w:r>
          <w:r>
            <w:instrText xml:space="preserve"> PAGEREF _Toc13473762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"_Toc13473763" </w:instrText>
          </w:r>
          <w:r>
            <w:fldChar w:fldCharType="separate"/>
          </w:r>
          <w:r>
            <w:rPr>
              <w:rStyle w:val="13"/>
              <w:rFonts w:ascii="宋体" w:hAnsi="宋体" w:cs="宋体"/>
            </w:rPr>
            <w:t xml:space="preserve">6.3.1 </w:t>
          </w:r>
          <w:r>
            <w:rPr>
              <w:rStyle w:val="13"/>
              <w:rFonts w:hint="eastAsia" w:ascii="宋体" w:hAnsi="宋体" w:cs="宋体"/>
            </w:rPr>
            <w:t>制定建设实施方案</w:t>
          </w:r>
          <w:r>
            <w:tab/>
          </w:r>
          <w:r>
            <w:fldChar w:fldCharType="begin"/>
          </w:r>
          <w:r>
            <w:instrText xml:space="preserve"> PAGEREF _Toc13473763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"_Toc13473764" </w:instrText>
          </w:r>
          <w:r>
            <w:fldChar w:fldCharType="separate"/>
          </w:r>
          <w:r>
            <w:rPr>
              <w:rStyle w:val="13"/>
              <w:rFonts w:ascii="宋体" w:hAnsi="宋体" w:cs="宋体"/>
            </w:rPr>
            <w:t xml:space="preserve">6.3.2 </w:t>
          </w:r>
          <w:r>
            <w:rPr>
              <w:rStyle w:val="13"/>
              <w:rFonts w:hint="eastAsia" w:ascii="宋体" w:hAnsi="宋体" w:cs="宋体"/>
            </w:rPr>
            <w:t>基础资料收集</w:t>
          </w:r>
          <w:r>
            <w:tab/>
          </w:r>
          <w:r>
            <w:fldChar w:fldCharType="begin"/>
          </w:r>
          <w:r>
            <w:instrText xml:space="preserve"> PAGEREF _Toc13473764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"_Toc13473765" </w:instrText>
          </w:r>
          <w:r>
            <w:fldChar w:fldCharType="separate"/>
          </w:r>
          <w:r>
            <w:rPr>
              <w:rStyle w:val="13"/>
              <w:rFonts w:ascii="宋体" w:hAnsi="宋体" w:cs="宋体"/>
            </w:rPr>
            <w:t>6.4</w:t>
          </w:r>
          <w:r>
            <w:rPr>
              <w:rStyle w:val="13"/>
              <w:rFonts w:hint="eastAsia" w:ascii="宋体" w:hAnsi="宋体" w:cs="宋体"/>
            </w:rPr>
            <w:t>危险源辨识</w:t>
          </w:r>
          <w:r>
            <w:tab/>
          </w:r>
          <w:r>
            <w:fldChar w:fldCharType="begin"/>
          </w:r>
          <w:r>
            <w:instrText xml:space="preserve"> PAGEREF _Toc13473765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"_Toc13473766" </w:instrText>
          </w:r>
          <w:r>
            <w:fldChar w:fldCharType="separate"/>
          </w:r>
          <w:r>
            <w:rPr>
              <w:rStyle w:val="13"/>
              <w:rFonts w:ascii="宋体" w:hAnsi="宋体" w:cs="宋体"/>
            </w:rPr>
            <w:t xml:space="preserve">6.4.1 </w:t>
          </w:r>
          <w:r>
            <w:rPr>
              <w:rStyle w:val="13"/>
              <w:rFonts w:hint="eastAsia" w:ascii="宋体" w:hAnsi="宋体" w:cs="宋体"/>
            </w:rPr>
            <w:t>辨识范围</w:t>
          </w:r>
          <w:r>
            <w:tab/>
          </w:r>
          <w:r>
            <w:fldChar w:fldCharType="begin"/>
          </w:r>
          <w:r>
            <w:instrText xml:space="preserve"> PAGEREF _Toc13473766 \h </w:instrText>
          </w:r>
          <w:r>
            <w:fldChar w:fldCharType="separate"/>
          </w:r>
          <w:r>
            <w:t>7</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"_Toc13473767" </w:instrText>
          </w:r>
          <w:r>
            <w:fldChar w:fldCharType="separate"/>
          </w:r>
          <w:r>
            <w:rPr>
              <w:rStyle w:val="13"/>
              <w:rFonts w:ascii="宋体" w:hAnsi="宋体" w:cs="宋体"/>
            </w:rPr>
            <w:t xml:space="preserve">6.4.2 </w:t>
          </w:r>
          <w:r>
            <w:rPr>
              <w:rStyle w:val="13"/>
              <w:rFonts w:hint="eastAsia" w:ascii="宋体" w:hAnsi="宋体" w:cs="宋体"/>
            </w:rPr>
            <w:t>辨识方法</w:t>
          </w:r>
          <w:r>
            <w:tab/>
          </w:r>
          <w:r>
            <w:fldChar w:fldCharType="begin"/>
          </w:r>
          <w:r>
            <w:instrText xml:space="preserve"> PAGEREF _Toc13473767 \h </w:instrText>
          </w:r>
          <w:r>
            <w:fldChar w:fldCharType="separate"/>
          </w:r>
          <w:r>
            <w:t>8</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"_Toc13473768" </w:instrText>
          </w:r>
          <w:r>
            <w:fldChar w:fldCharType="separate"/>
          </w:r>
          <w:r>
            <w:rPr>
              <w:rStyle w:val="13"/>
              <w:rFonts w:ascii="宋体" w:hAnsi="宋体" w:cs="宋体"/>
            </w:rPr>
            <w:t xml:space="preserve">6.4.3 </w:t>
          </w:r>
          <w:r>
            <w:rPr>
              <w:rStyle w:val="13"/>
              <w:rFonts w:hint="eastAsia" w:ascii="宋体" w:hAnsi="宋体" w:cs="宋体"/>
            </w:rPr>
            <w:t>辨识要求</w:t>
          </w:r>
          <w:r>
            <w:tab/>
          </w:r>
          <w:r>
            <w:fldChar w:fldCharType="begin"/>
          </w:r>
          <w:r>
            <w:instrText xml:space="preserve"> PAGEREF _Toc13473768 \h </w:instrText>
          </w:r>
          <w:r>
            <w:fldChar w:fldCharType="separate"/>
          </w:r>
          <w:r>
            <w:t>8</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"_Toc13473769" </w:instrText>
          </w:r>
          <w:r>
            <w:fldChar w:fldCharType="separate"/>
          </w:r>
          <w:r>
            <w:rPr>
              <w:rStyle w:val="13"/>
              <w:rFonts w:ascii="宋体" w:hAnsi="宋体" w:cs="宋体"/>
            </w:rPr>
            <w:t>6.5</w:t>
          </w:r>
          <w:r>
            <w:rPr>
              <w:rStyle w:val="13"/>
              <w:rFonts w:hint="eastAsia" w:ascii="宋体" w:hAnsi="宋体" w:cs="宋体"/>
            </w:rPr>
            <w:t>风险评估</w:t>
          </w:r>
          <w:r>
            <w:tab/>
          </w:r>
          <w:r>
            <w:fldChar w:fldCharType="begin"/>
          </w:r>
          <w:r>
            <w:instrText xml:space="preserve"> PAGEREF _Toc13473769 \h </w:instrText>
          </w:r>
          <w:r>
            <w:fldChar w:fldCharType="separate"/>
          </w:r>
          <w:r>
            <w:t>8</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"_Toc13473770" </w:instrText>
          </w:r>
          <w:r>
            <w:fldChar w:fldCharType="separate"/>
          </w:r>
          <w:r>
            <w:rPr>
              <w:rStyle w:val="13"/>
              <w:rFonts w:ascii="宋体" w:hAnsi="宋体" w:cs="宋体"/>
            </w:rPr>
            <w:t>6.6</w:t>
          </w:r>
          <w:r>
            <w:rPr>
              <w:rStyle w:val="13"/>
              <w:rFonts w:hint="eastAsia" w:ascii="宋体" w:hAnsi="宋体" w:cs="宋体"/>
            </w:rPr>
            <w:t>风险分级</w:t>
          </w:r>
          <w:r>
            <w:tab/>
          </w:r>
          <w:r>
            <w:fldChar w:fldCharType="begin"/>
          </w:r>
          <w:r>
            <w:instrText xml:space="preserve"> PAGEREF _Toc13473770 \h </w:instrText>
          </w:r>
          <w:r>
            <w:fldChar w:fldCharType="separate"/>
          </w:r>
          <w:r>
            <w:t>9</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"_Toc13473771" </w:instrText>
          </w:r>
          <w:r>
            <w:fldChar w:fldCharType="separate"/>
          </w:r>
          <w:r>
            <w:rPr>
              <w:rStyle w:val="13"/>
              <w:rFonts w:ascii="宋体" w:hAnsi="宋体" w:cs="宋体"/>
            </w:rPr>
            <w:t>6.6.1 LEC</w:t>
          </w:r>
          <w:r>
            <w:rPr>
              <w:rStyle w:val="13"/>
              <w:rFonts w:hint="eastAsia" w:ascii="宋体" w:hAnsi="宋体" w:cs="宋体"/>
            </w:rPr>
            <w:t>评价法（格雷厄姆评价法）</w:t>
          </w:r>
          <w:r>
            <w:tab/>
          </w:r>
          <w:r>
            <w:fldChar w:fldCharType="begin"/>
          </w:r>
          <w:r>
            <w:instrText xml:space="preserve"> PAGEREF _Toc13473771 \h </w:instrText>
          </w:r>
          <w:r>
            <w:fldChar w:fldCharType="separate"/>
          </w:r>
          <w:r>
            <w:t>10</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"_Toc13473772" </w:instrText>
          </w:r>
          <w:r>
            <w:fldChar w:fldCharType="separate"/>
          </w:r>
          <w:r>
            <w:rPr>
              <w:rStyle w:val="13"/>
              <w:rFonts w:ascii="宋体" w:hAnsi="宋体" w:cs="宋体"/>
            </w:rPr>
            <w:t xml:space="preserve">6.6.2 </w:t>
          </w:r>
          <w:r>
            <w:rPr>
              <w:rStyle w:val="13"/>
              <w:rFonts w:hint="eastAsia" w:ascii="宋体" w:hAnsi="宋体" w:cs="宋体"/>
            </w:rPr>
            <w:t>风险判定矩阵法</w:t>
          </w:r>
          <w:r>
            <w:tab/>
          </w:r>
          <w:r>
            <w:fldChar w:fldCharType="begin"/>
          </w:r>
          <w:r>
            <w:instrText xml:space="preserve"> PAGEREF _Toc13473772 \h </w:instrText>
          </w:r>
          <w:r>
            <w:fldChar w:fldCharType="separate"/>
          </w:r>
          <w:r>
            <w:t>10</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"_Toc13473773" </w:instrText>
          </w:r>
          <w:r>
            <w:fldChar w:fldCharType="separate"/>
          </w:r>
          <w:r>
            <w:rPr>
              <w:rStyle w:val="13"/>
              <w:rFonts w:ascii="宋体" w:hAnsi="宋体" w:cs="宋体"/>
            </w:rPr>
            <w:t>6.7</w:t>
          </w:r>
          <w:r>
            <w:rPr>
              <w:rStyle w:val="13"/>
              <w:rFonts w:hint="eastAsia" w:ascii="宋体" w:hAnsi="宋体" w:cs="宋体"/>
            </w:rPr>
            <w:t>制定风险清单</w:t>
          </w:r>
          <w:r>
            <w:tab/>
          </w:r>
          <w:r>
            <w:fldChar w:fldCharType="begin"/>
          </w:r>
          <w:r>
            <w:instrText xml:space="preserve"> PAGEREF _Toc13473773 \h </w:instrText>
          </w:r>
          <w:r>
            <w:fldChar w:fldCharType="separate"/>
          </w:r>
          <w:r>
            <w:t>11</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"_Toc13473774" </w:instrText>
          </w:r>
          <w:r>
            <w:fldChar w:fldCharType="separate"/>
          </w:r>
          <w:r>
            <w:rPr>
              <w:rStyle w:val="13"/>
              <w:rFonts w:ascii="宋体" w:hAnsi="宋体" w:cs="宋体"/>
            </w:rPr>
            <w:t>6.8</w:t>
          </w:r>
          <w:r>
            <w:rPr>
              <w:rStyle w:val="13"/>
              <w:rFonts w:hint="eastAsia" w:ascii="宋体" w:hAnsi="宋体" w:cs="宋体"/>
            </w:rPr>
            <w:t>风险分级管控</w:t>
          </w:r>
          <w:r>
            <w:tab/>
          </w:r>
          <w:r>
            <w:fldChar w:fldCharType="begin"/>
          </w:r>
          <w:r>
            <w:instrText xml:space="preserve"> PAGEREF _Toc13473774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"_Toc13473775" </w:instrText>
          </w:r>
          <w:r>
            <w:fldChar w:fldCharType="separate"/>
          </w:r>
          <w:r>
            <w:rPr>
              <w:rStyle w:val="13"/>
              <w:rFonts w:ascii="宋体" w:hAnsi="宋体" w:cs="宋体"/>
            </w:rPr>
            <w:t>6.8.1</w:t>
          </w:r>
          <w:r>
            <w:rPr>
              <w:rStyle w:val="13"/>
              <w:rFonts w:hint="eastAsia" w:ascii="宋体" w:hAnsi="宋体" w:cs="宋体"/>
            </w:rPr>
            <w:t>管控要求</w:t>
          </w:r>
          <w:r>
            <w:tab/>
          </w:r>
          <w:r>
            <w:fldChar w:fldCharType="begin"/>
          </w:r>
          <w:r>
            <w:instrText xml:space="preserve"> PAGEREF _Toc13473775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"_Toc13473776" </w:instrText>
          </w:r>
          <w:r>
            <w:fldChar w:fldCharType="separate"/>
          </w:r>
          <w:r>
            <w:rPr>
              <w:rStyle w:val="13"/>
              <w:rFonts w:ascii="宋体" w:hAnsi="宋体" w:cs="宋体"/>
            </w:rPr>
            <w:t xml:space="preserve">6.8.2 </w:t>
          </w:r>
          <w:r>
            <w:rPr>
              <w:rStyle w:val="13"/>
              <w:rFonts w:hint="eastAsia" w:ascii="宋体" w:hAnsi="宋体" w:cs="宋体"/>
            </w:rPr>
            <w:t>风险管控措施类别</w:t>
          </w:r>
          <w:r>
            <w:tab/>
          </w:r>
          <w:r>
            <w:fldChar w:fldCharType="begin"/>
          </w:r>
          <w:r>
            <w:instrText xml:space="preserve"> PAGEREF _Toc13473776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"_Toc13473777" </w:instrText>
          </w:r>
          <w:r>
            <w:fldChar w:fldCharType="separate"/>
          </w:r>
          <w:r>
            <w:rPr>
              <w:rStyle w:val="13"/>
              <w:rFonts w:ascii="宋体" w:hAnsi="宋体" w:cs="宋体"/>
            </w:rPr>
            <w:t xml:space="preserve">6.8.3 </w:t>
          </w:r>
          <w:r>
            <w:rPr>
              <w:rStyle w:val="13"/>
              <w:rFonts w:hint="eastAsia" w:ascii="宋体" w:hAnsi="宋体" w:cs="宋体"/>
            </w:rPr>
            <w:t>管控措施制定原则及评审</w:t>
          </w:r>
          <w:r>
            <w:tab/>
          </w:r>
          <w:r>
            <w:fldChar w:fldCharType="begin"/>
          </w:r>
          <w:r>
            <w:instrText xml:space="preserve"> PAGEREF _Toc13473777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"_Toc13473778" </w:instrText>
          </w:r>
          <w:r>
            <w:fldChar w:fldCharType="separate"/>
          </w:r>
          <w:r>
            <w:rPr>
              <w:rStyle w:val="13"/>
              <w:rFonts w:ascii="宋体" w:hAnsi="宋体" w:cs="宋体"/>
            </w:rPr>
            <w:t xml:space="preserve">6.8.4 </w:t>
          </w:r>
          <w:r>
            <w:rPr>
              <w:rStyle w:val="13"/>
              <w:rFonts w:hint="eastAsia" w:ascii="宋体" w:hAnsi="宋体" w:cs="宋体"/>
            </w:rPr>
            <w:t>风险告知</w:t>
          </w:r>
          <w:r>
            <w:tab/>
          </w:r>
          <w:r>
            <w:fldChar w:fldCharType="begin"/>
          </w:r>
          <w:r>
            <w:instrText xml:space="preserve"> PAGEREF _Toc13473778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"_Toc13473779" </w:instrText>
          </w:r>
          <w:r>
            <w:fldChar w:fldCharType="separate"/>
          </w:r>
          <w:r>
            <w:rPr>
              <w:rStyle w:val="13"/>
              <w:rFonts w:ascii="宋体" w:hAnsi="宋体" w:cs="宋体"/>
            </w:rPr>
            <w:t xml:space="preserve">6.8.5 </w:t>
          </w:r>
          <w:r>
            <w:rPr>
              <w:rStyle w:val="13"/>
              <w:rFonts w:hint="eastAsia" w:ascii="宋体" w:hAnsi="宋体" w:cs="宋体"/>
            </w:rPr>
            <w:t>重大风险管控措施</w:t>
          </w:r>
          <w:r>
            <w:tab/>
          </w:r>
          <w:r>
            <w:fldChar w:fldCharType="begin"/>
          </w:r>
          <w:r>
            <w:instrText xml:space="preserve"> PAGEREF _Toc13473779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"_Toc13473780" </w:instrText>
          </w:r>
          <w:r>
            <w:fldChar w:fldCharType="separate"/>
          </w:r>
          <w:r>
            <w:rPr>
              <w:rStyle w:val="13"/>
              <w:rFonts w:ascii="宋体" w:hAnsi="宋体" w:cs="宋体"/>
            </w:rPr>
            <w:t>6.9</w:t>
          </w:r>
          <w:r>
            <w:rPr>
              <w:rStyle w:val="13"/>
              <w:rFonts w:hint="eastAsia" w:ascii="宋体" w:hAnsi="宋体" w:cs="宋体"/>
            </w:rPr>
            <w:t>绘制本公司安全风险图</w:t>
          </w:r>
          <w:r>
            <w:tab/>
          </w:r>
          <w:r>
            <w:fldChar w:fldCharType="begin"/>
          </w:r>
          <w:r>
            <w:instrText xml:space="preserve"> PAGEREF _Toc13473780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"_Toc13473781" </w:instrText>
          </w:r>
          <w:r>
            <w:fldChar w:fldCharType="separate"/>
          </w:r>
          <w:r>
            <w:rPr>
              <w:rStyle w:val="13"/>
              <w:rFonts w:ascii="宋体" w:hAnsi="宋体" w:cs="宋体"/>
            </w:rPr>
            <w:t>6.9.1</w:t>
          </w:r>
          <w:r>
            <w:rPr>
              <w:rStyle w:val="13"/>
              <w:rFonts w:hint="eastAsia" w:ascii="宋体" w:hAnsi="宋体" w:cs="宋体"/>
            </w:rPr>
            <w:t>安全风险四色分布图</w:t>
          </w:r>
          <w:r>
            <w:tab/>
          </w:r>
          <w:r>
            <w:fldChar w:fldCharType="begin"/>
          </w:r>
          <w:r>
            <w:instrText xml:space="preserve"> PAGEREF _Toc13473781 \h </w:instrText>
          </w:r>
          <w:r>
            <w:fldChar w:fldCharType="separate"/>
          </w:r>
          <w:r>
            <w:t>12</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"_Toc13473782" </w:instrText>
          </w:r>
          <w:r>
            <w:fldChar w:fldCharType="separate"/>
          </w:r>
          <w:r>
            <w:rPr>
              <w:rStyle w:val="13"/>
              <w:rFonts w:ascii="宋体" w:hAnsi="宋体" w:cs="宋体"/>
            </w:rPr>
            <w:t>6.9.2</w:t>
          </w:r>
          <w:r>
            <w:rPr>
              <w:rStyle w:val="13"/>
              <w:rFonts w:hint="eastAsia" w:ascii="宋体" w:hAnsi="宋体" w:cs="宋体"/>
            </w:rPr>
            <w:t>作业安全风险比较图</w:t>
          </w:r>
          <w:r>
            <w:tab/>
          </w:r>
          <w:r>
            <w:fldChar w:fldCharType="begin"/>
          </w:r>
          <w:r>
            <w:instrText xml:space="preserve"> PAGEREF _Toc13473782 \h </w:instrText>
          </w:r>
          <w:r>
            <w:fldChar w:fldCharType="separate"/>
          </w:r>
          <w:r>
            <w:t>13</w:t>
          </w:r>
          <w:r>
            <w:fldChar w:fldCharType="end"/>
          </w:r>
          <w:r>
            <w:fldChar w:fldCharType="end"/>
          </w:r>
        </w:p>
        <w:p>
          <w:pPr>
            <w:pStyle w:val="9"/>
            <w:tabs>
              <w:tab w:val="right" w:leader="dot" w:pos="9230"/>
            </w:tabs>
            <w:rPr>
              <w:rFonts w:asciiTheme="minorHAnsi" w:hAnsiTheme="minorHAnsi" w:eastAsiaTheme="minorEastAsia" w:cstheme="minorBidi"/>
            </w:rPr>
          </w:pPr>
          <w:r>
            <w:fldChar w:fldCharType="begin"/>
          </w:r>
          <w:r>
            <w:instrText xml:space="preserve"> HYPERLINK \l "_Toc13473783" </w:instrText>
          </w:r>
          <w:r>
            <w:fldChar w:fldCharType="separate"/>
          </w:r>
          <w:r>
            <w:rPr>
              <w:rStyle w:val="13"/>
              <w:rFonts w:ascii="宋体" w:hAnsi="宋体" w:cs="宋体"/>
            </w:rPr>
            <w:t xml:space="preserve">6.10 </w:t>
          </w:r>
          <w:r>
            <w:rPr>
              <w:rStyle w:val="13"/>
              <w:rFonts w:hint="eastAsia" w:ascii="宋体" w:hAnsi="宋体" w:cs="宋体"/>
            </w:rPr>
            <w:t>形成风险分级管控运行机制</w:t>
          </w:r>
          <w:r>
            <w:tab/>
          </w:r>
          <w:r>
            <w:fldChar w:fldCharType="begin"/>
          </w:r>
          <w:r>
            <w:instrText xml:space="preserve"> PAGEREF _Toc13473783 \h </w:instrText>
          </w:r>
          <w:r>
            <w:fldChar w:fldCharType="separate"/>
          </w:r>
          <w:r>
            <w:t>13</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"_Toc13473784" </w:instrText>
          </w:r>
          <w:r>
            <w:fldChar w:fldCharType="separate"/>
          </w:r>
          <w:r>
            <w:rPr>
              <w:rStyle w:val="13"/>
              <w:rFonts w:ascii="宋体" w:hAnsi="宋体" w:cs="宋体"/>
            </w:rPr>
            <w:t xml:space="preserve">6.10.1 </w:t>
          </w:r>
          <w:r>
            <w:rPr>
              <w:rStyle w:val="13"/>
              <w:rFonts w:hint="eastAsia" w:ascii="宋体" w:hAnsi="宋体" w:cs="宋体"/>
            </w:rPr>
            <w:t>运行效果评价</w:t>
          </w:r>
          <w:r>
            <w:tab/>
          </w:r>
          <w:r>
            <w:fldChar w:fldCharType="begin"/>
          </w:r>
          <w:r>
            <w:instrText xml:space="preserve"> PAGEREF _Toc13473784 \h </w:instrText>
          </w:r>
          <w:r>
            <w:fldChar w:fldCharType="separate"/>
          </w:r>
          <w:r>
            <w:t>13</w:t>
          </w:r>
          <w:r>
            <w:fldChar w:fldCharType="end"/>
          </w:r>
          <w:r>
            <w:fldChar w:fldCharType="end"/>
          </w:r>
        </w:p>
        <w:p>
          <w:pPr>
            <w:pStyle w:val="9"/>
            <w:tabs>
              <w:tab w:val="right" w:leader="dot" w:pos="9230"/>
            </w:tabs>
            <w:rPr>
              <w:rFonts w:asciiTheme="minorHAnsi" w:hAnsiTheme="minorHAnsi" w:eastAsiaTheme="minorEastAsia" w:cstheme="minorBidi"/>
            </w:rPr>
          </w:pPr>
          <w:r>
            <w:fldChar w:fldCharType="begin"/>
          </w:r>
          <w:r>
            <w:instrText xml:space="preserve"> HYPERLINK \l "_Toc13473785" </w:instrText>
          </w:r>
          <w:r>
            <w:fldChar w:fldCharType="separate"/>
          </w:r>
          <w:r>
            <w:rPr>
              <w:rStyle w:val="13"/>
              <w:rFonts w:ascii="宋体" w:hAnsi="宋体" w:cs="宋体"/>
            </w:rPr>
            <w:t xml:space="preserve">6.11 </w:t>
          </w:r>
          <w:r>
            <w:rPr>
              <w:rStyle w:val="13"/>
              <w:rFonts w:hint="eastAsia" w:ascii="宋体" w:hAnsi="宋体" w:cs="宋体"/>
            </w:rPr>
            <w:t>隐患排查治理</w:t>
          </w:r>
          <w:r>
            <w:tab/>
          </w:r>
          <w:r>
            <w:fldChar w:fldCharType="begin"/>
          </w:r>
          <w:r>
            <w:instrText xml:space="preserve"> PAGEREF _Toc13473785 \h </w:instrText>
          </w:r>
          <w:r>
            <w:fldChar w:fldCharType="separate"/>
          </w:r>
          <w:r>
            <w:t>13</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"_Toc13473786" </w:instrText>
          </w:r>
          <w:r>
            <w:fldChar w:fldCharType="separate"/>
          </w:r>
          <w:r>
            <w:rPr>
              <w:rStyle w:val="13"/>
              <w:rFonts w:ascii="宋体" w:hAnsi="宋体" w:cs="宋体"/>
            </w:rPr>
            <w:t>6.11.1</w:t>
          </w:r>
          <w:r>
            <w:rPr>
              <w:rStyle w:val="13"/>
              <w:rFonts w:hint="eastAsia" w:ascii="宋体" w:hAnsi="宋体" w:cs="宋体"/>
            </w:rPr>
            <w:t>建立完善隐患排查治理制度</w:t>
          </w:r>
          <w:r>
            <w:tab/>
          </w:r>
          <w:r>
            <w:fldChar w:fldCharType="begin"/>
          </w:r>
          <w:r>
            <w:instrText xml:space="preserve"> PAGEREF _Toc13473786 \h </w:instrText>
          </w:r>
          <w:r>
            <w:fldChar w:fldCharType="separate"/>
          </w:r>
          <w:r>
            <w:t>13</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"_Toc13473787" </w:instrText>
          </w:r>
          <w:r>
            <w:fldChar w:fldCharType="separate"/>
          </w:r>
          <w:r>
            <w:rPr>
              <w:rStyle w:val="13"/>
              <w:rFonts w:ascii="宋体" w:hAnsi="宋体" w:cs="宋体"/>
            </w:rPr>
            <w:t>6.11.2</w:t>
          </w:r>
          <w:r>
            <w:rPr>
              <w:rStyle w:val="13"/>
              <w:rFonts w:hint="eastAsia" w:ascii="宋体" w:hAnsi="宋体" w:cs="宋体"/>
            </w:rPr>
            <w:t>隐患排查</w:t>
          </w:r>
          <w:r>
            <w:tab/>
          </w:r>
          <w:r>
            <w:fldChar w:fldCharType="begin"/>
          </w:r>
          <w:r>
            <w:instrText xml:space="preserve"> PAGEREF _Toc13473787 \h </w:instrText>
          </w:r>
          <w:r>
            <w:fldChar w:fldCharType="separate"/>
          </w:r>
          <w:r>
            <w:t>13</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"_Toc13473788" </w:instrText>
          </w:r>
          <w:r>
            <w:fldChar w:fldCharType="separate"/>
          </w:r>
          <w:r>
            <w:rPr>
              <w:rStyle w:val="13"/>
              <w:rFonts w:ascii="宋体" w:hAnsi="宋体" w:cs="宋体"/>
            </w:rPr>
            <w:t xml:space="preserve">6.11.3 </w:t>
          </w:r>
          <w:r>
            <w:rPr>
              <w:rStyle w:val="13"/>
              <w:rFonts w:hint="eastAsia" w:ascii="宋体" w:hAnsi="宋体" w:cs="宋体"/>
            </w:rPr>
            <w:t>隐患治理</w:t>
          </w:r>
          <w:r>
            <w:tab/>
          </w:r>
          <w:r>
            <w:fldChar w:fldCharType="begin"/>
          </w:r>
          <w:r>
            <w:instrText xml:space="preserve"> PAGEREF _Toc13473788 \h </w:instrText>
          </w:r>
          <w:r>
            <w:fldChar w:fldCharType="separate"/>
          </w:r>
          <w:r>
            <w:t>13</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"_Toc13473789" </w:instrText>
          </w:r>
          <w:r>
            <w:fldChar w:fldCharType="separate"/>
          </w:r>
          <w:r>
            <w:rPr>
              <w:rStyle w:val="13"/>
              <w:rFonts w:ascii="宋体" w:hAnsi="宋体" w:cs="宋体"/>
            </w:rPr>
            <w:t xml:space="preserve">6.11.4 </w:t>
          </w:r>
          <w:r>
            <w:rPr>
              <w:rStyle w:val="13"/>
              <w:rFonts w:hint="eastAsia" w:ascii="宋体" w:hAnsi="宋体" w:cs="宋体"/>
            </w:rPr>
            <w:t>评估验收</w:t>
          </w:r>
          <w:r>
            <w:tab/>
          </w:r>
          <w:r>
            <w:fldChar w:fldCharType="begin"/>
          </w:r>
          <w:r>
            <w:instrText xml:space="preserve"> PAGEREF _Toc13473789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"_Toc13473790" </w:instrText>
          </w:r>
          <w:r>
            <w:fldChar w:fldCharType="separate"/>
          </w:r>
          <w:r>
            <w:rPr>
              <w:rStyle w:val="13"/>
              <w:rFonts w:ascii="宋体" w:hAnsi="宋体" w:cs="宋体"/>
            </w:rPr>
            <w:t>6.11.5</w:t>
          </w:r>
          <w:r>
            <w:rPr>
              <w:rStyle w:val="13"/>
              <w:rFonts w:hint="eastAsia" w:ascii="宋体" w:hAnsi="宋体" w:cs="宋体"/>
            </w:rPr>
            <w:t>信息记录、通报和报送</w:t>
          </w:r>
          <w:r>
            <w:tab/>
          </w:r>
          <w:r>
            <w:fldChar w:fldCharType="begin"/>
          </w:r>
          <w:r>
            <w:instrText xml:space="preserve"> PAGEREF _Toc13473790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"_Toc13473791" </w:instrText>
          </w:r>
          <w:r>
            <w:fldChar w:fldCharType="separate"/>
          </w:r>
          <w:r>
            <w:rPr>
              <w:rStyle w:val="13"/>
              <w:rFonts w:ascii="宋体" w:hAnsi="宋体" w:cs="宋体"/>
            </w:rPr>
            <w:t xml:space="preserve">6.12 </w:t>
          </w:r>
          <w:r>
            <w:rPr>
              <w:rStyle w:val="13"/>
              <w:rFonts w:hint="eastAsia" w:ascii="宋体" w:hAnsi="宋体" w:cs="宋体"/>
            </w:rPr>
            <w:t>双重预防机制运行评估</w:t>
          </w:r>
          <w:r>
            <w:tab/>
          </w:r>
          <w:r>
            <w:fldChar w:fldCharType="begin"/>
          </w:r>
          <w:r>
            <w:instrText xml:space="preserve"> PAGEREF _Toc13473791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"_Toc13473792" </w:instrText>
          </w:r>
          <w:r>
            <w:fldChar w:fldCharType="separate"/>
          </w:r>
          <w:r>
            <w:rPr>
              <w:rStyle w:val="13"/>
              <w:rFonts w:ascii="宋体" w:hAnsi="宋体" w:cs="宋体"/>
            </w:rPr>
            <w:t xml:space="preserve">6.13 </w:t>
          </w:r>
          <w:r>
            <w:rPr>
              <w:rStyle w:val="13"/>
              <w:rFonts w:hint="eastAsia" w:ascii="宋体" w:hAnsi="宋体" w:cs="宋体"/>
            </w:rPr>
            <w:t>持续改进</w:t>
          </w:r>
          <w:r>
            <w:tab/>
          </w:r>
          <w:r>
            <w:fldChar w:fldCharType="begin"/>
          </w:r>
          <w:r>
            <w:instrText xml:space="preserve"> PAGEREF _Toc13473792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"_Toc13473793" </w:instrText>
          </w:r>
          <w:r>
            <w:fldChar w:fldCharType="separate"/>
          </w:r>
          <w:r>
            <w:rPr>
              <w:rStyle w:val="13"/>
              <w:rFonts w:ascii="宋体" w:hAnsi="宋体" w:cs="宋体"/>
            </w:rPr>
            <w:t xml:space="preserve">6.13.1 </w:t>
          </w:r>
          <w:r>
            <w:rPr>
              <w:rStyle w:val="13"/>
              <w:rFonts w:hint="eastAsia" w:ascii="宋体" w:hAnsi="宋体" w:cs="宋体"/>
            </w:rPr>
            <w:t>定期更新</w:t>
          </w:r>
          <w:r>
            <w:tab/>
          </w:r>
          <w:r>
            <w:fldChar w:fldCharType="begin"/>
          </w:r>
          <w:r>
            <w:instrText xml:space="preserve"> PAGEREF _Toc13473793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"_Toc13473794" </w:instrText>
          </w:r>
          <w:r>
            <w:fldChar w:fldCharType="separate"/>
          </w:r>
          <w:r>
            <w:rPr>
              <w:rStyle w:val="13"/>
              <w:rFonts w:ascii="宋体" w:hAnsi="宋体" w:cs="宋体"/>
            </w:rPr>
            <w:t xml:space="preserve">6.13.2 </w:t>
          </w:r>
          <w:r>
            <w:rPr>
              <w:rStyle w:val="13"/>
              <w:rFonts w:hint="eastAsia" w:ascii="宋体" w:hAnsi="宋体" w:cs="宋体"/>
            </w:rPr>
            <w:t>体系间的融合</w:t>
          </w:r>
          <w:r>
            <w:tab/>
          </w:r>
          <w:r>
            <w:fldChar w:fldCharType="begin"/>
          </w:r>
          <w:r>
            <w:instrText xml:space="preserve"> PAGEREF _Toc13473794 \h </w:instrText>
          </w:r>
          <w:r>
            <w:fldChar w:fldCharType="separate"/>
          </w:r>
          <w:r>
            <w:t>14</w:t>
          </w:r>
          <w:r>
            <w:fldChar w:fldCharType="end"/>
          </w:r>
          <w:r>
            <w:fldChar w:fldCharType="end"/>
          </w:r>
        </w:p>
        <w:p>
          <w:pPr>
            <w:pStyle w:val="8"/>
            <w:tabs>
              <w:tab w:val="right" w:leader="dot" w:pos="9230"/>
            </w:tabs>
            <w:rPr>
              <w:rFonts w:asciiTheme="minorHAnsi" w:hAnsiTheme="minorHAnsi" w:eastAsiaTheme="minorEastAsia" w:cstheme="minorBidi"/>
            </w:rPr>
          </w:pPr>
          <w:r>
            <w:fldChar w:fldCharType="begin"/>
          </w:r>
          <w:r>
            <w:instrText xml:space="preserve"> HYPERLINK \l "_Toc13473795" </w:instrText>
          </w:r>
          <w:r>
            <w:fldChar w:fldCharType="separate"/>
          </w:r>
          <w:r>
            <w:rPr>
              <w:rStyle w:val="13"/>
              <w:rFonts w:ascii="宋体" w:hAnsi="宋体" w:cs="宋体"/>
            </w:rPr>
            <w:t>7.</w:t>
          </w:r>
          <w:r>
            <w:rPr>
              <w:rStyle w:val="13"/>
              <w:rFonts w:hint="eastAsia" w:ascii="宋体" w:hAnsi="宋体" w:cs="宋体"/>
            </w:rPr>
            <w:t>责任要求</w:t>
          </w:r>
          <w:r>
            <w:tab/>
          </w:r>
          <w:r>
            <w:fldChar w:fldCharType="begin"/>
          </w:r>
          <w:r>
            <w:instrText xml:space="preserve"> PAGEREF _Toc13473795 \h </w:instrText>
          </w:r>
          <w:r>
            <w:fldChar w:fldCharType="separate"/>
          </w:r>
          <w:r>
            <w:t>15</w:t>
          </w:r>
          <w:r>
            <w:fldChar w:fldCharType="end"/>
          </w:r>
          <w:r>
            <w:fldChar w:fldCharType="end"/>
          </w:r>
        </w:p>
        <w:p>
          <w:r>
            <w:rPr>
              <w:b/>
              <w:bCs/>
              <w:lang w:val="zh-CN"/>
            </w:rPr>
            <w:fldChar w:fldCharType="end"/>
          </w:r>
        </w:p>
      </w:sdtContent>
    </w:sdt>
    <w:p/>
    <w:p>
      <w:r>
        <w:rPr>
          <w:rFonts w:hint="eastAsia"/>
        </w:rPr>
        <w:br w:type="page"/>
      </w:r>
    </w:p>
    <w:p>
      <w:pPr>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建立安全风险分级管控和隐患排查</w:t>
      </w:r>
    </w:p>
    <w:p>
      <w:pPr>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治理双重预防机制手册</w:t>
      </w:r>
    </w:p>
    <w:p>
      <w:pPr>
        <w:pStyle w:val="2"/>
        <w:spacing w:before="156" w:beforeLines="50" w:after="156" w:afterLines="50" w:line="240" w:lineRule="auto"/>
        <w:rPr>
          <w:rFonts w:ascii="宋体" w:hAnsi="宋体" w:cs="宋体"/>
          <w:kern w:val="2"/>
          <w:sz w:val="21"/>
          <w:szCs w:val="21"/>
        </w:rPr>
      </w:pPr>
      <w:bookmarkStart w:id="0" w:name="_Toc13473733"/>
      <w:bookmarkStart w:id="1" w:name="_Toc13473578"/>
      <w:r>
        <w:rPr>
          <w:rFonts w:hint="eastAsia" w:ascii="宋体" w:hAnsi="宋体" w:cs="宋体"/>
          <w:kern w:val="2"/>
          <w:sz w:val="21"/>
          <w:szCs w:val="21"/>
        </w:rPr>
        <w:t>1  范围</w:t>
      </w:r>
      <w:bookmarkEnd w:id="0"/>
      <w:bookmarkEnd w:id="1"/>
    </w:p>
    <w:p>
      <w:pPr>
        <w:rPr>
          <w:rFonts w:ascii="宋体" w:hAnsi="宋体" w:cs="宋体"/>
          <w:szCs w:val="21"/>
        </w:rPr>
      </w:pPr>
      <w:r>
        <w:rPr>
          <w:rFonts w:hint="eastAsia" w:ascii="宋体" w:hAnsi="宋体" w:cs="宋体"/>
          <w:szCs w:val="21"/>
        </w:rPr>
        <w:t xml:space="preserve">    本手册规定了本公司范围内双重预防机制建设的基本要求。</w:t>
      </w:r>
    </w:p>
    <w:p>
      <w:pPr>
        <w:pStyle w:val="2"/>
        <w:spacing w:before="156" w:beforeLines="50" w:after="156" w:afterLines="50" w:line="240" w:lineRule="auto"/>
        <w:rPr>
          <w:rFonts w:ascii="宋体" w:hAnsi="宋体" w:cs="宋体"/>
          <w:kern w:val="2"/>
          <w:sz w:val="21"/>
          <w:szCs w:val="21"/>
        </w:rPr>
      </w:pPr>
      <w:bookmarkStart w:id="2" w:name="_Toc13473579"/>
      <w:bookmarkStart w:id="3" w:name="_Toc13473734"/>
      <w:r>
        <w:rPr>
          <w:rFonts w:hint="eastAsia" w:ascii="宋体" w:hAnsi="宋体" w:cs="宋体"/>
          <w:kern w:val="2"/>
          <w:sz w:val="21"/>
          <w:szCs w:val="21"/>
        </w:rPr>
        <w:t>2 规范性引用文件</w:t>
      </w:r>
      <w:bookmarkEnd w:id="2"/>
      <w:bookmarkEnd w:id="3"/>
    </w:p>
    <w:p>
      <w:pPr>
        <w:pStyle w:val="18"/>
        <w:ind w:firstLine="0" w:firstLineChars="0"/>
        <w:rPr>
          <w:rFonts w:hAnsi="宋体" w:cs="宋体"/>
          <w:szCs w:val="21"/>
        </w:rPr>
      </w:pPr>
      <w:r>
        <w:rPr>
          <w:rFonts w:hint="eastAsia" w:hAnsi="宋体" w:cs="宋体"/>
          <w:szCs w:val="21"/>
        </w:rPr>
        <w:t xml:space="preserve">    下列文件对于本手册的应用是必不可少的。凡是注明日期的引用文件，仅注明日期的版本适用于本标准。凡是不注明日期的引用文件，其最新版本（包括所有的修改单）适用于本手册。</w:t>
      </w:r>
    </w:p>
    <w:p>
      <w:pPr>
        <w:ind w:left="420" w:leftChars="200"/>
        <w:rPr>
          <w:rFonts w:ascii="宋体" w:hAnsi="宋体" w:cs="宋体"/>
          <w:szCs w:val="21"/>
        </w:rPr>
      </w:pPr>
      <w:r>
        <w:rPr>
          <w:rFonts w:hint="eastAsia" w:ascii="宋体" w:hAnsi="宋体" w:cs="宋体"/>
          <w:szCs w:val="21"/>
        </w:rPr>
        <w:t>GB/T 23694-2013  风险管理术语</w:t>
      </w:r>
    </w:p>
    <w:p>
      <w:pPr>
        <w:ind w:left="420" w:leftChars="200"/>
        <w:rPr>
          <w:rFonts w:ascii="宋体" w:hAnsi="宋体" w:cs="宋体"/>
          <w:szCs w:val="21"/>
        </w:rPr>
      </w:pPr>
      <w:r>
        <w:rPr>
          <w:rFonts w:hint="eastAsia" w:ascii="宋体" w:hAnsi="宋体" w:cs="宋体"/>
          <w:szCs w:val="21"/>
        </w:rPr>
        <w:t>GB/T 27921-2011  风险管理风险评估技术</w:t>
      </w:r>
    </w:p>
    <w:p>
      <w:pPr>
        <w:ind w:left="420" w:leftChars="200"/>
        <w:rPr>
          <w:rFonts w:ascii="宋体" w:hAnsi="宋体" w:cs="宋体"/>
          <w:szCs w:val="21"/>
        </w:rPr>
      </w:pPr>
      <w:r>
        <w:rPr>
          <w:rFonts w:hint="eastAsia" w:ascii="宋体" w:hAnsi="宋体" w:cs="宋体"/>
          <w:szCs w:val="21"/>
        </w:rPr>
        <w:t>GB 18218-2014  危险化学品重大危险源辨识</w:t>
      </w:r>
    </w:p>
    <w:p>
      <w:pPr>
        <w:ind w:left="420" w:leftChars="200"/>
        <w:rPr>
          <w:rFonts w:ascii="宋体" w:hAnsi="宋体" w:cs="宋体"/>
          <w:szCs w:val="21"/>
        </w:rPr>
      </w:pPr>
      <w:r>
        <w:rPr>
          <w:rFonts w:hint="eastAsia" w:ascii="宋体" w:hAnsi="宋体" w:cs="宋体"/>
          <w:szCs w:val="21"/>
        </w:rPr>
        <w:t>GB/T 33000-2016  本公司安全生产标准化基本规范</w:t>
      </w:r>
    </w:p>
    <w:p>
      <w:pPr>
        <w:ind w:left="420" w:leftChars="200"/>
        <w:rPr>
          <w:rFonts w:ascii="宋体" w:hAnsi="宋体" w:cs="宋体"/>
          <w:szCs w:val="21"/>
        </w:rPr>
      </w:pPr>
      <w:r>
        <w:rPr>
          <w:rFonts w:hint="eastAsia" w:ascii="宋体" w:hAnsi="宋体" w:cs="宋体"/>
          <w:szCs w:val="21"/>
        </w:rPr>
        <w:t>GB6441-1986  本公司伤亡事故分类</w:t>
      </w:r>
    </w:p>
    <w:p>
      <w:pPr>
        <w:ind w:left="420" w:leftChars="200"/>
        <w:rPr>
          <w:rFonts w:ascii="宋体" w:hAnsi="宋体" w:cs="宋体"/>
          <w:szCs w:val="21"/>
        </w:rPr>
      </w:pPr>
      <w:r>
        <w:rPr>
          <w:rFonts w:hint="eastAsia" w:ascii="宋体" w:hAnsi="宋体" w:cs="宋体"/>
          <w:szCs w:val="21"/>
        </w:rPr>
        <w:t xml:space="preserve">GB/T 13861-2009  </w:t>
      </w:r>
      <w:r>
        <w:fldChar w:fldCharType="begin"/>
      </w:r>
      <w:r>
        <w:instrText xml:space="preserve"> HYPERLINK "http://www.baidu.com/link?url=4q03iKXNgUowosYJgEuqwR5hVPvgn3Kf6jccmrDT1MFBg19yVskjkYmrISdlE86PNodUA66Inxcmz06McFCXCPICMWt1csFPGYHqRSvmRf3" \t "_blank" </w:instrText>
      </w:r>
      <w:r>
        <w:fldChar w:fldCharType="separate"/>
      </w:r>
      <w:r>
        <w:rPr>
          <w:rFonts w:hint="eastAsia" w:ascii="宋体" w:hAnsi="宋体" w:cs="宋体"/>
          <w:szCs w:val="21"/>
        </w:rPr>
        <w:t>生产过程危险和有害因素分类与代码</w:t>
      </w:r>
      <w:r>
        <w:rPr>
          <w:rFonts w:hint="eastAsia" w:ascii="宋体" w:hAnsi="宋体" w:cs="宋体"/>
          <w:szCs w:val="21"/>
        </w:rPr>
        <w:fldChar w:fldCharType="end"/>
      </w:r>
    </w:p>
    <w:p>
      <w:pPr>
        <w:ind w:left="420" w:leftChars="200"/>
        <w:rPr>
          <w:rFonts w:ascii="宋体" w:hAnsi="宋体" w:cs="宋体"/>
          <w:szCs w:val="21"/>
        </w:rPr>
      </w:pPr>
      <w:r>
        <w:rPr>
          <w:rFonts w:hint="eastAsia" w:ascii="宋体" w:hAnsi="宋体" w:cs="宋体"/>
          <w:szCs w:val="21"/>
        </w:rPr>
        <w:t>AQ 8001-2007  安全评价通则</w:t>
      </w:r>
    </w:p>
    <w:p>
      <w:pPr>
        <w:pStyle w:val="2"/>
        <w:spacing w:before="156" w:beforeLines="50" w:after="156" w:afterLines="50" w:line="240" w:lineRule="auto"/>
        <w:rPr>
          <w:rFonts w:ascii="宋体" w:hAnsi="宋体" w:cs="宋体"/>
          <w:kern w:val="2"/>
          <w:sz w:val="21"/>
          <w:szCs w:val="21"/>
        </w:rPr>
      </w:pPr>
      <w:bookmarkStart w:id="4" w:name="_Toc13473735"/>
      <w:r>
        <w:rPr>
          <w:rFonts w:hint="eastAsia" w:ascii="宋体" w:hAnsi="宋体" w:cs="宋体"/>
          <w:kern w:val="2"/>
          <w:sz w:val="21"/>
          <w:szCs w:val="21"/>
        </w:rPr>
        <w:t>3 术语和定义</w:t>
      </w:r>
      <w:bookmarkEnd w:id="4"/>
    </w:p>
    <w:p>
      <w:pPr>
        <w:pStyle w:val="2"/>
        <w:spacing w:before="156" w:beforeLines="50" w:after="156" w:afterLines="50" w:line="240" w:lineRule="auto"/>
        <w:rPr>
          <w:rFonts w:ascii="宋体" w:hAnsi="宋体" w:cs="宋体"/>
          <w:kern w:val="2"/>
          <w:sz w:val="21"/>
          <w:szCs w:val="21"/>
        </w:rPr>
      </w:pPr>
      <w:bookmarkStart w:id="5" w:name="_Toc13473736"/>
      <w:r>
        <w:rPr>
          <w:rFonts w:hint="eastAsia" w:ascii="宋体" w:hAnsi="宋体" w:cs="宋体"/>
          <w:kern w:val="2"/>
          <w:sz w:val="21"/>
          <w:szCs w:val="21"/>
        </w:rPr>
        <w:t>3.1 风险</w:t>
      </w:r>
      <w:bookmarkEnd w:id="5"/>
    </w:p>
    <w:p>
      <w:pPr>
        <w:rPr>
          <w:rFonts w:ascii="宋体" w:hAnsi="宋体" w:cs="宋体"/>
          <w:szCs w:val="21"/>
        </w:rPr>
      </w:pPr>
      <w:r>
        <w:rPr>
          <w:rFonts w:hint="eastAsia" w:ascii="宋体" w:hAnsi="宋体" w:cs="宋体"/>
          <w:szCs w:val="21"/>
        </w:rPr>
        <w:t xml:space="preserve">    生产安全事故或健康损害事件发生的可能性和严重性的组合。可能性，是指事故（事件）发生的概率。严重性，是指事故（事件）一旦发生后，将造成的人员伤害和经济损失的严重程度。</w:t>
      </w:r>
    </w:p>
    <w:p>
      <w:pPr>
        <w:pStyle w:val="2"/>
        <w:spacing w:before="156" w:beforeLines="50" w:after="156" w:afterLines="50" w:line="240" w:lineRule="auto"/>
        <w:rPr>
          <w:rFonts w:ascii="宋体" w:hAnsi="宋体" w:cs="宋体"/>
          <w:kern w:val="2"/>
          <w:sz w:val="21"/>
          <w:szCs w:val="21"/>
        </w:rPr>
      </w:pPr>
      <w:bookmarkStart w:id="6" w:name="_Toc13473737"/>
      <w:r>
        <w:rPr>
          <w:rFonts w:hint="eastAsia" w:ascii="宋体" w:hAnsi="宋体" w:cs="宋体"/>
          <w:kern w:val="2"/>
          <w:sz w:val="21"/>
          <w:szCs w:val="21"/>
        </w:rPr>
        <w:t>3.2 可接受风险</w:t>
      </w:r>
      <w:bookmarkEnd w:id="6"/>
    </w:p>
    <w:p>
      <w:pPr>
        <w:rPr>
          <w:rFonts w:ascii="宋体" w:hAnsi="宋体" w:cs="宋体"/>
          <w:szCs w:val="21"/>
        </w:rPr>
      </w:pPr>
      <w:r>
        <w:rPr>
          <w:rFonts w:hint="eastAsia" w:ascii="宋体" w:hAnsi="宋体" w:cs="宋体"/>
          <w:szCs w:val="21"/>
        </w:rPr>
        <w:t xml:space="preserve">    根据法律法规义务和职业健康安全方针已被本公司降至可容许程度的风险。</w:t>
      </w:r>
    </w:p>
    <w:p>
      <w:pPr>
        <w:pStyle w:val="2"/>
        <w:spacing w:before="156" w:beforeLines="50" w:after="156" w:afterLines="50" w:line="240" w:lineRule="auto"/>
        <w:rPr>
          <w:rFonts w:ascii="宋体" w:hAnsi="宋体" w:cs="宋体"/>
          <w:kern w:val="2"/>
          <w:sz w:val="21"/>
          <w:szCs w:val="21"/>
        </w:rPr>
      </w:pPr>
      <w:bookmarkStart w:id="7" w:name="_Toc13473738"/>
      <w:r>
        <w:rPr>
          <w:rFonts w:hint="eastAsia" w:ascii="宋体" w:hAnsi="宋体" w:cs="宋体"/>
          <w:kern w:val="2"/>
          <w:sz w:val="21"/>
          <w:szCs w:val="21"/>
        </w:rPr>
        <w:t>3.3 重大风险</w:t>
      </w:r>
      <w:bookmarkEnd w:id="7"/>
    </w:p>
    <w:p>
      <w:pPr>
        <w:rPr>
          <w:rFonts w:ascii="宋体" w:hAnsi="宋体" w:cs="宋体"/>
          <w:szCs w:val="21"/>
        </w:rPr>
      </w:pPr>
      <w:r>
        <w:rPr>
          <w:rFonts w:hint="eastAsia" w:ascii="宋体" w:hAnsi="宋体" w:cs="宋体"/>
          <w:szCs w:val="21"/>
        </w:rPr>
        <w:t xml:space="preserve">    发生事故可能性与事故后果二者结合后风险值被认定为重大的风险类型。</w:t>
      </w:r>
    </w:p>
    <w:p>
      <w:pPr>
        <w:pStyle w:val="2"/>
        <w:spacing w:before="156" w:beforeLines="50" w:after="156" w:afterLines="50" w:line="240" w:lineRule="auto"/>
        <w:rPr>
          <w:rFonts w:ascii="宋体" w:hAnsi="宋体" w:cs="宋体"/>
          <w:kern w:val="2"/>
          <w:sz w:val="21"/>
          <w:szCs w:val="21"/>
        </w:rPr>
      </w:pPr>
      <w:bookmarkStart w:id="8" w:name="_Toc13473739"/>
      <w:r>
        <w:rPr>
          <w:rFonts w:hint="eastAsia" w:ascii="宋体" w:hAnsi="宋体" w:cs="宋体"/>
          <w:kern w:val="2"/>
          <w:sz w:val="21"/>
          <w:szCs w:val="21"/>
        </w:rPr>
        <w:t>3.4 危险源</w:t>
      </w:r>
      <w:bookmarkEnd w:id="8"/>
    </w:p>
    <w:p>
      <w:pPr>
        <w:rPr>
          <w:rFonts w:ascii="宋体" w:hAnsi="宋体" w:cs="宋体"/>
          <w:szCs w:val="21"/>
        </w:rPr>
      </w:pPr>
      <w:r>
        <w:rPr>
          <w:rFonts w:hint="eastAsia" w:ascii="宋体" w:hAnsi="宋体" w:cs="宋体"/>
          <w:szCs w:val="21"/>
        </w:rPr>
        <w:t xml:space="preserve">    可能导致人身伤害和（或）健康损害和（或）财产损失的根源、状态或行为，或它们的组合。</w:t>
      </w:r>
    </w:p>
    <w:p>
      <w:pPr>
        <w:pStyle w:val="2"/>
        <w:spacing w:before="156" w:beforeLines="50" w:after="156" w:afterLines="50" w:line="240" w:lineRule="auto"/>
        <w:rPr>
          <w:rFonts w:ascii="宋体" w:hAnsi="宋体" w:cs="宋体"/>
          <w:kern w:val="2"/>
          <w:sz w:val="21"/>
          <w:szCs w:val="21"/>
        </w:rPr>
      </w:pPr>
      <w:bookmarkStart w:id="9" w:name="_Toc13473740"/>
      <w:r>
        <w:rPr>
          <w:rFonts w:hint="eastAsia" w:ascii="宋体" w:hAnsi="宋体" w:cs="宋体"/>
          <w:kern w:val="2"/>
          <w:sz w:val="21"/>
          <w:szCs w:val="21"/>
        </w:rPr>
        <w:t>3.5 危险源辨识</w:t>
      </w:r>
      <w:bookmarkEnd w:id="9"/>
    </w:p>
    <w:p>
      <w:pPr>
        <w:rPr>
          <w:rFonts w:ascii="宋体" w:hAnsi="宋体" w:cs="宋体"/>
          <w:szCs w:val="21"/>
        </w:rPr>
      </w:pPr>
      <w:r>
        <w:rPr>
          <w:rFonts w:hint="eastAsia" w:ascii="宋体" w:hAnsi="宋体" w:cs="宋体"/>
          <w:szCs w:val="21"/>
        </w:rPr>
        <w:t xml:space="preserve">    识别危险源的存在并确定其分布和特性的过程。</w:t>
      </w:r>
    </w:p>
    <w:p>
      <w:pPr>
        <w:pStyle w:val="2"/>
        <w:spacing w:before="156" w:beforeLines="50" w:after="156" w:afterLines="50" w:line="240" w:lineRule="auto"/>
        <w:rPr>
          <w:rFonts w:ascii="宋体" w:hAnsi="宋体" w:cs="宋体"/>
          <w:kern w:val="2"/>
          <w:sz w:val="21"/>
          <w:szCs w:val="21"/>
        </w:rPr>
      </w:pPr>
      <w:bookmarkStart w:id="10" w:name="_Toc13473741"/>
      <w:r>
        <w:rPr>
          <w:rFonts w:hint="eastAsia" w:ascii="宋体" w:hAnsi="宋体" w:cs="宋体"/>
          <w:kern w:val="2"/>
          <w:sz w:val="21"/>
          <w:szCs w:val="21"/>
        </w:rPr>
        <w:t>3.6 风险评估</w:t>
      </w:r>
      <w:bookmarkEnd w:id="10"/>
    </w:p>
    <w:p>
      <w:pPr>
        <w:pStyle w:val="17"/>
        <w:rPr>
          <w:rFonts w:hAnsi="宋体" w:cs="宋体"/>
          <w:kern w:val="2"/>
          <w:szCs w:val="21"/>
        </w:rPr>
      </w:pPr>
      <w:r>
        <w:rPr>
          <w:rFonts w:hint="eastAsia" w:hAnsi="宋体" w:cs="宋体"/>
          <w:szCs w:val="21"/>
        </w:rPr>
        <w:t>包括风险识别、风险分析和风险评价的全过程。</w:t>
      </w:r>
    </w:p>
    <w:p>
      <w:pPr>
        <w:pStyle w:val="2"/>
        <w:spacing w:before="156" w:beforeLines="50" w:after="156" w:afterLines="50" w:line="240" w:lineRule="auto"/>
        <w:rPr>
          <w:rFonts w:ascii="宋体" w:hAnsi="宋体" w:cs="宋体"/>
          <w:kern w:val="2"/>
          <w:sz w:val="21"/>
          <w:szCs w:val="21"/>
        </w:rPr>
      </w:pPr>
      <w:bookmarkStart w:id="11" w:name="_Toc13473742"/>
      <w:r>
        <w:rPr>
          <w:rFonts w:hint="eastAsia" w:ascii="宋体" w:hAnsi="宋体" w:cs="宋体"/>
          <w:kern w:val="2"/>
          <w:sz w:val="21"/>
          <w:szCs w:val="21"/>
        </w:rPr>
        <w:t>3.7 风险分级</w:t>
      </w:r>
      <w:bookmarkEnd w:id="11"/>
    </w:p>
    <w:p>
      <w:pPr>
        <w:rPr>
          <w:rFonts w:ascii="宋体" w:hAnsi="宋体" w:cs="宋体"/>
          <w:szCs w:val="21"/>
        </w:rPr>
      </w:pPr>
      <w:r>
        <w:rPr>
          <w:rFonts w:hint="eastAsia" w:ascii="宋体" w:hAnsi="宋体" w:cs="宋体"/>
          <w:szCs w:val="21"/>
        </w:rPr>
        <w:t xml:space="preserve">    通过采用科学、合理方法对危险源所伴随的风险进行定性或定量评估，根据评估结果划分等级。</w:t>
      </w:r>
    </w:p>
    <w:p>
      <w:pPr>
        <w:pStyle w:val="2"/>
        <w:spacing w:before="156" w:beforeLines="50" w:after="156" w:afterLines="50" w:line="240" w:lineRule="auto"/>
        <w:rPr>
          <w:rFonts w:ascii="宋体" w:hAnsi="宋体" w:cs="宋体"/>
          <w:kern w:val="2"/>
          <w:sz w:val="21"/>
          <w:szCs w:val="21"/>
        </w:rPr>
      </w:pPr>
      <w:bookmarkStart w:id="12" w:name="_Toc13473743"/>
      <w:r>
        <w:rPr>
          <w:rFonts w:hint="eastAsia" w:ascii="宋体" w:hAnsi="宋体" w:cs="宋体"/>
          <w:kern w:val="2"/>
          <w:sz w:val="21"/>
          <w:szCs w:val="21"/>
        </w:rPr>
        <w:t>3.8 风险分级管控</w:t>
      </w:r>
      <w:bookmarkEnd w:id="12"/>
    </w:p>
    <w:p>
      <w:pPr>
        <w:rPr>
          <w:rFonts w:ascii="宋体" w:hAnsi="宋体" w:cs="宋体"/>
          <w:szCs w:val="21"/>
        </w:rPr>
      </w:pPr>
      <w:r>
        <w:rPr>
          <w:rFonts w:hint="eastAsia" w:ascii="宋体" w:hAnsi="宋体" w:cs="宋体"/>
          <w:szCs w:val="21"/>
        </w:rPr>
        <w:t xml:space="preserve">    按照风险不同级别、所需管控资源、管控能力、管控措施复杂及难易程度等因素而确定不同管控层级的风险管控方式。    </w:t>
      </w:r>
    </w:p>
    <w:p>
      <w:pPr>
        <w:pStyle w:val="2"/>
        <w:spacing w:before="156" w:beforeLines="50" w:after="156" w:afterLines="50" w:line="240" w:lineRule="auto"/>
        <w:rPr>
          <w:rFonts w:ascii="宋体" w:hAnsi="宋体" w:cs="宋体"/>
          <w:kern w:val="2"/>
          <w:sz w:val="21"/>
          <w:szCs w:val="21"/>
        </w:rPr>
      </w:pPr>
      <w:bookmarkStart w:id="13" w:name="_Toc13473744"/>
      <w:r>
        <w:rPr>
          <w:rFonts w:hint="eastAsia" w:ascii="宋体" w:hAnsi="宋体" w:cs="宋体"/>
          <w:kern w:val="2"/>
          <w:sz w:val="21"/>
          <w:szCs w:val="21"/>
        </w:rPr>
        <w:t>3.9 风险控制措施</w:t>
      </w:r>
      <w:bookmarkEnd w:id="13"/>
    </w:p>
    <w:p>
      <w:pPr>
        <w:rPr>
          <w:rFonts w:ascii="宋体" w:hAnsi="宋体" w:cs="宋体"/>
          <w:szCs w:val="21"/>
        </w:rPr>
      </w:pPr>
      <w:r>
        <w:rPr>
          <w:rFonts w:hint="eastAsia" w:ascii="宋体" w:hAnsi="宋体" w:cs="宋体"/>
          <w:szCs w:val="21"/>
        </w:rPr>
        <w:t xml:space="preserve">    本公司为将风险降低至可接受程度，针对该风险而采取的相应控制方法和手段。</w:t>
      </w:r>
    </w:p>
    <w:p>
      <w:pPr>
        <w:pStyle w:val="2"/>
        <w:spacing w:before="156" w:beforeLines="50" w:after="156" w:afterLines="50" w:line="240" w:lineRule="auto"/>
        <w:rPr>
          <w:rFonts w:ascii="宋体" w:hAnsi="宋体" w:cs="宋体"/>
          <w:kern w:val="2"/>
          <w:sz w:val="21"/>
          <w:szCs w:val="21"/>
        </w:rPr>
      </w:pPr>
      <w:bookmarkStart w:id="14" w:name="_Toc13473745"/>
      <w:r>
        <w:rPr>
          <w:rFonts w:hint="eastAsia" w:ascii="宋体" w:hAnsi="宋体" w:cs="宋体"/>
          <w:kern w:val="2"/>
          <w:sz w:val="21"/>
          <w:szCs w:val="21"/>
        </w:rPr>
        <w:t>3.10 风险信息</w:t>
      </w:r>
      <w:bookmarkEnd w:id="14"/>
    </w:p>
    <w:p>
      <w:pPr>
        <w:rPr>
          <w:rFonts w:ascii="宋体" w:hAnsi="宋体" w:cs="宋体"/>
          <w:szCs w:val="21"/>
        </w:rPr>
      </w:pPr>
      <w:r>
        <w:rPr>
          <w:rFonts w:hint="eastAsia" w:ascii="宋体" w:hAnsi="宋体" w:cs="宋体"/>
          <w:szCs w:val="21"/>
        </w:rPr>
        <w:t xml:space="preserve">    风险点名称、危险源名称、类型、所在位置、当前状态以及伴随风险大小、等级、所需管控措施、责任单位、责任人等一系列信息的综合。</w:t>
      </w:r>
    </w:p>
    <w:p>
      <w:pPr>
        <w:pStyle w:val="2"/>
        <w:spacing w:before="156" w:beforeLines="50" w:after="156" w:afterLines="50" w:line="240" w:lineRule="auto"/>
        <w:rPr>
          <w:rFonts w:ascii="宋体" w:hAnsi="宋体" w:cs="宋体"/>
          <w:kern w:val="2"/>
          <w:sz w:val="21"/>
          <w:szCs w:val="21"/>
        </w:rPr>
      </w:pPr>
      <w:bookmarkStart w:id="15" w:name="_Toc13473746"/>
      <w:r>
        <w:rPr>
          <w:rFonts w:hint="eastAsia" w:ascii="宋体" w:hAnsi="宋体" w:cs="宋体"/>
          <w:kern w:val="2"/>
          <w:sz w:val="21"/>
          <w:szCs w:val="21"/>
        </w:rPr>
        <w:t>3.11 双重预防机制建设</w:t>
      </w:r>
      <w:bookmarkEnd w:id="15"/>
    </w:p>
    <w:p>
      <w:pPr>
        <w:ind w:firstLine="420" w:firstLineChars="200"/>
        <w:rPr>
          <w:rFonts w:ascii="宋体" w:hAnsi="宋体" w:cs="宋体"/>
          <w:szCs w:val="21"/>
        </w:rPr>
      </w:pPr>
      <w:r>
        <w:rPr>
          <w:rFonts w:hint="eastAsia" w:ascii="宋体" w:hAnsi="宋体" w:cs="宋体"/>
          <w:szCs w:val="21"/>
        </w:rPr>
        <w:t>以安全风险辨识和分级管控为基础，以隐患排查和治理为手段，通过强化安全风险辨识和分级管控，从源头上避免和消除事故隐患，进而降低事故发生的可能性；通过隐患排查，针对反复多次出现的同类型隐患，分析其规律特点，查找风险管控措施的薄弱环节，进而完善风险分级管控制度。</w:t>
      </w:r>
    </w:p>
    <w:p>
      <w:pPr>
        <w:pStyle w:val="2"/>
        <w:spacing w:before="156" w:beforeLines="50" w:after="156" w:afterLines="50" w:line="240" w:lineRule="auto"/>
        <w:rPr>
          <w:rFonts w:ascii="宋体" w:hAnsi="宋体" w:cs="宋体"/>
          <w:kern w:val="2"/>
          <w:sz w:val="21"/>
          <w:szCs w:val="21"/>
        </w:rPr>
      </w:pPr>
      <w:bookmarkStart w:id="16" w:name="_Toc13473747"/>
      <w:r>
        <w:rPr>
          <w:rFonts w:hint="eastAsia" w:ascii="宋体" w:hAnsi="宋体" w:cs="宋体"/>
          <w:kern w:val="2"/>
          <w:sz w:val="21"/>
          <w:szCs w:val="21"/>
        </w:rPr>
        <w:t>4 工作要求</w:t>
      </w:r>
      <w:bookmarkEnd w:id="16"/>
    </w:p>
    <w:p>
      <w:pPr>
        <w:pStyle w:val="2"/>
        <w:spacing w:before="156" w:beforeLines="50" w:after="156" w:afterLines="50" w:line="240" w:lineRule="auto"/>
        <w:rPr>
          <w:rFonts w:ascii="宋体" w:hAnsi="宋体" w:cs="宋体"/>
          <w:kern w:val="2"/>
          <w:sz w:val="21"/>
          <w:szCs w:val="21"/>
        </w:rPr>
      </w:pPr>
      <w:bookmarkStart w:id="17" w:name="_Toc13473748"/>
      <w:r>
        <w:rPr>
          <w:rFonts w:hint="eastAsia" w:ascii="宋体" w:hAnsi="宋体" w:cs="宋体"/>
          <w:kern w:val="2"/>
          <w:sz w:val="21"/>
          <w:szCs w:val="21"/>
        </w:rPr>
        <w:t>4.1文件体系要求</w:t>
      </w:r>
      <w:bookmarkEnd w:id="17"/>
    </w:p>
    <w:p>
      <w:pPr>
        <w:rPr>
          <w:rFonts w:ascii="宋体" w:hAnsi="宋体" w:cs="宋体"/>
          <w:szCs w:val="21"/>
        </w:rPr>
      </w:pPr>
      <w:r>
        <w:rPr>
          <w:rFonts w:hint="eastAsia" w:ascii="宋体" w:hAnsi="宋体" w:cs="宋体"/>
          <w:szCs w:val="21"/>
        </w:rPr>
        <w:t xml:space="preserve">    本公司双重预防机制建设工作文件应包括手册、细则和实施指南三个层级。</w:t>
      </w:r>
    </w:p>
    <w:p>
      <w:pPr>
        <w:pStyle w:val="2"/>
        <w:spacing w:before="156" w:beforeLines="50" w:after="156" w:afterLines="50" w:line="240" w:lineRule="auto"/>
        <w:rPr>
          <w:rFonts w:ascii="宋体" w:hAnsi="宋体" w:cs="宋体"/>
          <w:kern w:val="2"/>
          <w:sz w:val="21"/>
          <w:szCs w:val="21"/>
        </w:rPr>
      </w:pPr>
      <w:bookmarkStart w:id="18" w:name="_Toc13473749"/>
      <w:r>
        <w:rPr>
          <w:rFonts w:hint="eastAsia" w:ascii="宋体" w:hAnsi="宋体" w:cs="宋体"/>
          <w:kern w:val="2"/>
          <w:sz w:val="21"/>
          <w:szCs w:val="21"/>
        </w:rPr>
        <w:t>4.1.1双重预防机制建设手册</w:t>
      </w:r>
      <w:bookmarkEnd w:id="18"/>
    </w:p>
    <w:p>
      <w:pPr>
        <w:ind w:firstLine="420"/>
        <w:rPr>
          <w:rFonts w:ascii="宋体" w:hAnsi="宋体" w:cs="宋体"/>
          <w:szCs w:val="21"/>
        </w:rPr>
      </w:pPr>
      <w:r>
        <w:rPr>
          <w:rFonts w:hint="eastAsia" w:ascii="宋体" w:hAnsi="宋体" w:cs="宋体"/>
          <w:szCs w:val="21"/>
        </w:rPr>
        <w:t>规定本公司双重预防机制建设工作通用的要求、目标和工作程序等。</w:t>
      </w:r>
    </w:p>
    <w:p>
      <w:pPr>
        <w:pStyle w:val="2"/>
        <w:spacing w:before="156" w:beforeLines="50" w:after="156" w:afterLines="50" w:line="240" w:lineRule="auto"/>
        <w:rPr>
          <w:rFonts w:ascii="宋体" w:hAnsi="宋体" w:cs="宋体"/>
          <w:kern w:val="2"/>
          <w:sz w:val="21"/>
          <w:szCs w:val="21"/>
        </w:rPr>
      </w:pPr>
      <w:bookmarkStart w:id="19" w:name="_Toc13473750"/>
      <w:r>
        <w:rPr>
          <w:rFonts w:hint="eastAsia" w:ascii="宋体" w:hAnsi="宋体" w:cs="宋体"/>
          <w:kern w:val="2"/>
          <w:sz w:val="21"/>
          <w:szCs w:val="21"/>
        </w:rPr>
        <w:t>4.1.2双重预防机制建设细则</w:t>
      </w:r>
      <w:bookmarkEnd w:id="19"/>
    </w:p>
    <w:p>
      <w:pPr>
        <w:rPr>
          <w:rFonts w:ascii="宋体" w:hAnsi="宋体" w:cs="宋体"/>
          <w:szCs w:val="21"/>
        </w:rPr>
      </w:pPr>
      <w:r>
        <w:rPr>
          <w:rFonts w:hint="eastAsia" w:ascii="宋体" w:hAnsi="宋体" w:cs="宋体"/>
          <w:szCs w:val="21"/>
        </w:rPr>
        <w:t xml:space="preserve">    规定本行业领域本公司双重预防机制建设工作的具体任务目标，应对确定危险源辨识、风险评估、风险分级管控等工作程序提出具体要求，明确本行业领域常用的危险源辨识及风险评估方法，以及风险控制措施的选择与实施。</w:t>
      </w:r>
    </w:p>
    <w:p>
      <w:pPr>
        <w:pStyle w:val="2"/>
        <w:spacing w:before="156" w:beforeLines="50" w:after="156" w:afterLines="50" w:line="240" w:lineRule="auto"/>
        <w:rPr>
          <w:rFonts w:ascii="宋体" w:hAnsi="宋体" w:cs="宋体"/>
          <w:kern w:val="2"/>
          <w:sz w:val="21"/>
          <w:szCs w:val="21"/>
        </w:rPr>
      </w:pPr>
      <w:bookmarkStart w:id="20" w:name="_Toc13473751"/>
      <w:r>
        <w:rPr>
          <w:rFonts w:hint="eastAsia" w:ascii="宋体" w:hAnsi="宋体" w:cs="宋体"/>
          <w:kern w:val="2"/>
          <w:sz w:val="21"/>
          <w:szCs w:val="21"/>
        </w:rPr>
        <w:t>4.1.3双重预防机制建设实施指南</w:t>
      </w:r>
      <w:bookmarkEnd w:id="20"/>
    </w:p>
    <w:p>
      <w:pPr>
        <w:ind w:firstLine="420"/>
        <w:rPr>
          <w:rFonts w:ascii="宋体" w:hAnsi="宋体" w:cs="宋体"/>
          <w:szCs w:val="21"/>
        </w:rPr>
      </w:pPr>
      <w:r>
        <w:rPr>
          <w:rFonts w:hint="eastAsia" w:ascii="宋体" w:hAnsi="宋体" w:cs="宋体"/>
          <w:szCs w:val="21"/>
        </w:rPr>
        <w:t>根据本行业领域同类型本公司中双重预防机制建设试点本公司的典型经验做法，制定同类型本公司双重预防机制建设的工作方法、实施步骤，明确危险源划分、风险判定、控制措施确定和分级管控等具体原则，确定同类型本公司常用的危险源辨识方法、风险评估方法和典型风险控制措施，以及相关配套制度、记录文件等，指导同类型本公司开展双重预防机制建设工作。</w:t>
      </w:r>
    </w:p>
    <w:p>
      <w:pPr>
        <w:pStyle w:val="2"/>
        <w:spacing w:before="156" w:beforeLines="50" w:after="156" w:afterLines="50" w:line="240" w:lineRule="auto"/>
        <w:rPr>
          <w:rFonts w:ascii="宋体" w:hAnsi="宋体" w:cs="宋体"/>
          <w:kern w:val="2"/>
          <w:sz w:val="21"/>
          <w:szCs w:val="21"/>
        </w:rPr>
      </w:pPr>
      <w:bookmarkStart w:id="21" w:name="_Toc13473752"/>
      <w:r>
        <w:rPr>
          <w:rFonts w:hint="eastAsia" w:ascii="宋体" w:hAnsi="宋体" w:cs="宋体"/>
          <w:kern w:val="2"/>
          <w:sz w:val="21"/>
          <w:szCs w:val="21"/>
        </w:rPr>
        <w:t>4.2 基本要求</w:t>
      </w:r>
      <w:bookmarkEnd w:id="21"/>
    </w:p>
    <w:p>
      <w:pPr>
        <w:pStyle w:val="2"/>
        <w:spacing w:before="156" w:beforeLines="50" w:after="156" w:afterLines="50" w:line="240" w:lineRule="auto"/>
        <w:rPr>
          <w:rFonts w:ascii="宋体" w:hAnsi="宋体" w:cs="宋体"/>
          <w:kern w:val="2"/>
          <w:sz w:val="21"/>
          <w:szCs w:val="21"/>
        </w:rPr>
      </w:pPr>
      <w:bookmarkStart w:id="22" w:name="_Toc13473753"/>
      <w:r>
        <w:rPr>
          <w:rFonts w:hint="eastAsia" w:ascii="宋体" w:hAnsi="宋体" w:cs="宋体"/>
          <w:kern w:val="2"/>
          <w:sz w:val="21"/>
          <w:szCs w:val="21"/>
        </w:rPr>
        <w:t>4.2.1组织有力，高效运行</w:t>
      </w:r>
      <w:bookmarkEnd w:id="22"/>
    </w:p>
    <w:p>
      <w:pPr>
        <w:ind w:firstLine="420"/>
        <w:rPr>
          <w:rFonts w:ascii="宋体" w:hAnsi="宋体" w:cs="宋体"/>
          <w:szCs w:val="21"/>
        </w:rPr>
      </w:pPr>
      <w:r>
        <w:rPr>
          <w:rFonts w:hint="eastAsia" w:ascii="宋体" w:hAnsi="宋体" w:cs="宋体"/>
          <w:szCs w:val="21"/>
        </w:rPr>
        <w:t>本公司应建立由主要负责人牵头的双重预防机制组织机构，应建立能够保障风险分级管控与隐患排查治理体系全过程有效运行的管理制度。</w:t>
      </w:r>
    </w:p>
    <w:p>
      <w:pPr>
        <w:pStyle w:val="2"/>
        <w:spacing w:before="156" w:beforeLines="50" w:after="156" w:afterLines="50" w:line="240" w:lineRule="auto"/>
        <w:rPr>
          <w:rFonts w:ascii="宋体" w:hAnsi="宋体" w:cs="宋体"/>
          <w:kern w:val="2"/>
          <w:sz w:val="21"/>
          <w:szCs w:val="21"/>
        </w:rPr>
      </w:pPr>
      <w:bookmarkStart w:id="23" w:name="_Toc13473754"/>
      <w:r>
        <w:rPr>
          <w:rFonts w:hint="eastAsia" w:ascii="宋体" w:hAnsi="宋体" w:cs="宋体"/>
          <w:kern w:val="2"/>
          <w:sz w:val="21"/>
          <w:szCs w:val="21"/>
        </w:rPr>
        <w:t>4.2.2全员参与，分级负责</w:t>
      </w:r>
      <w:bookmarkEnd w:id="23"/>
    </w:p>
    <w:p>
      <w:pPr>
        <w:ind w:firstLine="420"/>
        <w:rPr>
          <w:rFonts w:ascii="宋体" w:hAnsi="宋体" w:cs="宋体"/>
          <w:szCs w:val="21"/>
        </w:rPr>
      </w:pPr>
      <w:r>
        <w:rPr>
          <w:rFonts w:hint="eastAsia" w:ascii="宋体" w:hAnsi="宋体" w:cs="宋体"/>
          <w:szCs w:val="21"/>
        </w:rPr>
        <w:t>本公司从基层操作人员到最高管理者，所有人员应参与危险源辨识，风险分析、评估和管控及隐患排查治理；本公司应根据风险及隐患级别，确定落实管控措施责任单位的层级，明确隐患整治要求。</w:t>
      </w:r>
    </w:p>
    <w:p>
      <w:pPr>
        <w:pStyle w:val="2"/>
        <w:spacing w:before="156" w:beforeLines="50" w:after="156" w:afterLines="50" w:line="240" w:lineRule="auto"/>
        <w:rPr>
          <w:rFonts w:ascii="宋体" w:hAnsi="宋体" w:cs="宋体"/>
          <w:kern w:val="2"/>
          <w:sz w:val="21"/>
          <w:szCs w:val="21"/>
        </w:rPr>
      </w:pPr>
      <w:bookmarkStart w:id="24" w:name="_Toc13473755"/>
      <w:r>
        <w:rPr>
          <w:rFonts w:hint="eastAsia" w:ascii="宋体" w:hAnsi="宋体" w:cs="宋体"/>
          <w:kern w:val="2"/>
          <w:sz w:val="21"/>
          <w:szCs w:val="21"/>
        </w:rPr>
        <w:t>4.2.3自主建设，持续改进</w:t>
      </w:r>
      <w:bookmarkEnd w:id="24"/>
    </w:p>
    <w:p>
      <w:pPr>
        <w:ind w:firstLine="420"/>
        <w:rPr>
          <w:rFonts w:ascii="宋体" w:hAnsi="宋体" w:cs="宋体"/>
          <w:szCs w:val="21"/>
        </w:rPr>
      </w:pPr>
      <w:r>
        <w:rPr>
          <w:rFonts w:hint="eastAsia" w:ascii="宋体" w:hAnsi="宋体" w:cs="宋体"/>
          <w:szCs w:val="21"/>
        </w:rPr>
        <w:t>本公司应根据本行业领域同类型本公司实施指南，开展符合本本公司实际的双重预防机制建设工作。原则上本公司应自主完成本本公司双重预防机制体系制度设计、文件编制、组织实施和持续改进，独立进行危险源辨识、风险分析和管控及隐患排查治理等工作。</w:t>
      </w:r>
    </w:p>
    <w:p>
      <w:pPr>
        <w:pStyle w:val="2"/>
        <w:spacing w:before="156" w:beforeLines="50" w:after="156" w:afterLines="50" w:line="240" w:lineRule="auto"/>
        <w:rPr>
          <w:rFonts w:ascii="宋体" w:hAnsi="宋体" w:cs="宋体"/>
          <w:kern w:val="2"/>
          <w:sz w:val="21"/>
          <w:szCs w:val="21"/>
        </w:rPr>
      </w:pPr>
      <w:bookmarkStart w:id="25" w:name="_Toc13473756"/>
      <w:r>
        <w:rPr>
          <w:rFonts w:hint="eastAsia" w:ascii="宋体" w:hAnsi="宋体" w:cs="宋体"/>
          <w:kern w:val="2"/>
          <w:sz w:val="21"/>
          <w:szCs w:val="21"/>
        </w:rPr>
        <w:t>4.2.4系统规范，融合深化</w:t>
      </w:r>
      <w:bookmarkEnd w:id="25"/>
    </w:p>
    <w:p>
      <w:pPr>
        <w:ind w:firstLine="420"/>
        <w:rPr>
          <w:rFonts w:ascii="宋体" w:hAnsi="宋体" w:cs="宋体"/>
          <w:szCs w:val="21"/>
        </w:rPr>
      </w:pPr>
      <w:r>
        <w:rPr>
          <w:rFonts w:hint="eastAsia" w:ascii="宋体" w:hAnsi="宋体" w:cs="宋体"/>
          <w:szCs w:val="21"/>
        </w:rPr>
        <w:t>本公司双重预防机制应与本公司现行安全管理体系紧密结合，应在本公司安全生产标准化、职业健康安全管理体系等安全管理体系的基础上，进一步深化完善和融合，形成一体化的安全管理体系。</w:t>
      </w:r>
    </w:p>
    <w:p>
      <w:pPr>
        <w:pStyle w:val="2"/>
        <w:spacing w:before="156" w:beforeLines="50" w:after="156" w:afterLines="50" w:line="240" w:lineRule="auto"/>
        <w:rPr>
          <w:rFonts w:ascii="宋体" w:hAnsi="宋体" w:cs="宋体"/>
          <w:kern w:val="2"/>
          <w:sz w:val="21"/>
          <w:szCs w:val="21"/>
        </w:rPr>
      </w:pPr>
      <w:bookmarkStart w:id="26" w:name="_Toc13473757"/>
      <w:r>
        <w:rPr>
          <w:rFonts w:hint="eastAsia" w:ascii="宋体" w:hAnsi="宋体" w:cs="宋体"/>
          <w:kern w:val="2"/>
          <w:sz w:val="21"/>
          <w:szCs w:val="21"/>
        </w:rPr>
        <w:t>4.2.5激励约束，重在落实</w:t>
      </w:r>
      <w:bookmarkEnd w:id="26"/>
    </w:p>
    <w:p>
      <w:pPr>
        <w:ind w:firstLine="420"/>
        <w:rPr>
          <w:rFonts w:ascii="宋体" w:hAnsi="宋体" w:cs="宋体"/>
          <w:szCs w:val="21"/>
        </w:rPr>
      </w:pPr>
      <w:r>
        <w:rPr>
          <w:rFonts w:hint="eastAsia" w:ascii="宋体" w:hAnsi="宋体" w:cs="宋体"/>
          <w:szCs w:val="21"/>
        </w:rPr>
        <w:t>本公司应建立完善的双重预防机制目标责任考核制度，形成激励先进、约束落后的工作机制。按照“全员、全过程、全方位”的原则，明确每一个岗位危险源辨识，风险分析，落实风险防控措施的责任，并通过评审、更新，不断完善制度体系。</w:t>
      </w:r>
    </w:p>
    <w:p>
      <w:pPr>
        <w:pStyle w:val="2"/>
        <w:spacing w:before="156" w:beforeLines="50" w:after="156" w:afterLines="50" w:line="240" w:lineRule="auto"/>
        <w:rPr>
          <w:rFonts w:ascii="宋体" w:hAnsi="宋体" w:cs="宋体"/>
          <w:kern w:val="2"/>
          <w:sz w:val="21"/>
          <w:szCs w:val="21"/>
        </w:rPr>
      </w:pPr>
      <w:bookmarkStart w:id="27" w:name="_Toc13473758"/>
      <w:r>
        <w:rPr>
          <w:rFonts w:hint="eastAsia" w:ascii="宋体" w:hAnsi="宋体" w:cs="宋体"/>
          <w:kern w:val="2"/>
          <w:sz w:val="21"/>
          <w:szCs w:val="21"/>
        </w:rPr>
        <w:t>5 工作目标</w:t>
      </w:r>
      <w:bookmarkEnd w:id="27"/>
    </w:p>
    <w:p>
      <w:pPr>
        <w:ind w:firstLine="420"/>
        <w:rPr>
          <w:rFonts w:ascii="宋体" w:hAnsi="宋体" w:cs="宋体"/>
          <w:szCs w:val="21"/>
        </w:rPr>
      </w:pPr>
      <w:r>
        <w:rPr>
          <w:rFonts w:hint="eastAsia" w:ascii="宋体" w:hAnsi="宋体" w:cs="宋体"/>
          <w:szCs w:val="21"/>
        </w:rPr>
        <w:t>本公司双重预防机制建设工作主要实现以下工作目标：</w:t>
      </w:r>
    </w:p>
    <w:p>
      <w:pPr>
        <w:ind w:firstLine="420"/>
        <w:rPr>
          <w:rFonts w:ascii="宋体" w:hAnsi="宋体" w:cs="宋体"/>
          <w:szCs w:val="21"/>
        </w:rPr>
      </w:pPr>
      <w:r>
        <w:rPr>
          <w:rFonts w:hint="eastAsia" w:ascii="宋体" w:hAnsi="宋体" w:cs="宋体"/>
          <w:szCs w:val="21"/>
        </w:rPr>
        <w:t>（1）建立安全风险清单和数据库；</w:t>
      </w:r>
    </w:p>
    <w:p>
      <w:pPr>
        <w:ind w:firstLine="420"/>
        <w:rPr>
          <w:rFonts w:ascii="宋体" w:hAnsi="宋体" w:cs="宋体"/>
          <w:szCs w:val="21"/>
        </w:rPr>
      </w:pPr>
      <w:r>
        <w:rPr>
          <w:rFonts w:hint="eastAsia" w:ascii="宋体" w:hAnsi="宋体" w:cs="宋体"/>
          <w:szCs w:val="21"/>
        </w:rPr>
        <w:t>（2）制定重大安全风险管控措施；</w:t>
      </w:r>
    </w:p>
    <w:p>
      <w:pPr>
        <w:ind w:firstLine="420"/>
        <w:rPr>
          <w:rFonts w:ascii="宋体" w:hAnsi="宋体" w:cs="宋体"/>
          <w:szCs w:val="21"/>
        </w:rPr>
      </w:pPr>
      <w:r>
        <w:rPr>
          <w:rFonts w:hint="eastAsia" w:ascii="宋体" w:hAnsi="宋体" w:cs="宋体"/>
          <w:szCs w:val="21"/>
        </w:rPr>
        <w:t>（3）设置重大安全风险公告栏；</w:t>
      </w:r>
    </w:p>
    <w:p>
      <w:pPr>
        <w:ind w:firstLine="420"/>
        <w:rPr>
          <w:rFonts w:ascii="宋体" w:hAnsi="宋体" w:cs="宋体"/>
          <w:szCs w:val="21"/>
        </w:rPr>
      </w:pPr>
      <w:r>
        <w:rPr>
          <w:rFonts w:hint="eastAsia" w:ascii="宋体" w:hAnsi="宋体" w:cs="宋体"/>
          <w:szCs w:val="21"/>
        </w:rPr>
        <w:t>（4）制作岗位安全风险告知卡；</w:t>
      </w:r>
    </w:p>
    <w:p>
      <w:pPr>
        <w:ind w:firstLine="420"/>
        <w:rPr>
          <w:rFonts w:ascii="宋体" w:hAnsi="宋体" w:cs="宋体"/>
          <w:szCs w:val="21"/>
        </w:rPr>
      </w:pPr>
      <w:r>
        <w:rPr>
          <w:rFonts w:hint="eastAsia" w:ascii="宋体" w:hAnsi="宋体" w:cs="宋体"/>
          <w:szCs w:val="21"/>
        </w:rPr>
        <w:t>（5）绘制本公司安全风险四色分布图；</w:t>
      </w:r>
    </w:p>
    <w:p>
      <w:pPr>
        <w:ind w:firstLine="420"/>
        <w:rPr>
          <w:rFonts w:ascii="宋体" w:hAnsi="宋体" w:cs="宋体"/>
          <w:szCs w:val="21"/>
        </w:rPr>
      </w:pPr>
      <w:r>
        <w:rPr>
          <w:rFonts w:hint="eastAsia" w:ascii="宋体" w:hAnsi="宋体" w:cs="宋体"/>
          <w:szCs w:val="21"/>
        </w:rPr>
        <w:t>（6）绘制本公司作业安全风险比较图；</w:t>
      </w:r>
    </w:p>
    <w:p>
      <w:pPr>
        <w:ind w:firstLine="420"/>
        <w:rPr>
          <w:rFonts w:ascii="宋体" w:hAnsi="宋体" w:cs="宋体"/>
          <w:szCs w:val="21"/>
        </w:rPr>
      </w:pPr>
      <w:r>
        <w:rPr>
          <w:rFonts w:hint="eastAsia" w:ascii="宋体" w:hAnsi="宋体" w:cs="宋体"/>
          <w:szCs w:val="21"/>
        </w:rPr>
        <w:t>（7）建立安全风险分级管控制度；</w:t>
      </w:r>
    </w:p>
    <w:p>
      <w:pPr>
        <w:ind w:firstLine="420"/>
        <w:rPr>
          <w:rFonts w:ascii="宋体" w:hAnsi="宋体" w:cs="宋体"/>
          <w:szCs w:val="21"/>
        </w:rPr>
      </w:pPr>
      <w:r>
        <w:rPr>
          <w:rFonts w:hint="eastAsia" w:ascii="宋体" w:hAnsi="宋体" w:cs="宋体"/>
          <w:szCs w:val="21"/>
        </w:rPr>
        <w:t>（8）建立隐患排查治理制度；</w:t>
      </w:r>
    </w:p>
    <w:p>
      <w:pPr>
        <w:ind w:firstLine="420"/>
        <w:rPr>
          <w:rFonts w:ascii="宋体" w:hAnsi="宋体" w:cs="宋体"/>
          <w:szCs w:val="21"/>
        </w:rPr>
      </w:pPr>
      <w:r>
        <w:rPr>
          <w:rFonts w:hint="eastAsia" w:ascii="宋体" w:hAnsi="宋体" w:cs="宋体"/>
          <w:szCs w:val="21"/>
        </w:rPr>
        <w:t>（9）建立隐患排查治理台帐或数据库；</w:t>
      </w:r>
    </w:p>
    <w:p>
      <w:pPr>
        <w:ind w:firstLine="420"/>
        <w:rPr>
          <w:rFonts w:ascii="宋体" w:hAnsi="宋体" w:cs="宋体"/>
          <w:szCs w:val="21"/>
        </w:rPr>
      </w:pPr>
      <w:r>
        <w:rPr>
          <w:rFonts w:hint="eastAsia" w:ascii="宋体" w:hAnsi="宋体" w:cs="宋体"/>
          <w:szCs w:val="21"/>
        </w:rPr>
        <w:t>（10）制定重大隐患治理实施方案。</w:t>
      </w:r>
    </w:p>
    <w:p>
      <w:pPr>
        <w:pStyle w:val="2"/>
        <w:spacing w:before="156" w:beforeLines="50" w:after="156" w:afterLines="50" w:line="240" w:lineRule="auto"/>
        <w:rPr>
          <w:rFonts w:ascii="宋体" w:hAnsi="宋体" w:cs="宋体"/>
          <w:kern w:val="2"/>
          <w:sz w:val="21"/>
          <w:szCs w:val="21"/>
        </w:rPr>
      </w:pPr>
      <w:bookmarkStart w:id="28" w:name="_Toc13473759"/>
      <w:r>
        <w:rPr>
          <w:rFonts w:hint="eastAsia" w:ascii="宋体" w:hAnsi="宋体" w:cs="宋体"/>
          <w:kern w:val="2"/>
          <w:sz w:val="21"/>
          <w:szCs w:val="21"/>
        </w:rPr>
        <w:t>6 工作程序和内容</w:t>
      </w:r>
      <w:bookmarkEnd w:id="28"/>
    </w:p>
    <w:p>
      <w:pPr>
        <w:ind w:firstLine="420"/>
        <w:rPr>
          <w:rFonts w:ascii="宋体" w:hAnsi="宋体" w:cs="宋体"/>
          <w:szCs w:val="21"/>
        </w:rPr>
      </w:pPr>
      <w:r>
        <w:rPr>
          <w:rFonts w:hint="eastAsia" w:ascii="宋体" w:hAnsi="宋体" w:cs="宋体"/>
          <w:szCs w:val="21"/>
        </w:rPr>
        <w:t>本公司可参照图1所示的基本程序，逐步推进本公司双重预防机制建设工作。</w:t>
      </w:r>
    </w:p>
    <w:p>
      <w:pPr>
        <w:ind w:firstLine="420"/>
        <w:jc w:val="center"/>
        <w:rPr>
          <w:rFonts w:ascii="宋体" w:hAnsi="宋体" w:cs="宋体"/>
          <w:szCs w:val="21"/>
        </w:rPr>
      </w:pPr>
      <w:r>
        <w:rPr>
          <w:rFonts w:hint="eastAsia" w:ascii="宋体" w:hAnsi="宋体" w:cs="宋体"/>
          <w:szCs w:val="21"/>
        </w:rPr>
        <w:drawing>
          <wp:inline distT="0" distB="0" distL="0" distR="0">
            <wp:extent cx="3594100" cy="3348990"/>
            <wp:effectExtent l="19050" t="0" r="635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noChangeArrowheads="1"/>
                    </pic:cNvPicPr>
                  </pic:nvPicPr>
                  <pic:blipFill>
                    <a:blip r:embed="rId5"/>
                    <a:srcRect/>
                    <a:stretch>
                      <a:fillRect/>
                    </a:stretch>
                  </pic:blipFill>
                  <pic:spPr>
                    <a:xfrm>
                      <a:off x="0" y="0"/>
                      <a:ext cx="3594100" cy="3348990"/>
                    </a:xfrm>
                    <a:prstGeom prst="rect">
                      <a:avLst/>
                    </a:prstGeom>
                    <a:noFill/>
                    <a:ln w="9525" cmpd="sng">
                      <a:noFill/>
                      <a:miter lim="800000"/>
                      <a:headEnd/>
                      <a:tailEnd/>
                    </a:ln>
                  </pic:spPr>
                </pic:pic>
              </a:graphicData>
            </a:graphic>
          </wp:inline>
        </w:drawing>
      </w:r>
    </w:p>
    <w:p>
      <w:pPr>
        <w:rPr>
          <w:rFonts w:ascii="宋体" w:hAnsi="宋体" w:cs="宋体"/>
          <w:szCs w:val="21"/>
        </w:rPr>
      </w:pPr>
    </w:p>
    <w:p>
      <w:pPr>
        <w:ind w:firstLine="420"/>
        <w:jc w:val="center"/>
        <w:rPr>
          <w:rFonts w:ascii="宋体" w:hAnsi="宋体" w:cs="宋体"/>
          <w:b/>
          <w:bCs/>
          <w:szCs w:val="21"/>
        </w:rPr>
      </w:pPr>
      <w:r>
        <w:rPr>
          <w:rFonts w:hint="eastAsia" w:ascii="宋体" w:hAnsi="宋体" w:cs="宋体"/>
          <w:b/>
          <w:bCs/>
          <w:szCs w:val="21"/>
        </w:rPr>
        <w:t>图1 本公司双重预防机制建设工作程序图</w:t>
      </w:r>
    </w:p>
    <w:p>
      <w:pPr>
        <w:pStyle w:val="2"/>
        <w:spacing w:before="156" w:beforeLines="50" w:after="156" w:afterLines="50" w:line="240" w:lineRule="auto"/>
        <w:rPr>
          <w:rFonts w:ascii="宋体" w:hAnsi="宋体" w:cs="宋体"/>
          <w:kern w:val="2"/>
          <w:sz w:val="21"/>
          <w:szCs w:val="21"/>
        </w:rPr>
      </w:pPr>
      <w:bookmarkStart w:id="29" w:name="_Toc13473760"/>
      <w:r>
        <w:rPr>
          <w:rFonts w:hint="eastAsia" w:ascii="宋体" w:hAnsi="宋体" w:cs="宋体"/>
          <w:kern w:val="2"/>
          <w:sz w:val="21"/>
          <w:szCs w:val="21"/>
        </w:rPr>
        <w:t>6.1 成立工作机构</w:t>
      </w:r>
      <w:bookmarkEnd w:id="29"/>
    </w:p>
    <w:p>
      <w:pPr>
        <w:ind w:firstLine="480"/>
        <w:rPr>
          <w:rFonts w:ascii="宋体" w:hAnsi="宋体" w:cs="宋体"/>
          <w:color w:val="000000"/>
          <w:szCs w:val="21"/>
        </w:rPr>
      </w:pPr>
      <w:r>
        <w:rPr>
          <w:rFonts w:hint="eastAsia" w:ascii="宋体" w:hAnsi="宋体" w:cs="宋体"/>
          <w:szCs w:val="21"/>
        </w:rPr>
        <w:t>本公司应在现有安全管理组织架构基础上，根据自身情况专门或合署成立双重预防机制建设工作的内设部门，并以本公司正式文件形式予以明确机构和相关人员工作职责。该部门牵头组织各部门分岗位、分工种全面开展危险源辨识和风险评估，并在本公司内部逐步建立长效工作机制。</w:t>
      </w:r>
      <w:r>
        <w:rPr>
          <w:rFonts w:hint="eastAsia" w:ascii="宋体" w:hAnsi="宋体" w:cs="宋体"/>
          <w:color w:val="000000"/>
          <w:szCs w:val="21"/>
        </w:rPr>
        <w:t>本公司应配备相应的专职人员具体落实各项工作。在本公司自身技术力量或人员能力暂时不足的情况下，可聘请外部机构或专家帮助开展相关工作。</w:t>
      </w:r>
    </w:p>
    <w:p>
      <w:pPr>
        <w:pStyle w:val="2"/>
        <w:spacing w:before="156" w:beforeLines="50" w:after="156" w:afterLines="50" w:line="240" w:lineRule="auto"/>
        <w:rPr>
          <w:rFonts w:ascii="宋体" w:hAnsi="宋体" w:cs="宋体"/>
          <w:kern w:val="2"/>
          <w:sz w:val="21"/>
          <w:szCs w:val="21"/>
        </w:rPr>
      </w:pPr>
      <w:bookmarkStart w:id="30" w:name="_Toc477888840"/>
      <w:bookmarkStart w:id="31" w:name="_Toc13473761"/>
      <w:r>
        <w:rPr>
          <w:rFonts w:hint="eastAsia" w:ascii="宋体" w:hAnsi="宋体" w:cs="宋体"/>
          <w:kern w:val="2"/>
          <w:sz w:val="21"/>
          <w:szCs w:val="21"/>
        </w:rPr>
        <w:t>6.2 人员培训</w:t>
      </w:r>
      <w:bookmarkEnd w:id="30"/>
      <w:bookmarkEnd w:id="31"/>
    </w:p>
    <w:p>
      <w:pPr>
        <w:ind w:firstLine="480"/>
        <w:rPr>
          <w:rFonts w:ascii="宋体" w:hAnsi="宋体" w:cs="宋体"/>
          <w:color w:val="000000"/>
          <w:szCs w:val="21"/>
        </w:rPr>
      </w:pPr>
      <w:r>
        <w:rPr>
          <w:rFonts w:hint="eastAsia" w:ascii="宋体" w:hAnsi="宋体" w:cs="宋体"/>
          <w:color w:val="000000"/>
          <w:szCs w:val="21"/>
        </w:rPr>
        <w:t>通过参加专题培训、本公司间交流观摩等方式加强对本公司专职人员的培训，使专职人员具备双机制建设设所需的相关知识和能力。通过员工三级安全教育和日常班组会议等方式组织对全体员工开展风险意识、危险源辨识、风险评估和防控措施等内容的培训，使全体员工掌握危险源辨识和风险评估的基本方法。</w:t>
      </w:r>
    </w:p>
    <w:p>
      <w:pPr>
        <w:pStyle w:val="2"/>
        <w:spacing w:before="156" w:beforeLines="50" w:after="156" w:afterLines="50" w:line="240" w:lineRule="auto"/>
        <w:rPr>
          <w:rFonts w:ascii="宋体" w:hAnsi="宋体" w:cs="宋体"/>
          <w:kern w:val="2"/>
          <w:sz w:val="21"/>
          <w:szCs w:val="21"/>
        </w:rPr>
      </w:pPr>
      <w:bookmarkStart w:id="32" w:name="_Toc13473762"/>
      <w:r>
        <w:rPr>
          <w:rFonts w:hint="eastAsia" w:ascii="宋体" w:hAnsi="宋体" w:cs="宋体"/>
          <w:kern w:val="2"/>
          <w:sz w:val="21"/>
          <w:szCs w:val="21"/>
        </w:rPr>
        <w:t>6.3 策划与准备</w:t>
      </w:r>
      <w:bookmarkEnd w:id="32"/>
      <w:r>
        <w:rPr>
          <w:rFonts w:hint="eastAsia" w:ascii="宋体" w:hAnsi="宋体" w:cs="宋体"/>
          <w:kern w:val="2"/>
          <w:sz w:val="21"/>
          <w:szCs w:val="21"/>
        </w:rPr>
        <w:tab/>
      </w:r>
    </w:p>
    <w:p>
      <w:pPr>
        <w:pStyle w:val="2"/>
        <w:spacing w:before="156" w:beforeLines="50" w:after="156" w:afterLines="50" w:line="240" w:lineRule="auto"/>
        <w:rPr>
          <w:rFonts w:ascii="宋体" w:hAnsi="宋体" w:cs="宋体"/>
          <w:kern w:val="2"/>
          <w:sz w:val="21"/>
          <w:szCs w:val="21"/>
        </w:rPr>
      </w:pPr>
      <w:bookmarkStart w:id="33" w:name="_Toc13473763"/>
      <w:bookmarkStart w:id="34" w:name="_Toc477888841"/>
      <w:r>
        <w:rPr>
          <w:rFonts w:hint="eastAsia" w:ascii="宋体" w:hAnsi="宋体" w:cs="宋体"/>
          <w:kern w:val="2"/>
          <w:sz w:val="21"/>
          <w:szCs w:val="21"/>
        </w:rPr>
        <w:t>6.3.1 制定建设实施方案</w:t>
      </w:r>
      <w:bookmarkEnd w:id="33"/>
    </w:p>
    <w:p>
      <w:pPr>
        <w:rPr>
          <w:rFonts w:ascii="宋体" w:hAnsi="宋体" w:cs="宋体"/>
          <w:color w:val="000000"/>
          <w:szCs w:val="21"/>
        </w:rPr>
      </w:pPr>
      <w:r>
        <w:rPr>
          <w:rFonts w:hint="eastAsia" w:ascii="宋体" w:hAnsi="宋体" w:cs="宋体"/>
          <w:b/>
          <w:bCs/>
          <w:color w:val="000000"/>
          <w:szCs w:val="21"/>
        </w:rPr>
        <w:t xml:space="preserve">   </w:t>
      </w:r>
      <w:r>
        <w:rPr>
          <w:rFonts w:hint="eastAsia" w:ascii="宋体" w:hAnsi="宋体" w:cs="宋体"/>
          <w:color w:val="000000"/>
          <w:szCs w:val="21"/>
        </w:rPr>
        <w:t xml:space="preserve"> 制定各本公司双重预防机制建设总体实施方案及各年度实施方案，明确要实现的工作目标、实施步骤及经费预算等。</w:t>
      </w:r>
    </w:p>
    <w:p>
      <w:pPr>
        <w:pStyle w:val="2"/>
        <w:spacing w:before="156" w:beforeLines="50" w:after="156" w:afterLines="50" w:line="240" w:lineRule="auto"/>
        <w:rPr>
          <w:rFonts w:ascii="宋体" w:hAnsi="宋体" w:cs="宋体"/>
          <w:kern w:val="2"/>
          <w:sz w:val="21"/>
          <w:szCs w:val="21"/>
        </w:rPr>
      </w:pPr>
      <w:bookmarkStart w:id="35" w:name="_Toc13473764"/>
      <w:r>
        <w:rPr>
          <w:rFonts w:hint="eastAsia" w:ascii="宋体" w:hAnsi="宋体" w:cs="宋体"/>
          <w:kern w:val="2"/>
          <w:sz w:val="21"/>
          <w:szCs w:val="21"/>
        </w:rPr>
        <w:t>6.3.2 基础资料收集</w:t>
      </w:r>
      <w:bookmarkEnd w:id="35"/>
    </w:p>
    <w:p>
      <w:pPr>
        <w:ind w:firstLine="480"/>
        <w:rPr>
          <w:rFonts w:ascii="宋体" w:hAnsi="宋体" w:cs="宋体"/>
          <w:color w:val="000000"/>
          <w:szCs w:val="21"/>
        </w:rPr>
      </w:pPr>
      <w:r>
        <w:rPr>
          <w:rFonts w:hint="eastAsia" w:ascii="宋体" w:hAnsi="宋体" w:cs="宋体"/>
          <w:color w:val="000000"/>
          <w:szCs w:val="21"/>
        </w:rPr>
        <w:t>在开展危险源辨识与评估前，需要收集本公司相关资料，至少包括：</w:t>
      </w:r>
    </w:p>
    <w:p>
      <w:pPr>
        <w:ind w:firstLine="480"/>
        <w:rPr>
          <w:rFonts w:ascii="宋体" w:hAnsi="宋体" w:cs="宋体"/>
          <w:color w:val="000000"/>
          <w:szCs w:val="21"/>
        </w:rPr>
      </w:pPr>
      <w:r>
        <w:rPr>
          <w:rFonts w:hint="eastAsia" w:ascii="宋体" w:hAnsi="宋体" w:cs="宋体"/>
          <w:color w:val="000000"/>
          <w:szCs w:val="21"/>
        </w:rPr>
        <w:t>a）相关法规、政策规定和标准；</w:t>
      </w:r>
    </w:p>
    <w:p>
      <w:pPr>
        <w:ind w:firstLine="480"/>
        <w:rPr>
          <w:rFonts w:ascii="宋体" w:hAnsi="宋体" w:cs="宋体"/>
          <w:color w:val="000000"/>
          <w:szCs w:val="21"/>
        </w:rPr>
      </w:pPr>
      <w:r>
        <w:rPr>
          <w:rFonts w:hint="eastAsia" w:ascii="宋体" w:hAnsi="宋体" w:cs="宋体"/>
          <w:color w:val="000000"/>
          <w:szCs w:val="21"/>
        </w:rPr>
        <w:t>b）相关工艺、设施的法定检测报告；</w:t>
      </w:r>
    </w:p>
    <w:p>
      <w:pPr>
        <w:ind w:firstLine="480"/>
        <w:rPr>
          <w:rFonts w:ascii="宋体" w:hAnsi="宋体" w:cs="宋体"/>
          <w:color w:val="000000"/>
          <w:szCs w:val="21"/>
        </w:rPr>
      </w:pPr>
      <w:r>
        <w:rPr>
          <w:rFonts w:hint="eastAsia" w:ascii="宋体" w:hAnsi="宋体" w:cs="宋体"/>
          <w:color w:val="000000"/>
          <w:szCs w:val="21"/>
        </w:rPr>
        <w:t>c）详细的工艺、装置、设备说明书和工艺流程图；</w:t>
      </w:r>
    </w:p>
    <w:p>
      <w:pPr>
        <w:ind w:firstLine="480"/>
        <w:rPr>
          <w:rFonts w:ascii="宋体" w:hAnsi="宋体" w:cs="宋体"/>
          <w:color w:val="000000"/>
          <w:szCs w:val="21"/>
        </w:rPr>
      </w:pPr>
      <w:r>
        <w:rPr>
          <w:rFonts w:hint="eastAsia" w:ascii="宋体" w:hAnsi="宋体" w:cs="宋体"/>
          <w:color w:val="000000"/>
          <w:szCs w:val="21"/>
        </w:rPr>
        <w:t>d）设备试运行方案、操作运行规程、维修措施、应急处置措施；</w:t>
      </w:r>
    </w:p>
    <w:p>
      <w:pPr>
        <w:ind w:firstLine="480"/>
        <w:rPr>
          <w:rFonts w:ascii="宋体" w:hAnsi="宋体" w:cs="宋体"/>
          <w:color w:val="000000"/>
          <w:szCs w:val="21"/>
        </w:rPr>
      </w:pPr>
      <w:r>
        <w:rPr>
          <w:rFonts w:hint="eastAsia" w:ascii="宋体" w:hAnsi="宋体" w:cs="宋体"/>
          <w:color w:val="000000"/>
          <w:szCs w:val="21"/>
        </w:rPr>
        <w:t>e）工艺物料或危险化学品的理化性质说明书；</w:t>
      </w:r>
    </w:p>
    <w:p>
      <w:pPr>
        <w:ind w:firstLine="480"/>
        <w:rPr>
          <w:rFonts w:ascii="宋体" w:hAnsi="宋体" w:cs="宋体"/>
          <w:color w:val="000000"/>
          <w:szCs w:val="21"/>
        </w:rPr>
      </w:pPr>
      <w:r>
        <w:rPr>
          <w:rFonts w:hint="eastAsia" w:ascii="宋体" w:hAnsi="宋体" w:cs="宋体"/>
          <w:color w:val="000000"/>
          <w:szCs w:val="21"/>
        </w:rPr>
        <w:t>f）本本公司及相关行业事故资料。</w:t>
      </w:r>
    </w:p>
    <w:p>
      <w:pPr>
        <w:pStyle w:val="2"/>
        <w:spacing w:before="156" w:beforeLines="50" w:after="156" w:afterLines="50" w:line="240" w:lineRule="auto"/>
        <w:rPr>
          <w:rFonts w:ascii="宋体" w:hAnsi="宋体" w:cs="宋体"/>
          <w:kern w:val="2"/>
          <w:sz w:val="21"/>
          <w:szCs w:val="21"/>
        </w:rPr>
      </w:pPr>
      <w:bookmarkStart w:id="36" w:name="_Toc13473765"/>
      <w:bookmarkStart w:id="37" w:name="_Toc13473580"/>
      <w:r>
        <w:rPr>
          <w:rFonts w:hint="eastAsia" w:ascii="宋体" w:hAnsi="宋体" w:cs="宋体"/>
          <w:kern w:val="2"/>
          <w:sz w:val="21"/>
          <w:szCs w:val="21"/>
        </w:rPr>
        <w:t>6.4</w:t>
      </w:r>
      <w:bookmarkEnd w:id="34"/>
      <w:r>
        <w:rPr>
          <w:rFonts w:hint="eastAsia" w:ascii="宋体" w:hAnsi="宋体" w:cs="宋体"/>
          <w:kern w:val="2"/>
          <w:sz w:val="21"/>
          <w:szCs w:val="21"/>
        </w:rPr>
        <w:t>危险源辨识</w:t>
      </w:r>
      <w:bookmarkEnd w:id="36"/>
      <w:bookmarkEnd w:id="37"/>
    </w:p>
    <w:p>
      <w:pPr>
        <w:pStyle w:val="2"/>
        <w:spacing w:before="156" w:beforeLines="50" w:after="156" w:afterLines="50" w:line="240" w:lineRule="auto"/>
        <w:rPr>
          <w:rFonts w:ascii="宋体" w:hAnsi="宋体" w:cs="宋体"/>
          <w:kern w:val="2"/>
          <w:sz w:val="21"/>
          <w:szCs w:val="21"/>
        </w:rPr>
      </w:pPr>
      <w:bookmarkStart w:id="38" w:name="_Toc13473766"/>
      <w:r>
        <w:rPr>
          <w:rFonts w:hint="eastAsia" w:ascii="宋体" w:hAnsi="宋体" w:cs="宋体"/>
          <w:kern w:val="2"/>
          <w:sz w:val="21"/>
          <w:szCs w:val="21"/>
        </w:rPr>
        <w:t>6.4.1 辨识范围</w:t>
      </w:r>
      <w:bookmarkEnd w:id="38"/>
    </w:p>
    <w:p>
      <w:pPr>
        <w:pStyle w:val="17"/>
        <w:ind w:left="422" w:leftChars="201" w:firstLine="0" w:firstLineChars="0"/>
        <w:rPr>
          <w:rFonts w:hAnsi="宋体" w:cs="宋体"/>
          <w:kern w:val="2"/>
          <w:szCs w:val="21"/>
        </w:rPr>
      </w:pPr>
      <w:r>
        <w:rPr>
          <w:rFonts w:hint="eastAsia" w:hAnsi="宋体" w:cs="宋体"/>
          <w:kern w:val="2"/>
          <w:szCs w:val="21"/>
        </w:rPr>
        <w:t>危险源辨识范围应包括：</w:t>
      </w:r>
    </w:p>
    <w:p>
      <w:pPr>
        <w:pStyle w:val="19"/>
        <w:tabs>
          <w:tab w:val="clear" w:pos="720"/>
        </w:tabs>
        <w:ind w:left="422" w:leftChars="201"/>
        <w:rPr>
          <w:rFonts w:hAnsi="宋体" w:cs="宋体"/>
          <w:kern w:val="2"/>
          <w:szCs w:val="21"/>
        </w:rPr>
      </w:pPr>
      <w:r>
        <w:rPr>
          <w:rFonts w:hint="eastAsia" w:hAnsi="宋体" w:cs="宋体"/>
          <w:kern w:val="2"/>
          <w:szCs w:val="21"/>
        </w:rPr>
        <w:t>a)规划、设计、建设、投产、运行等阶段；</w:t>
      </w:r>
    </w:p>
    <w:p>
      <w:pPr>
        <w:pStyle w:val="19"/>
        <w:tabs>
          <w:tab w:val="clear" w:pos="720"/>
        </w:tabs>
        <w:ind w:left="422" w:leftChars="201"/>
        <w:rPr>
          <w:rFonts w:hAnsi="宋体" w:cs="宋体"/>
          <w:kern w:val="2"/>
          <w:szCs w:val="21"/>
        </w:rPr>
      </w:pPr>
      <w:r>
        <w:rPr>
          <w:rFonts w:hint="eastAsia" w:hAnsi="宋体" w:cs="宋体"/>
          <w:kern w:val="2"/>
          <w:szCs w:val="21"/>
        </w:rPr>
        <w:t>b)常规和非常规作业活动；</w:t>
      </w:r>
    </w:p>
    <w:p>
      <w:pPr>
        <w:pStyle w:val="19"/>
        <w:tabs>
          <w:tab w:val="clear" w:pos="720"/>
        </w:tabs>
        <w:ind w:left="422" w:leftChars="201"/>
        <w:rPr>
          <w:rFonts w:hAnsi="宋体" w:cs="宋体"/>
          <w:kern w:val="2"/>
          <w:szCs w:val="21"/>
        </w:rPr>
      </w:pPr>
      <w:r>
        <w:rPr>
          <w:rFonts w:hint="eastAsia" w:hAnsi="宋体" w:cs="宋体"/>
          <w:kern w:val="2"/>
          <w:szCs w:val="21"/>
        </w:rPr>
        <w:t>c)事故及潜在的紧急情况；</w:t>
      </w:r>
    </w:p>
    <w:p>
      <w:pPr>
        <w:pStyle w:val="19"/>
        <w:tabs>
          <w:tab w:val="clear" w:pos="720"/>
        </w:tabs>
        <w:ind w:left="422" w:leftChars="201"/>
        <w:rPr>
          <w:rFonts w:hAnsi="宋体" w:cs="宋体"/>
          <w:kern w:val="2"/>
          <w:szCs w:val="21"/>
        </w:rPr>
      </w:pPr>
      <w:r>
        <w:rPr>
          <w:rFonts w:hint="eastAsia" w:hAnsi="宋体" w:cs="宋体"/>
          <w:kern w:val="2"/>
          <w:szCs w:val="21"/>
        </w:rPr>
        <w:t>d)所有进入作业场所人员的活动；</w:t>
      </w:r>
    </w:p>
    <w:p>
      <w:pPr>
        <w:pStyle w:val="19"/>
        <w:tabs>
          <w:tab w:val="clear" w:pos="720"/>
        </w:tabs>
        <w:ind w:left="422" w:leftChars="201"/>
        <w:rPr>
          <w:rFonts w:hAnsi="宋体" w:cs="宋体"/>
          <w:kern w:val="2"/>
          <w:szCs w:val="21"/>
        </w:rPr>
      </w:pPr>
      <w:r>
        <w:rPr>
          <w:rFonts w:hint="eastAsia" w:hAnsi="宋体" w:cs="宋体"/>
          <w:kern w:val="2"/>
          <w:szCs w:val="21"/>
        </w:rPr>
        <w:t>e)原材料、产品的运输和使用过程；</w:t>
      </w:r>
    </w:p>
    <w:p>
      <w:pPr>
        <w:pStyle w:val="19"/>
        <w:tabs>
          <w:tab w:val="clear" w:pos="720"/>
        </w:tabs>
        <w:ind w:left="422" w:leftChars="201"/>
        <w:rPr>
          <w:rFonts w:hAnsi="宋体" w:cs="宋体"/>
          <w:kern w:val="2"/>
          <w:szCs w:val="21"/>
        </w:rPr>
      </w:pPr>
      <w:r>
        <w:rPr>
          <w:rFonts w:hint="eastAsia" w:hAnsi="宋体" w:cs="宋体"/>
          <w:kern w:val="2"/>
          <w:szCs w:val="21"/>
        </w:rPr>
        <w:t>f)作业场所的设施、设备、车辆、安全防护用品；</w:t>
      </w:r>
    </w:p>
    <w:p>
      <w:pPr>
        <w:pStyle w:val="19"/>
        <w:tabs>
          <w:tab w:val="clear" w:pos="720"/>
        </w:tabs>
        <w:ind w:left="422" w:leftChars="201"/>
        <w:rPr>
          <w:rFonts w:hAnsi="宋体" w:cs="宋体"/>
          <w:kern w:val="2"/>
          <w:szCs w:val="21"/>
        </w:rPr>
      </w:pPr>
      <w:r>
        <w:rPr>
          <w:rFonts w:hint="eastAsia" w:hAnsi="宋体" w:cs="宋体"/>
          <w:kern w:val="2"/>
          <w:szCs w:val="21"/>
        </w:rPr>
        <w:t>g)工艺、设备、管理、人员等变更；</w:t>
      </w:r>
    </w:p>
    <w:p>
      <w:pPr>
        <w:pStyle w:val="19"/>
        <w:tabs>
          <w:tab w:val="clear" w:pos="720"/>
        </w:tabs>
        <w:ind w:left="422" w:leftChars="201"/>
        <w:rPr>
          <w:rFonts w:hAnsi="宋体" w:cs="宋体"/>
          <w:kern w:val="2"/>
          <w:szCs w:val="21"/>
        </w:rPr>
      </w:pPr>
      <w:r>
        <w:rPr>
          <w:rFonts w:hint="eastAsia" w:hAnsi="宋体" w:cs="宋体"/>
          <w:kern w:val="2"/>
          <w:szCs w:val="21"/>
        </w:rPr>
        <w:t>h)丢弃、废弃、拆除与处置；</w:t>
      </w:r>
    </w:p>
    <w:p>
      <w:pPr>
        <w:pStyle w:val="19"/>
        <w:tabs>
          <w:tab w:val="clear" w:pos="720"/>
        </w:tabs>
        <w:ind w:left="422" w:leftChars="201"/>
        <w:rPr>
          <w:rFonts w:hAnsi="宋体" w:cs="宋体"/>
          <w:kern w:val="2"/>
          <w:szCs w:val="21"/>
        </w:rPr>
      </w:pPr>
      <w:r>
        <w:rPr>
          <w:rFonts w:hint="eastAsia" w:hAnsi="宋体" w:cs="宋体"/>
          <w:kern w:val="2"/>
          <w:szCs w:val="21"/>
        </w:rPr>
        <w:t>i)气候、地质及环境影响等。</w:t>
      </w:r>
    </w:p>
    <w:p>
      <w:pPr>
        <w:pStyle w:val="2"/>
        <w:spacing w:before="156" w:beforeLines="50" w:after="156" w:afterLines="50" w:line="240" w:lineRule="auto"/>
        <w:rPr>
          <w:rFonts w:ascii="宋体" w:hAnsi="宋体" w:cs="宋体"/>
          <w:kern w:val="2"/>
          <w:sz w:val="21"/>
          <w:szCs w:val="21"/>
        </w:rPr>
      </w:pPr>
      <w:bookmarkStart w:id="39" w:name="_Toc13473767"/>
      <w:r>
        <w:rPr>
          <w:rFonts w:hint="eastAsia" w:ascii="宋体" w:hAnsi="宋体" w:cs="宋体"/>
          <w:kern w:val="2"/>
          <w:sz w:val="21"/>
          <w:szCs w:val="21"/>
        </w:rPr>
        <w:t>6.4.2 辨识方法</w:t>
      </w:r>
      <w:bookmarkEnd w:id="39"/>
    </w:p>
    <w:p>
      <w:pPr>
        <w:ind w:firstLine="420"/>
        <w:rPr>
          <w:rFonts w:ascii="宋体" w:hAnsi="宋体" w:cs="宋体"/>
          <w:szCs w:val="21"/>
        </w:rPr>
      </w:pPr>
      <w:r>
        <w:rPr>
          <w:rFonts w:hint="eastAsia" w:ascii="宋体" w:hAnsi="宋体" w:cs="宋体"/>
          <w:szCs w:val="21"/>
        </w:rPr>
        <w:t>对于设备设施类危险源辨识可采用安全检查表分析(SCL)等方法；对于作业活动危险源辨识可采用作业危害分析法（JHA）等方法；对于复杂的工艺可采用危险与可操作性分析法（HAZOP）或类比法、事故树分析法等方法进行危险源辨识。</w:t>
      </w:r>
    </w:p>
    <w:p>
      <w:pPr>
        <w:pStyle w:val="2"/>
        <w:spacing w:before="156" w:beforeLines="50" w:after="156" w:afterLines="50" w:line="240" w:lineRule="auto"/>
        <w:rPr>
          <w:rFonts w:ascii="宋体" w:hAnsi="宋体" w:cs="宋体"/>
          <w:kern w:val="2"/>
          <w:sz w:val="21"/>
          <w:szCs w:val="21"/>
        </w:rPr>
      </w:pPr>
      <w:bookmarkStart w:id="40" w:name="_Toc13473768"/>
      <w:r>
        <w:rPr>
          <w:rFonts w:hint="eastAsia" w:ascii="宋体" w:hAnsi="宋体" w:cs="宋体"/>
          <w:kern w:val="2"/>
          <w:sz w:val="21"/>
          <w:szCs w:val="21"/>
        </w:rPr>
        <w:t>6.4.3 辨识要求</w:t>
      </w:r>
      <w:bookmarkEnd w:id="40"/>
    </w:p>
    <w:p>
      <w:pPr>
        <w:ind w:firstLine="420"/>
        <w:rPr>
          <w:rFonts w:ascii="宋体" w:hAnsi="宋体" w:cs="宋体"/>
          <w:szCs w:val="21"/>
        </w:rPr>
      </w:pPr>
      <w:r>
        <w:rPr>
          <w:rFonts w:hint="eastAsia" w:ascii="宋体" w:hAnsi="宋体" w:cs="宋体"/>
          <w:szCs w:val="21"/>
        </w:rPr>
        <w:t>本公司危险源辨识必须以科学的方法，全面、详细地剖析生产系统，确定危险源存在的部位、存在的方式、事故发生的途径及其变化的规律，并予以准确描述。</w:t>
      </w:r>
    </w:p>
    <w:p>
      <w:pPr>
        <w:ind w:firstLine="420"/>
        <w:rPr>
          <w:rFonts w:ascii="宋体" w:hAnsi="宋体" w:cs="宋体"/>
          <w:szCs w:val="21"/>
        </w:rPr>
      </w:pPr>
      <w:r>
        <w:rPr>
          <w:rFonts w:hint="eastAsia" w:ascii="宋体" w:hAnsi="宋体" w:cs="宋体"/>
          <w:b/>
          <w:bCs/>
          <w:szCs w:val="21"/>
        </w:rPr>
        <w:t>a)</w:t>
      </w:r>
      <w:r>
        <w:rPr>
          <w:rFonts w:hint="eastAsia" w:ascii="宋体" w:hAnsi="宋体" w:cs="宋体"/>
          <w:szCs w:val="21"/>
        </w:rPr>
        <w:t>对于设施、部位、场所、区域类，应遵循大小适中、便于分类、功能独立、易于管理、范围清晰的原则。</w:t>
      </w:r>
    </w:p>
    <w:p>
      <w:pPr>
        <w:ind w:firstLine="420"/>
        <w:rPr>
          <w:rFonts w:ascii="宋体" w:hAnsi="宋体" w:cs="宋体"/>
          <w:szCs w:val="21"/>
        </w:rPr>
      </w:pPr>
      <w:r>
        <w:rPr>
          <w:rFonts w:hint="eastAsia" w:ascii="宋体" w:hAnsi="宋体" w:cs="宋体"/>
          <w:szCs w:val="21"/>
        </w:rPr>
        <w:t>示例：如储罐区、装卸站台、消防控制室、消防水池、生产装置、作业场所、人员密集场所等。</w:t>
      </w:r>
    </w:p>
    <w:p>
      <w:pPr>
        <w:rPr>
          <w:rFonts w:ascii="宋体" w:hAnsi="宋体" w:cs="宋体"/>
          <w:szCs w:val="21"/>
        </w:rPr>
      </w:pPr>
      <w:r>
        <w:rPr>
          <w:rFonts w:hint="eastAsia" w:ascii="宋体" w:hAnsi="宋体" w:cs="宋体"/>
          <w:szCs w:val="21"/>
        </w:rPr>
        <w:t xml:space="preserve">    b)对于操作及作业活动，应涵盖生产经营全过程所有常规和非常规的作业活动。</w:t>
      </w:r>
    </w:p>
    <w:p>
      <w:pPr>
        <w:ind w:firstLine="420"/>
        <w:rPr>
          <w:rFonts w:ascii="宋体" w:hAnsi="宋体" w:cs="宋体"/>
          <w:szCs w:val="21"/>
        </w:rPr>
      </w:pPr>
      <w:r>
        <w:rPr>
          <w:rFonts w:hint="eastAsia" w:ascii="宋体" w:hAnsi="宋体" w:cs="宋体"/>
          <w:szCs w:val="21"/>
        </w:rPr>
        <w:t>示例：动火、进入有限空间等特殊作业活动。</w:t>
      </w:r>
    </w:p>
    <w:p>
      <w:pPr>
        <w:ind w:firstLine="420"/>
        <w:rPr>
          <w:rFonts w:ascii="宋体" w:hAnsi="宋体" w:cs="宋体"/>
          <w:szCs w:val="21"/>
        </w:rPr>
      </w:pPr>
      <w:r>
        <w:rPr>
          <w:rFonts w:hint="eastAsia" w:ascii="宋体" w:hAnsi="宋体" w:cs="宋体"/>
          <w:szCs w:val="21"/>
        </w:rPr>
        <w:t>c)辨识危险源也可以从能量和物质的角度进行提示。其中从能量的角度可以考虑机械能、电能、化学能、热能和辐射能等。</w:t>
      </w:r>
      <w:bookmarkStart w:id="41" w:name="_Toc449973097"/>
    </w:p>
    <w:p>
      <w:pPr>
        <w:ind w:firstLine="420"/>
        <w:rPr>
          <w:rFonts w:ascii="宋体" w:hAnsi="宋体" w:cs="宋体"/>
          <w:szCs w:val="21"/>
        </w:rPr>
      </w:pPr>
      <w:r>
        <w:rPr>
          <w:rFonts w:hint="eastAsia" w:ascii="宋体" w:hAnsi="宋体" w:cs="宋体"/>
          <w:szCs w:val="21"/>
        </w:rPr>
        <w:t>d)在辨识过程中，充分考虑分析“三种时态”和“三种状态”下的危险有害因素，分析危害出现的条件和可能发生的事故或故障模型。</w:t>
      </w:r>
    </w:p>
    <w:p>
      <w:pPr>
        <w:ind w:firstLine="420"/>
        <w:rPr>
          <w:rFonts w:ascii="宋体" w:hAnsi="宋体" w:cs="宋体"/>
          <w:szCs w:val="21"/>
        </w:rPr>
      </w:pPr>
      <w:r>
        <w:rPr>
          <w:rFonts w:hint="eastAsia" w:ascii="宋体" w:hAnsi="宋体" w:cs="宋体"/>
          <w:szCs w:val="21"/>
        </w:rPr>
        <w:t>备注：“三种时态”是指过去时态、现在时态、将来时态。过去时态主要是评估以往残余风险的影响程度，并确定这种影响程度是否属于可接受的范围；现在时态主要是评估现有的风险控制措施是否可以使风险降低到可接受的范围；将来时态主要是评估计划实施的生产活动可能带来的风险影响程度是否在可接受的范围。“三种状态”是指人员行为和生产设施的正常状态、异常状态、紧急状态。人员行为和生产设施的正常状态即正常生产活动，异常状态是指人的不安全行为和生产设施故障，紧急状态是指将要发生或正在发生的重大危险，如设备被迫停运、火灾爆炸事故等。</w:t>
      </w:r>
    </w:p>
    <w:bookmarkEnd w:id="41"/>
    <w:p>
      <w:pPr>
        <w:pStyle w:val="2"/>
        <w:spacing w:before="156" w:beforeLines="50" w:after="156" w:afterLines="50" w:line="240" w:lineRule="auto"/>
        <w:rPr>
          <w:rFonts w:ascii="宋体" w:hAnsi="宋体" w:cs="宋体"/>
          <w:kern w:val="2"/>
          <w:sz w:val="21"/>
          <w:szCs w:val="21"/>
        </w:rPr>
      </w:pPr>
      <w:bookmarkStart w:id="42" w:name="_Toc13473769"/>
      <w:r>
        <w:rPr>
          <w:rFonts w:hint="eastAsia" w:ascii="宋体" w:hAnsi="宋体" w:cs="宋体"/>
          <w:kern w:val="2"/>
          <w:sz w:val="21"/>
          <w:szCs w:val="21"/>
        </w:rPr>
        <w:t>6.5风险评估</w:t>
      </w:r>
      <w:bookmarkEnd w:id="42"/>
    </w:p>
    <w:p>
      <w:pPr>
        <w:ind w:firstLine="420"/>
        <w:rPr>
          <w:rFonts w:ascii="宋体" w:hAnsi="宋体" w:cs="宋体"/>
          <w:b/>
          <w:szCs w:val="21"/>
          <w:lang w:val="zh-CN"/>
        </w:rPr>
      </w:pPr>
      <w:bookmarkStart w:id="43" w:name="_Toc475991004"/>
      <w:r>
        <w:rPr>
          <w:rFonts w:hint="eastAsia" w:ascii="宋体" w:hAnsi="宋体" w:cs="宋体"/>
          <w:szCs w:val="21"/>
        </w:rPr>
        <w:t>本公司可以根据自身实际情况选用适当的风险评估方法，表1列出了一些常用的评估方法及其适用范围。</w:t>
      </w:r>
      <w:bookmarkEnd w:id="43"/>
    </w:p>
    <w:p>
      <w:pPr>
        <w:tabs>
          <w:tab w:val="left" w:pos="5954"/>
        </w:tabs>
        <w:snapToGrid w:val="0"/>
        <w:spacing w:before="120" w:after="31"/>
        <w:jc w:val="center"/>
        <w:rPr>
          <w:rFonts w:ascii="宋体" w:hAnsi="宋体" w:cs="宋体"/>
          <w:b/>
          <w:szCs w:val="21"/>
          <w:lang w:val="zh-CN"/>
        </w:rPr>
      </w:pPr>
    </w:p>
    <w:p>
      <w:pPr>
        <w:tabs>
          <w:tab w:val="left" w:pos="5954"/>
        </w:tabs>
        <w:snapToGrid w:val="0"/>
        <w:spacing w:before="120" w:after="31"/>
        <w:jc w:val="center"/>
        <w:rPr>
          <w:rFonts w:ascii="宋体" w:hAnsi="宋体" w:cs="宋体"/>
          <w:b/>
          <w:szCs w:val="21"/>
          <w:lang w:val="zh-CN"/>
        </w:rPr>
      </w:pPr>
      <w:r>
        <w:rPr>
          <w:rFonts w:hint="eastAsia" w:ascii="宋体" w:hAnsi="宋体" w:cs="宋体"/>
          <w:b/>
          <w:szCs w:val="21"/>
          <w:lang w:val="zh-CN"/>
        </w:rPr>
        <w:t>表1常用风险评估方法</w:t>
      </w:r>
    </w:p>
    <w:tbl>
      <w:tblPr>
        <w:tblStyle w:val="11"/>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83"/>
        <w:gridCol w:w="1320"/>
        <w:gridCol w:w="1713"/>
        <w:gridCol w:w="1025"/>
        <w:gridCol w:w="990"/>
        <w:gridCol w:w="930"/>
        <w:gridCol w:w="795"/>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blHeader/>
        </w:trPr>
        <w:tc>
          <w:tcPr>
            <w:tcW w:w="1583" w:type="dxa"/>
            <w:vMerge w:val="restart"/>
            <w:vAlign w:val="center"/>
          </w:tcPr>
          <w:p>
            <w:pPr>
              <w:snapToGrid w:val="0"/>
              <w:jc w:val="center"/>
              <w:rPr>
                <w:rFonts w:ascii="宋体" w:hAnsi="宋体" w:cs="宋体"/>
                <w:b/>
                <w:color w:val="000000"/>
                <w:szCs w:val="21"/>
              </w:rPr>
            </w:pPr>
            <w:r>
              <w:rPr>
                <w:rFonts w:hint="eastAsia" w:ascii="宋体" w:hAnsi="宋体" w:cs="宋体"/>
                <w:b/>
                <w:color w:val="000000"/>
                <w:szCs w:val="21"/>
              </w:rPr>
              <w:t>评估方法</w:t>
            </w:r>
          </w:p>
        </w:tc>
        <w:tc>
          <w:tcPr>
            <w:tcW w:w="1320" w:type="dxa"/>
            <w:vMerge w:val="restart"/>
            <w:vAlign w:val="center"/>
          </w:tcPr>
          <w:p>
            <w:pPr>
              <w:snapToGrid w:val="0"/>
              <w:jc w:val="center"/>
              <w:rPr>
                <w:rFonts w:ascii="宋体" w:hAnsi="宋体" w:cs="宋体"/>
                <w:b/>
                <w:color w:val="000000"/>
                <w:szCs w:val="21"/>
              </w:rPr>
            </w:pPr>
            <w:r>
              <w:rPr>
                <w:rFonts w:hint="eastAsia" w:ascii="宋体" w:hAnsi="宋体" w:cs="宋体"/>
                <w:b/>
                <w:color w:val="000000"/>
                <w:szCs w:val="21"/>
              </w:rPr>
              <w:t>评估目的</w:t>
            </w:r>
          </w:p>
        </w:tc>
        <w:tc>
          <w:tcPr>
            <w:tcW w:w="1713" w:type="dxa"/>
            <w:vMerge w:val="restart"/>
            <w:vAlign w:val="center"/>
          </w:tcPr>
          <w:p>
            <w:pPr>
              <w:snapToGrid w:val="0"/>
              <w:jc w:val="center"/>
              <w:rPr>
                <w:rFonts w:ascii="宋体" w:hAnsi="宋体" w:cs="宋体"/>
                <w:b/>
                <w:color w:val="000000"/>
                <w:szCs w:val="21"/>
              </w:rPr>
            </w:pPr>
            <w:r>
              <w:rPr>
                <w:rFonts w:hint="eastAsia" w:ascii="宋体" w:hAnsi="宋体" w:cs="宋体"/>
                <w:b/>
                <w:color w:val="000000"/>
                <w:szCs w:val="21"/>
              </w:rPr>
              <w:t>适用范围</w:t>
            </w:r>
          </w:p>
        </w:tc>
        <w:tc>
          <w:tcPr>
            <w:tcW w:w="1025" w:type="dxa"/>
            <w:vMerge w:val="restart"/>
            <w:vAlign w:val="center"/>
          </w:tcPr>
          <w:p>
            <w:pPr>
              <w:snapToGrid w:val="0"/>
              <w:jc w:val="center"/>
              <w:rPr>
                <w:rFonts w:ascii="宋体" w:hAnsi="宋体" w:cs="宋体"/>
                <w:b/>
                <w:color w:val="000000"/>
                <w:szCs w:val="21"/>
              </w:rPr>
            </w:pPr>
            <w:r>
              <w:rPr>
                <w:rFonts w:hint="eastAsia" w:ascii="宋体" w:hAnsi="宋体" w:cs="宋体"/>
                <w:b/>
                <w:color w:val="000000"/>
                <w:szCs w:val="21"/>
              </w:rPr>
              <w:t>定性</w:t>
            </w:r>
          </w:p>
          <w:p>
            <w:pPr>
              <w:snapToGrid w:val="0"/>
              <w:jc w:val="center"/>
              <w:rPr>
                <w:rFonts w:ascii="宋体" w:hAnsi="宋体" w:cs="宋体"/>
                <w:b/>
                <w:color w:val="000000"/>
                <w:szCs w:val="21"/>
              </w:rPr>
            </w:pPr>
            <w:r>
              <w:rPr>
                <w:rFonts w:hint="eastAsia" w:ascii="宋体" w:hAnsi="宋体" w:cs="宋体"/>
                <w:b/>
                <w:color w:val="000000"/>
                <w:szCs w:val="21"/>
              </w:rPr>
              <w:t>或定量</w:t>
            </w:r>
          </w:p>
        </w:tc>
        <w:tc>
          <w:tcPr>
            <w:tcW w:w="3615" w:type="dxa"/>
            <w:gridSpan w:val="4"/>
            <w:vAlign w:val="center"/>
          </w:tcPr>
          <w:p>
            <w:pPr>
              <w:snapToGrid w:val="0"/>
              <w:jc w:val="center"/>
              <w:rPr>
                <w:rFonts w:ascii="宋体" w:hAnsi="宋体" w:cs="宋体"/>
                <w:b/>
                <w:color w:val="000000"/>
                <w:szCs w:val="21"/>
              </w:rPr>
            </w:pPr>
            <w:r>
              <w:rPr>
                <w:rFonts w:hint="eastAsia" w:ascii="宋体" w:hAnsi="宋体" w:cs="宋体"/>
                <w:b/>
                <w:color w:val="000000"/>
                <w:szCs w:val="21"/>
              </w:rPr>
              <w:t>可提供的评估结果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blHeader/>
        </w:trPr>
        <w:tc>
          <w:tcPr>
            <w:tcW w:w="1583" w:type="dxa"/>
            <w:vMerge w:val="continue"/>
            <w:vAlign w:val="center"/>
          </w:tcPr>
          <w:p>
            <w:pPr>
              <w:snapToGrid w:val="0"/>
              <w:jc w:val="center"/>
              <w:rPr>
                <w:rFonts w:ascii="宋体" w:hAnsi="宋体" w:cs="宋体"/>
                <w:b/>
                <w:color w:val="000000"/>
                <w:szCs w:val="21"/>
              </w:rPr>
            </w:pPr>
          </w:p>
        </w:tc>
        <w:tc>
          <w:tcPr>
            <w:tcW w:w="1320" w:type="dxa"/>
            <w:vMerge w:val="continue"/>
            <w:vAlign w:val="center"/>
          </w:tcPr>
          <w:p>
            <w:pPr>
              <w:snapToGrid w:val="0"/>
              <w:jc w:val="center"/>
              <w:rPr>
                <w:rFonts w:ascii="宋体" w:hAnsi="宋体" w:cs="宋体"/>
                <w:b/>
                <w:color w:val="000000"/>
                <w:szCs w:val="21"/>
              </w:rPr>
            </w:pPr>
          </w:p>
        </w:tc>
        <w:tc>
          <w:tcPr>
            <w:tcW w:w="1713" w:type="dxa"/>
            <w:vMerge w:val="continue"/>
            <w:vAlign w:val="center"/>
          </w:tcPr>
          <w:p>
            <w:pPr>
              <w:snapToGrid w:val="0"/>
              <w:jc w:val="center"/>
              <w:rPr>
                <w:rFonts w:ascii="宋体" w:hAnsi="宋体" w:cs="宋体"/>
                <w:b/>
                <w:color w:val="000000"/>
                <w:szCs w:val="21"/>
              </w:rPr>
            </w:pPr>
          </w:p>
        </w:tc>
        <w:tc>
          <w:tcPr>
            <w:tcW w:w="1025" w:type="dxa"/>
            <w:vMerge w:val="continue"/>
            <w:vAlign w:val="center"/>
          </w:tcPr>
          <w:p>
            <w:pPr>
              <w:snapToGrid w:val="0"/>
              <w:jc w:val="center"/>
              <w:rPr>
                <w:rFonts w:ascii="宋体" w:hAnsi="宋体" w:cs="宋体"/>
                <w:b/>
                <w:color w:val="000000"/>
                <w:szCs w:val="21"/>
              </w:rPr>
            </w:pPr>
          </w:p>
        </w:tc>
        <w:tc>
          <w:tcPr>
            <w:tcW w:w="990" w:type="dxa"/>
            <w:vAlign w:val="center"/>
          </w:tcPr>
          <w:p>
            <w:pPr>
              <w:snapToGrid w:val="0"/>
              <w:jc w:val="center"/>
              <w:rPr>
                <w:rFonts w:ascii="宋体" w:hAnsi="宋体" w:cs="宋体"/>
                <w:b/>
                <w:color w:val="000000"/>
                <w:szCs w:val="21"/>
              </w:rPr>
            </w:pPr>
            <w:r>
              <w:rPr>
                <w:rFonts w:hint="eastAsia" w:ascii="宋体" w:hAnsi="宋体" w:cs="宋体"/>
                <w:b/>
                <w:color w:val="000000"/>
                <w:szCs w:val="21"/>
              </w:rPr>
              <w:t>事故</w:t>
            </w:r>
          </w:p>
          <w:p>
            <w:pPr>
              <w:snapToGrid w:val="0"/>
              <w:jc w:val="center"/>
              <w:rPr>
                <w:rFonts w:ascii="宋体" w:hAnsi="宋体" w:cs="宋体"/>
                <w:b/>
                <w:color w:val="000000"/>
                <w:szCs w:val="21"/>
              </w:rPr>
            </w:pPr>
            <w:r>
              <w:rPr>
                <w:rFonts w:hint="eastAsia" w:ascii="宋体" w:hAnsi="宋体" w:cs="宋体"/>
                <w:b/>
                <w:color w:val="000000"/>
                <w:szCs w:val="21"/>
              </w:rPr>
              <w:t>原因</w:t>
            </w:r>
          </w:p>
        </w:tc>
        <w:tc>
          <w:tcPr>
            <w:tcW w:w="930" w:type="dxa"/>
          </w:tcPr>
          <w:p>
            <w:pPr>
              <w:jc w:val="center"/>
              <w:rPr>
                <w:rFonts w:ascii="宋体" w:hAnsi="宋体" w:cs="宋体"/>
                <w:szCs w:val="21"/>
              </w:rPr>
            </w:pPr>
            <w:r>
              <w:rPr>
                <w:rFonts w:hint="eastAsia" w:ascii="宋体" w:hAnsi="宋体" w:cs="宋体"/>
                <w:b/>
                <w:color w:val="000000"/>
                <w:szCs w:val="21"/>
              </w:rPr>
              <w:t>事故</w:t>
            </w:r>
          </w:p>
          <w:p>
            <w:pPr>
              <w:snapToGrid w:val="0"/>
              <w:jc w:val="center"/>
              <w:rPr>
                <w:rFonts w:ascii="宋体" w:hAnsi="宋体" w:cs="宋体"/>
                <w:b/>
                <w:color w:val="000000"/>
                <w:szCs w:val="21"/>
              </w:rPr>
            </w:pPr>
            <w:r>
              <w:rPr>
                <w:rFonts w:hint="eastAsia" w:ascii="宋体" w:hAnsi="宋体" w:cs="宋体"/>
                <w:b/>
                <w:color w:val="000000"/>
                <w:szCs w:val="21"/>
              </w:rPr>
              <w:t>频率/</w:t>
            </w:r>
          </w:p>
          <w:p>
            <w:pPr>
              <w:snapToGrid w:val="0"/>
              <w:jc w:val="center"/>
              <w:rPr>
                <w:rFonts w:ascii="宋体" w:hAnsi="宋体" w:cs="宋体"/>
                <w:b/>
                <w:color w:val="000000"/>
                <w:szCs w:val="21"/>
              </w:rPr>
            </w:pPr>
            <w:r>
              <w:rPr>
                <w:rFonts w:hint="eastAsia" w:ascii="宋体" w:hAnsi="宋体" w:cs="宋体"/>
                <w:b/>
                <w:color w:val="000000"/>
                <w:szCs w:val="21"/>
              </w:rPr>
              <w:t>概率</w:t>
            </w:r>
          </w:p>
        </w:tc>
        <w:tc>
          <w:tcPr>
            <w:tcW w:w="795" w:type="dxa"/>
            <w:vAlign w:val="center"/>
          </w:tcPr>
          <w:p>
            <w:pPr>
              <w:snapToGrid w:val="0"/>
              <w:jc w:val="center"/>
              <w:rPr>
                <w:rFonts w:ascii="宋体" w:hAnsi="宋体" w:cs="宋体"/>
                <w:b/>
                <w:color w:val="000000"/>
                <w:szCs w:val="21"/>
              </w:rPr>
            </w:pPr>
            <w:r>
              <w:rPr>
                <w:rFonts w:hint="eastAsia" w:ascii="宋体" w:hAnsi="宋体" w:cs="宋体"/>
                <w:b/>
                <w:color w:val="000000"/>
                <w:szCs w:val="21"/>
              </w:rPr>
              <w:t>事故</w:t>
            </w:r>
          </w:p>
          <w:p>
            <w:pPr>
              <w:snapToGrid w:val="0"/>
              <w:jc w:val="center"/>
              <w:rPr>
                <w:rFonts w:ascii="宋体" w:hAnsi="宋体" w:cs="宋体"/>
                <w:b/>
                <w:color w:val="000000"/>
                <w:szCs w:val="21"/>
              </w:rPr>
            </w:pPr>
            <w:r>
              <w:rPr>
                <w:rFonts w:hint="eastAsia" w:ascii="宋体" w:hAnsi="宋体" w:cs="宋体"/>
                <w:b/>
                <w:color w:val="000000"/>
                <w:szCs w:val="21"/>
              </w:rPr>
              <w:t>后果</w:t>
            </w:r>
          </w:p>
        </w:tc>
        <w:tc>
          <w:tcPr>
            <w:tcW w:w="900" w:type="dxa"/>
            <w:vAlign w:val="center"/>
          </w:tcPr>
          <w:p>
            <w:pPr>
              <w:snapToGrid w:val="0"/>
              <w:jc w:val="center"/>
              <w:rPr>
                <w:rFonts w:ascii="宋体" w:hAnsi="宋体" w:cs="宋体"/>
                <w:b/>
                <w:color w:val="000000"/>
                <w:szCs w:val="21"/>
              </w:rPr>
            </w:pPr>
            <w:r>
              <w:rPr>
                <w:rFonts w:hint="eastAsia" w:ascii="宋体" w:hAnsi="宋体" w:cs="宋体"/>
                <w:b/>
                <w:color w:val="000000"/>
                <w:szCs w:val="21"/>
              </w:rPr>
              <w:t>风险</w:t>
            </w:r>
          </w:p>
          <w:p>
            <w:pPr>
              <w:snapToGrid w:val="0"/>
              <w:jc w:val="center"/>
              <w:rPr>
                <w:rFonts w:ascii="宋体" w:hAnsi="宋体" w:cs="宋体"/>
                <w:b/>
                <w:color w:val="000000"/>
                <w:szCs w:val="21"/>
              </w:rPr>
            </w:pPr>
            <w:r>
              <w:rPr>
                <w:rFonts w:hint="eastAsia" w:ascii="宋体" w:hAnsi="宋体" w:cs="宋体"/>
                <w:b/>
                <w:color w:val="000000"/>
                <w:szCs w:val="21"/>
              </w:rPr>
              <w:t>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6"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安全检查表法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危害分析、</w:t>
            </w:r>
          </w:p>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设备设施管理活动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头脑风暴法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危害分析、事故原因</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设备设施管理活动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因果分析图法</w:t>
            </w:r>
          </w:p>
          <w:p>
            <w:pPr>
              <w:snapToGrid w:val="0"/>
              <w:jc w:val="center"/>
              <w:rPr>
                <w:rFonts w:ascii="宋体" w:hAnsi="宋体" w:cs="宋体"/>
                <w:color w:val="000000"/>
                <w:szCs w:val="21"/>
              </w:rPr>
            </w:pPr>
            <w:r>
              <w:rPr>
                <w:rFonts w:hint="eastAsia" w:ascii="宋体" w:hAnsi="宋体" w:cs="宋体"/>
                <w:color w:val="000000"/>
                <w:szCs w:val="21"/>
              </w:rPr>
              <w:t>（鱼刺图法）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危害分析、事故原因</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设备设施管理活动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情景分析法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危害分析、事故原因</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设备设施管理活动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预先危险性分析法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危害分析、</w:t>
            </w:r>
          </w:p>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kern w:val="0"/>
                <w:szCs w:val="21"/>
              </w:rPr>
            </w:pPr>
            <w:r>
              <w:rPr>
                <w:rFonts w:hint="eastAsia" w:ascii="宋体" w:hAnsi="宋体" w:cs="宋体"/>
                <w:color w:val="000000"/>
                <w:szCs w:val="21"/>
              </w:rPr>
              <w:t>项目的初期阶段、维修、改扩建、变更</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事故树分析法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事故原因、</w:t>
            </w:r>
          </w:p>
          <w:p>
            <w:pPr>
              <w:snapToGrid w:val="0"/>
              <w:jc w:val="center"/>
              <w:rPr>
                <w:rFonts w:ascii="宋体" w:hAnsi="宋体" w:cs="宋体"/>
                <w:color w:val="000000"/>
                <w:szCs w:val="21"/>
              </w:rPr>
            </w:pPr>
            <w:r>
              <w:rPr>
                <w:rFonts w:hint="eastAsia" w:ascii="宋体" w:hAnsi="宋体" w:cs="宋体"/>
                <w:color w:val="000000"/>
                <w:szCs w:val="21"/>
              </w:rPr>
              <w:t>事故概率</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已发生的和可能发生的事故、事件</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概率分级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故障类型及影响分析法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故障原因、</w:t>
            </w:r>
          </w:p>
          <w:p>
            <w:pPr>
              <w:snapToGrid w:val="0"/>
              <w:jc w:val="center"/>
              <w:rPr>
                <w:rFonts w:ascii="宋体" w:hAnsi="宋体" w:cs="宋体"/>
                <w:color w:val="000000"/>
                <w:szCs w:val="21"/>
              </w:rPr>
            </w:pPr>
            <w:r>
              <w:rPr>
                <w:rFonts w:hint="eastAsia" w:ascii="宋体" w:hAnsi="宋体" w:cs="宋体"/>
                <w:color w:val="000000"/>
                <w:szCs w:val="21"/>
              </w:rPr>
              <w:t>影响程度、</w:t>
            </w:r>
          </w:p>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设备设施系统</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事故后</w:t>
            </w:r>
          </w:p>
          <w:p>
            <w:pPr>
              <w:snapToGrid w:val="0"/>
              <w:jc w:val="center"/>
              <w:rPr>
                <w:rFonts w:ascii="宋体" w:hAnsi="宋体" w:cs="宋体"/>
                <w:color w:val="000000"/>
                <w:szCs w:val="21"/>
              </w:rPr>
            </w:pPr>
            <w:r>
              <w:rPr>
                <w:rFonts w:hint="eastAsia" w:ascii="宋体" w:hAnsi="宋体" w:cs="宋体"/>
                <w:color w:val="000000"/>
                <w:szCs w:val="21"/>
              </w:rPr>
              <w:t>果分级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危险与可操作性</w:t>
            </w:r>
          </w:p>
          <w:p>
            <w:pPr>
              <w:snapToGrid w:val="0"/>
              <w:jc w:val="center"/>
              <w:rPr>
                <w:rFonts w:ascii="宋体" w:hAnsi="宋体" w:cs="宋体"/>
                <w:color w:val="000000"/>
                <w:szCs w:val="21"/>
              </w:rPr>
            </w:pPr>
            <w:r>
              <w:rPr>
                <w:rFonts w:hint="eastAsia" w:ascii="宋体" w:hAnsi="宋体" w:cs="宋体"/>
                <w:color w:val="000000"/>
                <w:szCs w:val="21"/>
              </w:rPr>
              <w:t>研究法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偏离原因、</w:t>
            </w:r>
          </w:p>
          <w:p>
            <w:pPr>
              <w:snapToGrid w:val="0"/>
              <w:jc w:val="center"/>
              <w:rPr>
                <w:rFonts w:ascii="宋体" w:hAnsi="宋体" w:cs="宋体"/>
                <w:color w:val="000000"/>
                <w:szCs w:val="21"/>
              </w:rPr>
            </w:pPr>
            <w:r>
              <w:rPr>
                <w:rFonts w:hint="eastAsia" w:ascii="宋体" w:hAnsi="宋体" w:cs="宋体"/>
                <w:color w:val="000000"/>
                <w:szCs w:val="21"/>
              </w:rPr>
              <w:t>后果及其对系统的影响</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复杂工艺系统</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定性</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事故后</w:t>
            </w:r>
          </w:p>
          <w:p>
            <w:pPr>
              <w:snapToGrid w:val="0"/>
              <w:jc w:val="center"/>
              <w:rPr>
                <w:rFonts w:ascii="宋体" w:hAnsi="宋体" w:cs="宋体"/>
                <w:color w:val="000000"/>
                <w:szCs w:val="21"/>
              </w:rPr>
            </w:pPr>
            <w:r>
              <w:rPr>
                <w:rFonts w:hint="eastAsia" w:ascii="宋体" w:hAnsi="宋体" w:cs="宋体"/>
                <w:color w:val="000000"/>
                <w:szCs w:val="21"/>
              </w:rPr>
              <w:t>果分级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风险矩阵法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设备管理及人员管理</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半定量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作业活动风险</w:t>
            </w:r>
          </w:p>
          <w:p>
            <w:pPr>
              <w:snapToGrid w:val="0"/>
              <w:jc w:val="center"/>
              <w:rPr>
                <w:rFonts w:ascii="宋体" w:hAnsi="宋体" w:cs="宋体"/>
                <w:color w:val="000000"/>
                <w:szCs w:val="21"/>
              </w:rPr>
            </w:pPr>
            <w:r>
              <w:rPr>
                <w:rFonts w:hint="eastAsia" w:ascii="宋体" w:hAnsi="宋体" w:cs="宋体"/>
                <w:color w:val="000000"/>
                <w:szCs w:val="21"/>
              </w:rPr>
              <w:t>评估法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作业活动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半定量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作业条件危险性</w:t>
            </w:r>
          </w:p>
          <w:p>
            <w:pPr>
              <w:snapToGrid w:val="0"/>
              <w:jc w:val="center"/>
              <w:rPr>
                <w:rFonts w:ascii="宋体" w:hAnsi="宋体" w:cs="宋体"/>
                <w:color w:val="000000"/>
                <w:szCs w:val="21"/>
              </w:rPr>
            </w:pPr>
            <w:r>
              <w:rPr>
                <w:rFonts w:hint="eastAsia" w:ascii="宋体" w:hAnsi="宋体" w:cs="宋体"/>
                <w:color w:val="000000"/>
                <w:szCs w:val="21"/>
              </w:rPr>
              <w:t>分析法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作业活动</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半定量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人员可靠性</w:t>
            </w:r>
          </w:p>
          <w:p>
            <w:pPr>
              <w:snapToGrid w:val="0"/>
              <w:jc w:val="center"/>
              <w:rPr>
                <w:rFonts w:ascii="宋体" w:hAnsi="宋体" w:cs="宋体"/>
                <w:color w:val="000000"/>
                <w:szCs w:val="21"/>
              </w:rPr>
            </w:pPr>
            <w:r>
              <w:rPr>
                <w:rFonts w:hint="eastAsia" w:ascii="宋体" w:hAnsi="宋体" w:cs="宋体"/>
                <w:color w:val="000000"/>
                <w:szCs w:val="21"/>
              </w:rPr>
              <w:t>分析方法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人员失误</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人员行为</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危险度评价法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装置单元和设备</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道化学公司火灾、爆炸危险指数</w:t>
            </w:r>
          </w:p>
          <w:p>
            <w:pPr>
              <w:snapToGrid w:val="0"/>
              <w:jc w:val="center"/>
              <w:rPr>
                <w:rFonts w:ascii="宋体" w:hAnsi="宋体" w:cs="宋体"/>
                <w:color w:val="000000"/>
                <w:szCs w:val="21"/>
              </w:rPr>
            </w:pPr>
            <w:r>
              <w:rPr>
                <w:rFonts w:hint="eastAsia" w:ascii="宋体" w:hAnsi="宋体" w:cs="宋体"/>
                <w:color w:val="000000"/>
                <w:szCs w:val="21"/>
              </w:rPr>
              <w:t>评价法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火灾爆炸、毒性及系统整体风险等级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化工类工艺过程</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ICI公司蒙德火灾、爆炸、毒性指标法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火灾爆炸、毒性及系统整体风险等级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化工类工艺过程</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易燃、易爆、有毒重大危险源评价法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火灾爆炸、毒性及系统整体风险等级</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化工类工艺过程</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3" w:hRule="atLeast"/>
        </w:trPr>
        <w:tc>
          <w:tcPr>
            <w:tcW w:w="1583" w:type="dxa"/>
            <w:vAlign w:val="center"/>
          </w:tcPr>
          <w:p>
            <w:pPr>
              <w:snapToGrid w:val="0"/>
              <w:jc w:val="center"/>
              <w:rPr>
                <w:rFonts w:ascii="宋体" w:hAnsi="宋体" w:cs="宋体"/>
                <w:color w:val="000000"/>
                <w:szCs w:val="21"/>
              </w:rPr>
            </w:pPr>
            <w:r>
              <w:rPr>
                <w:rFonts w:hint="eastAsia" w:ascii="宋体" w:hAnsi="宋体" w:cs="宋体"/>
                <w:color w:val="000000"/>
                <w:szCs w:val="21"/>
              </w:rPr>
              <w:t>事故后果模拟分析方法</w:t>
            </w:r>
          </w:p>
        </w:tc>
        <w:tc>
          <w:tcPr>
            <w:tcW w:w="1320" w:type="dxa"/>
            <w:vAlign w:val="center"/>
          </w:tcPr>
          <w:p>
            <w:pPr>
              <w:snapToGrid w:val="0"/>
              <w:jc w:val="center"/>
              <w:rPr>
                <w:rFonts w:ascii="宋体" w:hAnsi="宋体" w:cs="宋体"/>
                <w:color w:val="000000"/>
                <w:szCs w:val="21"/>
              </w:rPr>
            </w:pPr>
            <w:r>
              <w:rPr>
                <w:rFonts w:hint="eastAsia" w:ascii="宋体" w:hAnsi="宋体" w:cs="宋体"/>
                <w:color w:val="000000"/>
                <w:szCs w:val="21"/>
              </w:rPr>
              <w:t>事故后果</w:t>
            </w:r>
          </w:p>
        </w:tc>
        <w:tc>
          <w:tcPr>
            <w:tcW w:w="1713" w:type="dxa"/>
            <w:vAlign w:val="center"/>
          </w:tcPr>
          <w:p>
            <w:pPr>
              <w:snapToGrid w:val="0"/>
              <w:jc w:val="center"/>
              <w:rPr>
                <w:rFonts w:ascii="宋体" w:hAnsi="宋体" w:cs="宋体"/>
                <w:color w:val="000000"/>
                <w:szCs w:val="21"/>
              </w:rPr>
            </w:pPr>
            <w:r>
              <w:rPr>
                <w:rFonts w:hint="eastAsia" w:ascii="宋体" w:hAnsi="宋体" w:cs="宋体"/>
                <w:color w:val="000000"/>
                <w:szCs w:val="21"/>
              </w:rPr>
              <w:t>区域及设施</w:t>
            </w:r>
          </w:p>
        </w:tc>
        <w:tc>
          <w:tcPr>
            <w:tcW w:w="1025" w:type="dxa"/>
            <w:vAlign w:val="center"/>
          </w:tcPr>
          <w:p>
            <w:pPr>
              <w:snapToGrid w:val="0"/>
              <w:jc w:val="center"/>
              <w:rPr>
                <w:rFonts w:ascii="宋体" w:hAnsi="宋体" w:cs="宋体"/>
                <w:color w:val="000000"/>
                <w:szCs w:val="21"/>
              </w:rPr>
            </w:pPr>
            <w:r>
              <w:rPr>
                <w:rFonts w:hint="eastAsia" w:ascii="宋体" w:hAnsi="宋体" w:cs="宋体"/>
                <w:color w:val="000000"/>
                <w:szCs w:val="21"/>
              </w:rPr>
              <w:t>定量</w:t>
            </w:r>
          </w:p>
        </w:tc>
        <w:tc>
          <w:tcPr>
            <w:tcW w:w="990" w:type="dxa"/>
            <w:vAlign w:val="center"/>
          </w:tcPr>
          <w:p>
            <w:pPr>
              <w:snapToGrid w:val="0"/>
              <w:jc w:val="center"/>
              <w:rPr>
                <w:rFonts w:ascii="宋体" w:hAnsi="宋体" w:cs="宋体"/>
                <w:color w:val="000000"/>
                <w:szCs w:val="21"/>
              </w:rPr>
            </w:pPr>
            <w:r>
              <w:rPr>
                <w:rFonts w:hint="eastAsia" w:ascii="宋体" w:hAnsi="宋体" w:cs="宋体"/>
                <w:color w:val="000000"/>
                <w:szCs w:val="21"/>
              </w:rPr>
              <w:t>不能</w:t>
            </w:r>
          </w:p>
        </w:tc>
        <w:tc>
          <w:tcPr>
            <w:tcW w:w="93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795"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c>
          <w:tcPr>
            <w:tcW w:w="900" w:type="dxa"/>
            <w:vAlign w:val="center"/>
          </w:tcPr>
          <w:p>
            <w:pPr>
              <w:snapToGrid w:val="0"/>
              <w:jc w:val="center"/>
              <w:rPr>
                <w:rFonts w:ascii="宋体" w:hAnsi="宋体" w:cs="宋体"/>
                <w:color w:val="000000"/>
                <w:szCs w:val="21"/>
              </w:rPr>
            </w:pPr>
            <w:r>
              <w:rPr>
                <w:rFonts w:hint="eastAsia" w:ascii="宋体" w:hAnsi="宋体" w:cs="宋体"/>
                <w:color w:val="000000"/>
                <w:szCs w:val="21"/>
              </w:rPr>
              <w:t>提供</w:t>
            </w:r>
          </w:p>
        </w:tc>
      </w:tr>
    </w:tbl>
    <w:p>
      <w:pPr>
        <w:ind w:firstLine="424" w:firstLineChars="202"/>
        <w:rPr>
          <w:rFonts w:ascii="宋体" w:hAnsi="宋体" w:cs="宋体"/>
          <w:color w:val="000000"/>
          <w:szCs w:val="21"/>
        </w:rPr>
      </w:pPr>
      <w:r>
        <w:rPr>
          <w:rFonts w:hint="eastAsia" w:ascii="宋体" w:hAnsi="宋体" w:cs="宋体"/>
          <w:szCs w:val="21"/>
        </w:rPr>
        <w:t>选取风险评估方法时应根据评估的特点、具体条件和需要，针对评估对象的实际情况和评估目标，经认真分析比较后选用。必要时，可选用几种评估方法对同一评估对象进行评估，互相补充、互为验证，以提高评估结果的准确性。</w:t>
      </w:r>
    </w:p>
    <w:p>
      <w:pPr>
        <w:pStyle w:val="2"/>
        <w:spacing w:before="156" w:beforeLines="50" w:after="156" w:afterLines="50" w:line="240" w:lineRule="auto"/>
        <w:rPr>
          <w:rFonts w:ascii="宋体" w:hAnsi="宋体" w:cs="宋体"/>
          <w:kern w:val="2"/>
          <w:sz w:val="21"/>
          <w:szCs w:val="21"/>
        </w:rPr>
      </w:pPr>
      <w:bookmarkStart w:id="44" w:name="_Toc13473770"/>
      <w:bookmarkStart w:id="45" w:name="_Toc477888846"/>
      <w:r>
        <w:rPr>
          <w:rFonts w:hint="eastAsia" w:ascii="宋体" w:hAnsi="宋体" w:cs="宋体"/>
          <w:kern w:val="2"/>
          <w:sz w:val="21"/>
          <w:szCs w:val="21"/>
        </w:rPr>
        <w:t>6.6风险分级</w:t>
      </w:r>
      <w:bookmarkEnd w:id="44"/>
      <w:bookmarkEnd w:id="45"/>
    </w:p>
    <w:p>
      <w:pPr>
        <w:ind w:firstLine="424" w:firstLineChars="202"/>
        <w:rPr>
          <w:rFonts w:ascii="宋体" w:hAnsi="宋体" w:cs="宋体"/>
          <w:szCs w:val="21"/>
        </w:rPr>
      </w:pPr>
      <w:r>
        <w:rPr>
          <w:rFonts w:hint="eastAsia" w:ascii="宋体" w:hAnsi="宋体" w:cs="宋体"/>
          <w:szCs w:val="21"/>
        </w:rPr>
        <w:t>本公司可根据实际情况，选择适用的风险评估方法，依据统一标准对本本公司的安全风险进行有效的分级。</w:t>
      </w:r>
    </w:p>
    <w:p>
      <w:pPr>
        <w:ind w:firstLine="424" w:firstLineChars="202"/>
        <w:rPr>
          <w:rFonts w:ascii="宋体" w:hAnsi="宋体" w:cs="宋体"/>
          <w:szCs w:val="21"/>
        </w:rPr>
      </w:pPr>
      <w:r>
        <w:rPr>
          <w:rFonts w:hint="eastAsia" w:ascii="宋体" w:hAnsi="宋体" w:cs="宋体"/>
          <w:szCs w:val="21"/>
        </w:rPr>
        <w:t>为使本公司风险分级工作相对统一，便于各级政府和有关部门掌握辖区内重大风险分布，对存在重大风险的本公司进行重点监管，切实落实遏制重特大事故的目标任务，按照重点关注事故后果和暴露人群的基本工作思路，推荐采用LEC评价法（格雷厄姆评价法）、风险矩阵法等方法对危险源进行风险分级，确定安全风险等级。从高到低依次划分为重大风险、较大风险、一般风险和低风险四级，分别采用红、橙、黄、蓝四种颜色标示。</w:t>
      </w:r>
    </w:p>
    <w:p>
      <w:pPr>
        <w:pStyle w:val="2"/>
        <w:spacing w:before="156" w:beforeLines="50" w:after="156" w:afterLines="50" w:line="240" w:lineRule="auto"/>
        <w:rPr>
          <w:rFonts w:ascii="宋体" w:hAnsi="宋体" w:cs="宋体"/>
          <w:kern w:val="2"/>
          <w:sz w:val="21"/>
          <w:szCs w:val="21"/>
        </w:rPr>
      </w:pPr>
      <w:bookmarkStart w:id="46" w:name="_Toc13473771"/>
      <w:r>
        <w:rPr>
          <w:rFonts w:hint="eastAsia" w:ascii="宋体" w:hAnsi="宋体" w:cs="宋体"/>
          <w:kern w:val="2"/>
          <w:sz w:val="21"/>
          <w:szCs w:val="21"/>
        </w:rPr>
        <w:t>6.6.1 LEC评价法（格雷厄姆评价法）</w:t>
      </w:r>
      <w:bookmarkEnd w:id="46"/>
    </w:p>
    <w:p>
      <w:pPr>
        <w:ind w:firstLine="424" w:firstLineChars="202"/>
        <w:rPr>
          <w:rFonts w:ascii="宋体" w:hAnsi="宋体" w:cs="宋体"/>
          <w:szCs w:val="21"/>
        </w:rPr>
      </w:pPr>
      <w:r>
        <w:rPr>
          <w:rFonts w:hint="eastAsia" w:ascii="宋体" w:hAnsi="宋体" w:cs="宋体"/>
          <w:szCs w:val="21"/>
        </w:rPr>
        <w:t>该方法用与系统风险有关的三种因素指标值的乘积来评价风险大小，这三种因素分别是：L（likelihood，事故发生的可能性）、E（exposure，人员暴露于危险环境中的频繁程度）和C（consequence，发生事故可能造成的后果）。给三种因素的不同等级分别确定不同的分值，再以三个分值的乘积D（danger，危险性）来评价风险大小，即：</w:t>
      </w:r>
    </w:p>
    <w:p>
      <w:pPr>
        <w:ind w:firstLine="424" w:firstLineChars="202"/>
        <w:rPr>
          <w:rFonts w:ascii="宋体" w:hAnsi="宋体" w:cs="宋体"/>
          <w:szCs w:val="21"/>
        </w:rPr>
      </w:pPr>
      <w:r>
        <w:rPr>
          <w:rFonts w:hint="eastAsia" w:ascii="宋体" w:hAnsi="宋体" w:cs="宋体"/>
          <w:szCs w:val="21"/>
        </w:rPr>
        <w:t xml:space="preserve">              D = L × E × C</w:t>
      </w:r>
    </w:p>
    <w:p>
      <w:pPr>
        <w:pStyle w:val="4"/>
        <w:spacing w:before="156" w:beforeLines="50"/>
        <w:rPr>
          <w:rFonts w:ascii="宋体" w:hAnsi="宋体" w:eastAsia="宋体" w:cs="宋体"/>
          <w:szCs w:val="21"/>
        </w:rPr>
      </w:pPr>
      <w:r>
        <w:rPr>
          <w:rFonts w:hint="eastAsia" w:ascii="宋体" w:hAnsi="宋体" w:eastAsia="宋体" w:cs="宋体"/>
          <w:szCs w:val="21"/>
        </w:rPr>
        <w:t>表2事故发生的可能性L</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2"/>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3532" w:type="dxa"/>
            <w:vAlign w:val="center"/>
          </w:tcPr>
          <w:p>
            <w:pPr>
              <w:jc w:val="center"/>
              <w:rPr>
                <w:rFonts w:ascii="宋体" w:hAnsi="宋体" w:cs="宋体"/>
                <w:szCs w:val="21"/>
              </w:rPr>
            </w:pPr>
            <w:r>
              <w:rPr>
                <w:rFonts w:hint="eastAsia" w:ascii="宋体" w:hAnsi="宋体" w:cs="宋体"/>
                <w:szCs w:val="21"/>
              </w:rPr>
              <w:t>分数值</w:t>
            </w:r>
          </w:p>
        </w:tc>
        <w:tc>
          <w:tcPr>
            <w:tcW w:w="5822" w:type="dxa"/>
            <w:vAlign w:val="center"/>
          </w:tcPr>
          <w:p>
            <w:pPr>
              <w:jc w:val="center"/>
              <w:rPr>
                <w:rFonts w:ascii="宋体" w:hAnsi="宋体" w:cs="宋体"/>
                <w:szCs w:val="21"/>
              </w:rPr>
            </w:pPr>
            <w:r>
              <w:rPr>
                <w:rFonts w:hint="eastAsia" w:ascii="宋体" w:hAnsi="宋体" w:cs="宋体"/>
                <w:szCs w:val="21"/>
              </w:rPr>
              <w:t>事故发生的可能性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10</w:t>
            </w:r>
          </w:p>
        </w:tc>
        <w:tc>
          <w:tcPr>
            <w:tcW w:w="5822" w:type="dxa"/>
            <w:vAlign w:val="center"/>
          </w:tcPr>
          <w:p>
            <w:pPr>
              <w:jc w:val="center"/>
              <w:rPr>
                <w:rFonts w:ascii="宋体" w:hAnsi="宋体" w:cs="宋体"/>
                <w:szCs w:val="21"/>
              </w:rPr>
            </w:pPr>
            <w:r>
              <w:rPr>
                <w:rFonts w:hint="eastAsia" w:ascii="宋体" w:hAnsi="宋体" w:cs="宋体"/>
                <w:szCs w:val="21"/>
              </w:rPr>
              <w:t>完全可以预料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6</w:t>
            </w:r>
          </w:p>
        </w:tc>
        <w:tc>
          <w:tcPr>
            <w:tcW w:w="5822" w:type="dxa"/>
            <w:vAlign w:val="center"/>
          </w:tcPr>
          <w:p>
            <w:pPr>
              <w:jc w:val="center"/>
              <w:rPr>
                <w:rFonts w:ascii="宋体" w:hAnsi="宋体" w:cs="宋体"/>
                <w:szCs w:val="21"/>
              </w:rPr>
            </w:pPr>
            <w:r>
              <w:rPr>
                <w:rFonts w:hint="eastAsia" w:ascii="宋体" w:hAnsi="宋体" w:cs="宋体"/>
                <w:szCs w:val="21"/>
              </w:rPr>
              <w:t>相当可能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3</w:t>
            </w:r>
          </w:p>
        </w:tc>
        <w:tc>
          <w:tcPr>
            <w:tcW w:w="5822" w:type="dxa"/>
            <w:vAlign w:val="center"/>
          </w:tcPr>
          <w:p>
            <w:pPr>
              <w:jc w:val="center"/>
              <w:rPr>
                <w:rFonts w:ascii="宋体" w:hAnsi="宋体" w:cs="宋体"/>
                <w:szCs w:val="21"/>
              </w:rPr>
            </w:pPr>
            <w:r>
              <w:rPr>
                <w:rFonts w:hint="eastAsia" w:ascii="宋体" w:hAnsi="宋体" w:cs="宋体"/>
                <w:szCs w:val="21"/>
              </w:rPr>
              <w:t>可能，但不经常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w:t>
            </w:r>
          </w:p>
        </w:tc>
        <w:tc>
          <w:tcPr>
            <w:tcW w:w="5822" w:type="dxa"/>
            <w:vAlign w:val="center"/>
          </w:tcPr>
          <w:p>
            <w:pPr>
              <w:jc w:val="center"/>
              <w:rPr>
                <w:rFonts w:ascii="宋体" w:hAnsi="宋体" w:cs="宋体"/>
                <w:szCs w:val="21"/>
              </w:rPr>
            </w:pPr>
            <w:r>
              <w:rPr>
                <w:rFonts w:hint="eastAsia" w:ascii="宋体" w:hAnsi="宋体" w:cs="宋体"/>
                <w:szCs w:val="21"/>
              </w:rPr>
              <w:t>可能性小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0.5</w:t>
            </w:r>
          </w:p>
        </w:tc>
        <w:tc>
          <w:tcPr>
            <w:tcW w:w="5822" w:type="dxa"/>
            <w:vAlign w:val="center"/>
          </w:tcPr>
          <w:p>
            <w:pPr>
              <w:jc w:val="center"/>
              <w:rPr>
                <w:rFonts w:ascii="宋体" w:hAnsi="宋体" w:cs="宋体"/>
                <w:szCs w:val="21"/>
              </w:rPr>
            </w:pPr>
            <w:r>
              <w:rPr>
                <w:rFonts w:hint="eastAsia" w:ascii="宋体" w:hAnsi="宋体" w:cs="宋体"/>
                <w:szCs w:val="21"/>
              </w:rPr>
              <w:t>很不可能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0.1</w:t>
            </w:r>
          </w:p>
        </w:tc>
        <w:tc>
          <w:tcPr>
            <w:tcW w:w="5822" w:type="dxa"/>
            <w:vAlign w:val="center"/>
          </w:tcPr>
          <w:p>
            <w:pPr>
              <w:jc w:val="center"/>
              <w:rPr>
                <w:rFonts w:ascii="宋体" w:hAnsi="宋体" w:cs="宋体"/>
                <w:szCs w:val="21"/>
              </w:rPr>
            </w:pPr>
            <w:r>
              <w:rPr>
                <w:rFonts w:hint="eastAsia" w:ascii="宋体" w:hAnsi="宋体" w:cs="宋体"/>
                <w:szCs w:val="21"/>
              </w:rPr>
              <w:t>极不可能</w:t>
            </w:r>
          </w:p>
        </w:tc>
      </w:tr>
    </w:tbl>
    <w:p>
      <w:pPr>
        <w:pStyle w:val="4"/>
        <w:spacing w:before="156" w:beforeLines="50"/>
        <w:rPr>
          <w:rFonts w:ascii="宋体" w:hAnsi="宋体" w:eastAsia="宋体" w:cs="宋体"/>
          <w:szCs w:val="21"/>
        </w:rPr>
      </w:pPr>
      <w:r>
        <w:rPr>
          <w:rFonts w:hint="eastAsia" w:ascii="宋体" w:hAnsi="宋体" w:eastAsia="宋体" w:cs="宋体"/>
          <w:szCs w:val="21"/>
        </w:rPr>
        <w:t>表3人员暴露的频繁程度E</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2"/>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3532" w:type="dxa"/>
            <w:vAlign w:val="center"/>
          </w:tcPr>
          <w:p>
            <w:pPr>
              <w:jc w:val="center"/>
              <w:rPr>
                <w:rFonts w:ascii="宋体" w:hAnsi="宋体" w:cs="宋体"/>
                <w:szCs w:val="21"/>
              </w:rPr>
            </w:pPr>
            <w:r>
              <w:rPr>
                <w:rFonts w:hint="eastAsia" w:ascii="宋体" w:hAnsi="宋体" w:cs="宋体"/>
                <w:szCs w:val="21"/>
              </w:rPr>
              <w:t>分数值</w:t>
            </w:r>
          </w:p>
        </w:tc>
        <w:tc>
          <w:tcPr>
            <w:tcW w:w="5822" w:type="dxa"/>
            <w:vAlign w:val="center"/>
          </w:tcPr>
          <w:p>
            <w:pPr>
              <w:jc w:val="center"/>
              <w:rPr>
                <w:rFonts w:ascii="宋体" w:hAnsi="宋体" w:cs="宋体"/>
                <w:szCs w:val="21"/>
              </w:rPr>
            </w:pPr>
            <w:r>
              <w:rPr>
                <w:rFonts w:hint="eastAsia" w:ascii="宋体" w:hAnsi="宋体" w:cs="宋体"/>
                <w:szCs w:val="21"/>
              </w:rPr>
              <w:t>人员暴露的频繁程度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10</w:t>
            </w:r>
          </w:p>
        </w:tc>
        <w:tc>
          <w:tcPr>
            <w:tcW w:w="5822" w:type="dxa"/>
            <w:vAlign w:val="center"/>
          </w:tcPr>
          <w:p>
            <w:pPr>
              <w:jc w:val="center"/>
              <w:rPr>
                <w:rFonts w:ascii="宋体" w:hAnsi="宋体" w:cs="宋体"/>
                <w:szCs w:val="21"/>
              </w:rPr>
            </w:pPr>
            <w:r>
              <w:rPr>
                <w:rFonts w:hint="eastAsia" w:ascii="宋体" w:hAnsi="宋体" w:cs="宋体"/>
                <w:szCs w:val="21"/>
              </w:rPr>
              <w:t>连续暴露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6</w:t>
            </w:r>
          </w:p>
        </w:tc>
        <w:tc>
          <w:tcPr>
            <w:tcW w:w="5822" w:type="dxa"/>
            <w:vAlign w:val="center"/>
          </w:tcPr>
          <w:p>
            <w:pPr>
              <w:jc w:val="center"/>
              <w:rPr>
                <w:rFonts w:ascii="宋体" w:hAnsi="宋体" w:cs="宋体"/>
                <w:szCs w:val="21"/>
              </w:rPr>
            </w:pPr>
            <w:r>
              <w:rPr>
                <w:rFonts w:hint="eastAsia" w:ascii="宋体" w:hAnsi="宋体" w:cs="宋体"/>
                <w:szCs w:val="21"/>
              </w:rPr>
              <w:t>每天工作时间内暴露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3</w:t>
            </w:r>
          </w:p>
        </w:tc>
        <w:tc>
          <w:tcPr>
            <w:tcW w:w="5822" w:type="dxa"/>
            <w:vAlign w:val="center"/>
          </w:tcPr>
          <w:p>
            <w:pPr>
              <w:jc w:val="center"/>
              <w:rPr>
                <w:rFonts w:ascii="宋体" w:hAnsi="宋体" w:cs="宋体"/>
                <w:szCs w:val="21"/>
              </w:rPr>
            </w:pPr>
            <w:r>
              <w:rPr>
                <w:rFonts w:hint="eastAsia" w:ascii="宋体" w:hAnsi="宋体" w:cs="宋体"/>
                <w:szCs w:val="21"/>
              </w:rPr>
              <w:t>每周一次或偶然暴露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2</w:t>
            </w:r>
          </w:p>
        </w:tc>
        <w:tc>
          <w:tcPr>
            <w:tcW w:w="5822" w:type="dxa"/>
            <w:vAlign w:val="center"/>
          </w:tcPr>
          <w:p>
            <w:pPr>
              <w:jc w:val="center"/>
              <w:rPr>
                <w:rFonts w:ascii="宋体" w:hAnsi="宋体" w:cs="宋体"/>
                <w:szCs w:val="21"/>
              </w:rPr>
            </w:pPr>
            <w:r>
              <w:rPr>
                <w:rFonts w:hint="eastAsia" w:ascii="宋体" w:hAnsi="宋体" w:cs="宋体"/>
                <w:szCs w:val="21"/>
              </w:rPr>
              <w:t>每月一次暴露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w:t>
            </w:r>
          </w:p>
        </w:tc>
        <w:tc>
          <w:tcPr>
            <w:tcW w:w="5822" w:type="dxa"/>
            <w:vAlign w:val="center"/>
          </w:tcPr>
          <w:p>
            <w:pPr>
              <w:jc w:val="center"/>
              <w:rPr>
                <w:rFonts w:ascii="宋体" w:hAnsi="宋体" w:cs="宋体"/>
                <w:szCs w:val="21"/>
              </w:rPr>
            </w:pPr>
            <w:r>
              <w:rPr>
                <w:rFonts w:hint="eastAsia" w:ascii="宋体" w:hAnsi="宋体" w:cs="宋体"/>
                <w:szCs w:val="21"/>
              </w:rPr>
              <w:t>每年几次暴露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0.5</w:t>
            </w:r>
          </w:p>
        </w:tc>
        <w:tc>
          <w:tcPr>
            <w:tcW w:w="5822" w:type="dxa"/>
            <w:vAlign w:val="center"/>
          </w:tcPr>
          <w:p>
            <w:pPr>
              <w:jc w:val="center"/>
              <w:rPr>
                <w:rFonts w:ascii="宋体" w:hAnsi="宋体" w:cs="宋体"/>
                <w:szCs w:val="21"/>
              </w:rPr>
            </w:pPr>
            <w:r>
              <w:rPr>
                <w:rFonts w:hint="eastAsia" w:ascii="宋体" w:hAnsi="宋体" w:cs="宋体"/>
                <w:szCs w:val="21"/>
              </w:rPr>
              <w:t>非常罕见暴露</w:t>
            </w:r>
          </w:p>
        </w:tc>
      </w:tr>
    </w:tbl>
    <w:p>
      <w:pPr>
        <w:pStyle w:val="4"/>
        <w:spacing w:before="156" w:beforeLines="50"/>
        <w:rPr>
          <w:rFonts w:ascii="宋体" w:hAnsi="宋体" w:eastAsia="宋体" w:cs="宋体"/>
          <w:szCs w:val="21"/>
        </w:rPr>
      </w:pPr>
      <w:r>
        <w:rPr>
          <w:rFonts w:hint="eastAsia" w:ascii="宋体" w:hAnsi="宋体" w:eastAsia="宋体" w:cs="宋体"/>
          <w:szCs w:val="21"/>
        </w:rPr>
        <w:t>表4发生事故后果的严重性C</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2"/>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3532" w:type="dxa"/>
            <w:vAlign w:val="center"/>
          </w:tcPr>
          <w:p>
            <w:pPr>
              <w:jc w:val="center"/>
              <w:rPr>
                <w:rFonts w:ascii="宋体" w:hAnsi="宋体" w:cs="宋体"/>
                <w:szCs w:val="21"/>
              </w:rPr>
            </w:pPr>
            <w:r>
              <w:rPr>
                <w:rFonts w:hint="eastAsia" w:ascii="宋体" w:hAnsi="宋体" w:cs="宋体"/>
                <w:szCs w:val="21"/>
              </w:rPr>
              <w:t>分数值</w:t>
            </w:r>
          </w:p>
        </w:tc>
        <w:tc>
          <w:tcPr>
            <w:tcW w:w="5822" w:type="dxa"/>
            <w:vAlign w:val="center"/>
          </w:tcPr>
          <w:p>
            <w:pPr>
              <w:jc w:val="center"/>
              <w:rPr>
                <w:rFonts w:ascii="宋体" w:hAnsi="宋体" w:cs="宋体"/>
                <w:szCs w:val="21"/>
              </w:rPr>
            </w:pPr>
            <w:r>
              <w:rPr>
                <w:rFonts w:hint="eastAsia" w:ascii="宋体" w:hAnsi="宋体" w:cs="宋体"/>
                <w:szCs w:val="21"/>
              </w:rPr>
              <w:t>发生事故产生的后果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100</w:t>
            </w:r>
          </w:p>
        </w:tc>
        <w:tc>
          <w:tcPr>
            <w:tcW w:w="5822" w:type="dxa"/>
            <w:vAlign w:val="center"/>
          </w:tcPr>
          <w:p>
            <w:pPr>
              <w:jc w:val="center"/>
              <w:rPr>
                <w:rFonts w:ascii="宋体" w:hAnsi="宋体" w:cs="宋体"/>
                <w:szCs w:val="21"/>
              </w:rPr>
            </w:pPr>
            <w:r>
              <w:rPr>
                <w:rFonts w:hint="eastAsia" w:ascii="宋体" w:hAnsi="宋体" w:cs="宋体"/>
                <w:szCs w:val="21"/>
              </w:rPr>
              <w:t>10人以上死亡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40</w:t>
            </w:r>
          </w:p>
        </w:tc>
        <w:tc>
          <w:tcPr>
            <w:tcW w:w="5822" w:type="dxa"/>
            <w:vAlign w:val="center"/>
          </w:tcPr>
          <w:p>
            <w:pPr>
              <w:jc w:val="center"/>
              <w:rPr>
                <w:rFonts w:ascii="宋体" w:hAnsi="宋体" w:cs="宋体"/>
                <w:szCs w:val="21"/>
              </w:rPr>
            </w:pPr>
            <w:r>
              <w:rPr>
                <w:rFonts w:hint="eastAsia" w:ascii="宋体" w:hAnsi="宋体" w:cs="宋体"/>
                <w:szCs w:val="21"/>
              </w:rPr>
              <w:t>3-9人死亡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15</w:t>
            </w:r>
          </w:p>
        </w:tc>
        <w:tc>
          <w:tcPr>
            <w:tcW w:w="5822" w:type="dxa"/>
            <w:vAlign w:val="center"/>
          </w:tcPr>
          <w:p>
            <w:pPr>
              <w:jc w:val="center"/>
              <w:rPr>
                <w:rFonts w:ascii="宋体" w:hAnsi="宋体" w:cs="宋体"/>
                <w:szCs w:val="21"/>
              </w:rPr>
            </w:pPr>
            <w:r>
              <w:rPr>
                <w:rFonts w:hint="eastAsia" w:ascii="宋体" w:hAnsi="宋体" w:cs="宋体"/>
                <w:szCs w:val="21"/>
              </w:rPr>
              <w:t>1-2人死亡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7</w:t>
            </w:r>
          </w:p>
        </w:tc>
        <w:tc>
          <w:tcPr>
            <w:tcW w:w="5822" w:type="dxa"/>
            <w:vAlign w:val="center"/>
          </w:tcPr>
          <w:p>
            <w:pPr>
              <w:jc w:val="center"/>
              <w:rPr>
                <w:rFonts w:ascii="宋体" w:hAnsi="宋体" w:cs="宋体"/>
                <w:szCs w:val="21"/>
              </w:rPr>
            </w:pPr>
            <w:r>
              <w:rPr>
                <w:rFonts w:hint="eastAsia" w:ascii="宋体" w:hAnsi="宋体" w:cs="宋体"/>
                <w:szCs w:val="21"/>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3</w:t>
            </w:r>
          </w:p>
        </w:tc>
        <w:tc>
          <w:tcPr>
            <w:tcW w:w="5822" w:type="dxa"/>
            <w:vAlign w:val="center"/>
          </w:tcPr>
          <w:p>
            <w:pPr>
              <w:jc w:val="center"/>
              <w:rPr>
                <w:rFonts w:ascii="宋体" w:hAnsi="宋体" w:cs="宋体"/>
                <w:szCs w:val="21"/>
              </w:rPr>
            </w:pPr>
            <w:r>
              <w:rPr>
                <w:rFonts w:hint="eastAsia" w:ascii="宋体" w:hAnsi="宋体" w:cs="宋体"/>
                <w:szCs w:val="21"/>
              </w:rPr>
              <w:t>重大，伤残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532" w:type="dxa"/>
            <w:vAlign w:val="center"/>
          </w:tcPr>
          <w:p>
            <w:pPr>
              <w:jc w:val="center"/>
              <w:rPr>
                <w:rFonts w:ascii="宋体" w:hAnsi="宋体" w:cs="宋体"/>
                <w:szCs w:val="21"/>
              </w:rPr>
            </w:pPr>
            <w:r>
              <w:rPr>
                <w:rFonts w:hint="eastAsia" w:ascii="宋体" w:hAnsi="宋体" w:cs="宋体"/>
                <w:szCs w:val="21"/>
              </w:rPr>
              <w:t>1</w:t>
            </w:r>
          </w:p>
        </w:tc>
        <w:tc>
          <w:tcPr>
            <w:tcW w:w="5822" w:type="dxa"/>
            <w:vAlign w:val="center"/>
          </w:tcPr>
          <w:p>
            <w:pPr>
              <w:jc w:val="center"/>
              <w:rPr>
                <w:rFonts w:ascii="宋体" w:hAnsi="宋体" w:cs="宋体"/>
                <w:szCs w:val="21"/>
              </w:rPr>
            </w:pPr>
            <w:r>
              <w:rPr>
                <w:rFonts w:hint="eastAsia" w:ascii="宋体" w:hAnsi="宋体" w:cs="宋体"/>
                <w:szCs w:val="21"/>
              </w:rPr>
              <w:t>引人注意</w:t>
            </w:r>
          </w:p>
        </w:tc>
      </w:tr>
    </w:tbl>
    <w:p>
      <w:pPr>
        <w:pStyle w:val="4"/>
        <w:spacing w:before="156" w:beforeLines="50"/>
        <w:rPr>
          <w:rFonts w:ascii="宋体" w:hAnsi="宋体" w:eastAsia="宋体" w:cs="宋体"/>
          <w:szCs w:val="21"/>
        </w:rPr>
      </w:pPr>
      <w:r>
        <w:rPr>
          <w:rFonts w:hint="eastAsia" w:ascii="宋体" w:hAnsi="宋体" w:eastAsia="宋体" w:cs="宋体"/>
          <w:szCs w:val="21"/>
        </w:rPr>
        <w:t>表5 风险等级判定表</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8"/>
        <w:gridCol w:w="3148"/>
        <w:gridCol w:w="3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228" w:type="dxa"/>
            <w:vAlign w:val="center"/>
          </w:tcPr>
          <w:p>
            <w:pPr>
              <w:jc w:val="center"/>
              <w:rPr>
                <w:rFonts w:ascii="宋体" w:hAnsi="宋体" w:cs="宋体"/>
                <w:szCs w:val="21"/>
              </w:rPr>
            </w:pPr>
            <w:r>
              <w:rPr>
                <w:rFonts w:hint="eastAsia" w:ascii="宋体" w:hAnsi="宋体" w:cs="宋体"/>
                <w:szCs w:val="21"/>
              </w:rPr>
              <w:t>分数值</w:t>
            </w:r>
          </w:p>
        </w:tc>
        <w:tc>
          <w:tcPr>
            <w:tcW w:w="3148" w:type="dxa"/>
            <w:vAlign w:val="center"/>
          </w:tcPr>
          <w:p>
            <w:pPr>
              <w:jc w:val="center"/>
              <w:rPr>
                <w:rFonts w:ascii="宋体" w:hAnsi="宋体" w:cs="宋体"/>
                <w:szCs w:val="21"/>
              </w:rPr>
            </w:pPr>
            <w:r>
              <w:rPr>
                <w:rFonts w:hint="eastAsia" w:ascii="宋体" w:hAnsi="宋体" w:cs="宋体"/>
                <w:szCs w:val="21"/>
              </w:rPr>
              <w:t>风险程度</w:t>
            </w:r>
          </w:p>
        </w:tc>
        <w:tc>
          <w:tcPr>
            <w:tcW w:w="3978" w:type="dxa"/>
          </w:tcPr>
          <w:p>
            <w:pPr>
              <w:jc w:val="center"/>
              <w:rPr>
                <w:rFonts w:ascii="宋体" w:hAnsi="宋体" w:cs="宋体"/>
                <w:szCs w:val="21"/>
              </w:rPr>
            </w:pPr>
            <w:r>
              <w:rPr>
                <w:rFonts w:hint="eastAsia" w:ascii="宋体" w:hAnsi="宋体" w:cs="宋体"/>
                <w:szCs w:val="21"/>
              </w:rPr>
              <w:t>标志色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28" w:type="dxa"/>
            <w:vAlign w:val="center"/>
          </w:tcPr>
          <w:p>
            <w:pPr>
              <w:jc w:val="center"/>
              <w:rPr>
                <w:rFonts w:ascii="宋体" w:hAnsi="宋体" w:cs="宋体"/>
                <w:szCs w:val="21"/>
              </w:rPr>
            </w:pPr>
            <w:r>
              <w:rPr>
                <w:rFonts w:hint="eastAsia" w:ascii="宋体" w:hAnsi="宋体" w:cs="宋体"/>
                <w:szCs w:val="21"/>
              </w:rPr>
              <w:t>≥720</w:t>
            </w:r>
          </w:p>
        </w:tc>
        <w:tc>
          <w:tcPr>
            <w:tcW w:w="3148" w:type="dxa"/>
            <w:vAlign w:val="center"/>
          </w:tcPr>
          <w:p>
            <w:pPr>
              <w:jc w:val="center"/>
              <w:rPr>
                <w:rFonts w:ascii="宋体" w:hAnsi="宋体" w:cs="宋体"/>
                <w:szCs w:val="21"/>
              </w:rPr>
            </w:pPr>
            <w:r>
              <w:rPr>
                <w:rFonts w:hint="eastAsia" w:ascii="宋体" w:hAnsi="宋体" w:cs="宋体"/>
                <w:szCs w:val="21"/>
              </w:rPr>
              <w:t>极高</w:t>
            </w:r>
          </w:p>
        </w:tc>
        <w:tc>
          <w:tcPr>
            <w:tcW w:w="3978" w:type="dxa"/>
          </w:tcPr>
          <w:p>
            <w:pPr>
              <w:jc w:val="center"/>
              <w:rPr>
                <w:rFonts w:ascii="宋体" w:hAnsi="宋体" w:cs="宋体"/>
                <w:szCs w:val="21"/>
              </w:rPr>
            </w:pPr>
            <w:r>
              <w:rPr>
                <w:rFonts w:hint="eastAsia" w:ascii="宋体" w:hAnsi="宋体" w:cs="宋体"/>
                <w:szCs w:val="21"/>
              </w:rPr>
              <w:t>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28" w:type="dxa"/>
            <w:vAlign w:val="center"/>
          </w:tcPr>
          <w:p>
            <w:pPr>
              <w:jc w:val="center"/>
              <w:rPr>
                <w:rFonts w:ascii="宋体" w:hAnsi="宋体" w:cs="宋体"/>
                <w:szCs w:val="21"/>
              </w:rPr>
            </w:pPr>
            <w:r>
              <w:rPr>
                <w:rFonts w:hint="eastAsia" w:ascii="宋体" w:hAnsi="宋体" w:cs="宋体"/>
                <w:szCs w:val="21"/>
              </w:rPr>
              <w:t>720&gt;R≥240</w:t>
            </w:r>
          </w:p>
        </w:tc>
        <w:tc>
          <w:tcPr>
            <w:tcW w:w="3148" w:type="dxa"/>
            <w:vAlign w:val="center"/>
          </w:tcPr>
          <w:p>
            <w:pPr>
              <w:jc w:val="center"/>
              <w:rPr>
                <w:rFonts w:ascii="宋体" w:hAnsi="宋体" w:cs="宋体"/>
                <w:szCs w:val="21"/>
              </w:rPr>
            </w:pPr>
            <w:r>
              <w:rPr>
                <w:rFonts w:hint="eastAsia" w:ascii="宋体" w:hAnsi="宋体" w:cs="宋体"/>
                <w:szCs w:val="21"/>
              </w:rPr>
              <w:t>高</w:t>
            </w:r>
          </w:p>
        </w:tc>
        <w:tc>
          <w:tcPr>
            <w:tcW w:w="3978" w:type="dxa"/>
          </w:tcPr>
          <w:p>
            <w:pPr>
              <w:jc w:val="center"/>
              <w:rPr>
                <w:rFonts w:ascii="宋体" w:hAnsi="宋体" w:cs="宋体"/>
                <w:szCs w:val="21"/>
              </w:rPr>
            </w:pPr>
            <w:r>
              <w:rPr>
                <w:rFonts w:hint="eastAsia" w:ascii="宋体" w:hAnsi="宋体" w:cs="宋体"/>
                <w:szCs w:val="21"/>
              </w:rPr>
              <w:t>橙色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28" w:type="dxa"/>
            <w:vAlign w:val="center"/>
          </w:tcPr>
          <w:p>
            <w:pPr>
              <w:jc w:val="center"/>
              <w:rPr>
                <w:rFonts w:ascii="宋体" w:hAnsi="宋体" w:cs="宋体"/>
                <w:szCs w:val="21"/>
              </w:rPr>
            </w:pPr>
            <w:r>
              <w:rPr>
                <w:rFonts w:hint="eastAsia" w:ascii="宋体" w:hAnsi="宋体" w:cs="宋体"/>
                <w:szCs w:val="21"/>
              </w:rPr>
              <w:t>240&gt;R≥150</w:t>
            </w:r>
          </w:p>
        </w:tc>
        <w:tc>
          <w:tcPr>
            <w:tcW w:w="3148" w:type="dxa"/>
            <w:vAlign w:val="center"/>
          </w:tcPr>
          <w:p>
            <w:pPr>
              <w:jc w:val="center"/>
              <w:rPr>
                <w:rFonts w:ascii="宋体" w:hAnsi="宋体" w:cs="宋体"/>
                <w:szCs w:val="21"/>
              </w:rPr>
            </w:pPr>
            <w:r>
              <w:rPr>
                <w:rFonts w:hint="eastAsia" w:ascii="宋体" w:hAnsi="宋体" w:cs="宋体"/>
                <w:szCs w:val="21"/>
              </w:rPr>
              <w:t>中等</w:t>
            </w:r>
          </w:p>
        </w:tc>
        <w:tc>
          <w:tcPr>
            <w:tcW w:w="3978" w:type="dxa"/>
          </w:tcPr>
          <w:p>
            <w:pPr>
              <w:jc w:val="center"/>
              <w:rPr>
                <w:rFonts w:ascii="宋体" w:hAnsi="宋体" w:cs="宋体"/>
                <w:szCs w:val="21"/>
              </w:rPr>
            </w:pPr>
            <w:r>
              <w:rPr>
                <w:rFonts w:hint="eastAsia" w:ascii="宋体" w:hAnsi="宋体" w:cs="宋体"/>
                <w:szCs w:val="21"/>
              </w:rPr>
              <w:t>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28" w:type="dxa"/>
            <w:vAlign w:val="center"/>
          </w:tcPr>
          <w:p>
            <w:pPr>
              <w:jc w:val="center"/>
              <w:rPr>
                <w:rFonts w:ascii="宋体" w:hAnsi="宋体" w:cs="宋体"/>
                <w:szCs w:val="21"/>
              </w:rPr>
            </w:pPr>
            <w:r>
              <w:rPr>
                <w:rFonts w:hint="eastAsia" w:ascii="宋体" w:hAnsi="宋体" w:cs="宋体"/>
                <w:szCs w:val="21"/>
              </w:rPr>
              <w:t>150&gt;R≥70</w:t>
            </w:r>
          </w:p>
        </w:tc>
        <w:tc>
          <w:tcPr>
            <w:tcW w:w="3148" w:type="dxa"/>
            <w:vAlign w:val="center"/>
          </w:tcPr>
          <w:p>
            <w:pPr>
              <w:jc w:val="center"/>
              <w:rPr>
                <w:rFonts w:ascii="宋体" w:hAnsi="宋体" w:cs="宋体"/>
                <w:szCs w:val="21"/>
              </w:rPr>
            </w:pPr>
            <w:r>
              <w:rPr>
                <w:rFonts w:hint="eastAsia" w:ascii="宋体" w:hAnsi="宋体" w:cs="宋体"/>
                <w:szCs w:val="21"/>
              </w:rPr>
              <w:t>低</w:t>
            </w:r>
          </w:p>
        </w:tc>
        <w:tc>
          <w:tcPr>
            <w:tcW w:w="3978" w:type="dxa"/>
          </w:tcPr>
          <w:p>
            <w:pPr>
              <w:jc w:val="center"/>
              <w:rPr>
                <w:rFonts w:ascii="宋体" w:hAnsi="宋体" w:cs="宋体"/>
                <w:szCs w:val="21"/>
              </w:rPr>
            </w:pPr>
            <w:r>
              <w:rPr>
                <w:rFonts w:hint="eastAsia" w:ascii="宋体" w:hAnsi="宋体" w:cs="宋体"/>
                <w:szCs w:val="21"/>
              </w:rPr>
              <w:t>蓝色</w:t>
            </w:r>
          </w:p>
        </w:tc>
      </w:tr>
    </w:tbl>
    <w:p>
      <w:pPr>
        <w:ind w:firstLine="424" w:firstLineChars="202"/>
        <w:rPr>
          <w:rFonts w:ascii="宋体" w:hAnsi="宋体" w:cs="宋体"/>
          <w:szCs w:val="21"/>
        </w:rPr>
      </w:pPr>
      <w:r>
        <w:rPr>
          <w:rFonts w:hint="eastAsia" w:ascii="宋体" w:hAnsi="宋体" w:cs="宋体"/>
          <w:szCs w:val="21"/>
        </w:rPr>
        <w:t>注：本公司可结合自身特点，确定红、橙、黄、蓝风险等级风险值数值范围。</w:t>
      </w:r>
    </w:p>
    <w:p>
      <w:pPr>
        <w:pStyle w:val="2"/>
        <w:spacing w:before="156" w:beforeLines="50" w:after="156" w:afterLines="50" w:line="240" w:lineRule="auto"/>
        <w:rPr>
          <w:rFonts w:ascii="宋体" w:hAnsi="宋体" w:cs="宋体"/>
          <w:kern w:val="2"/>
          <w:sz w:val="21"/>
          <w:szCs w:val="21"/>
        </w:rPr>
      </w:pPr>
      <w:bookmarkStart w:id="47" w:name="_Toc13473772"/>
      <w:r>
        <w:rPr>
          <w:rFonts w:hint="eastAsia" w:ascii="宋体" w:hAnsi="宋体" w:cs="宋体"/>
          <w:kern w:val="2"/>
          <w:sz w:val="21"/>
          <w:szCs w:val="21"/>
        </w:rPr>
        <w:t>6.6.2 风险判定矩阵法</w:t>
      </w:r>
      <w:bookmarkEnd w:id="47"/>
    </w:p>
    <w:p>
      <w:pPr>
        <w:ind w:firstLine="424" w:firstLineChars="202"/>
        <w:rPr>
          <w:rFonts w:ascii="宋体" w:hAnsi="宋体" w:cs="宋体"/>
          <w:color w:val="000000"/>
          <w:szCs w:val="21"/>
        </w:rPr>
      </w:pPr>
      <w:r>
        <w:rPr>
          <w:rFonts w:hint="eastAsia" w:ascii="宋体" w:hAnsi="宋体" w:cs="宋体"/>
          <w:color w:val="000000"/>
          <w:szCs w:val="21"/>
        </w:rPr>
        <w:t>风险判定矩阵考虑事故发生的可能性和事故后果严重程度两个维度，其中：事故发生的可能性分为五个等级（见表6），事故后果严重程度分为四个等级（见表7），风险等级划分为四个等级（见表8）。</w:t>
      </w:r>
    </w:p>
    <w:p>
      <w:pPr>
        <w:tabs>
          <w:tab w:val="left" w:pos="5954"/>
        </w:tabs>
        <w:snapToGrid w:val="0"/>
        <w:spacing w:before="120" w:after="31"/>
        <w:jc w:val="center"/>
        <w:rPr>
          <w:rFonts w:ascii="宋体" w:hAnsi="宋体" w:cs="宋体"/>
          <w:b/>
          <w:szCs w:val="21"/>
          <w:lang w:val="zh-CN"/>
        </w:rPr>
      </w:pPr>
      <w:r>
        <w:rPr>
          <w:rFonts w:hint="eastAsia" w:ascii="宋体" w:hAnsi="宋体" w:cs="宋体"/>
          <w:b/>
          <w:szCs w:val="21"/>
          <w:lang w:val="zh-CN"/>
        </w:rPr>
        <w:t>表</w:t>
      </w:r>
      <w:r>
        <w:rPr>
          <w:rFonts w:hint="eastAsia" w:ascii="宋体" w:hAnsi="宋体" w:cs="宋体"/>
          <w:b/>
          <w:szCs w:val="21"/>
        </w:rPr>
        <w:t>6</w:t>
      </w:r>
      <w:r>
        <w:rPr>
          <w:rFonts w:hint="eastAsia" w:ascii="宋体" w:hAnsi="宋体" w:cs="宋体"/>
          <w:b/>
          <w:szCs w:val="21"/>
          <w:lang w:val="zh-CN"/>
        </w:rPr>
        <w:t>事故发生的可能性</w:t>
      </w:r>
    </w:p>
    <w:tbl>
      <w:tblPr>
        <w:tblStyle w:val="11"/>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98"/>
        <w:gridCol w:w="7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ind w:left="-105" w:leftChars="-50" w:right="-105" w:rightChars="-50"/>
              <w:jc w:val="center"/>
              <w:rPr>
                <w:rFonts w:ascii="宋体" w:hAnsi="宋体" w:cs="宋体"/>
                <w:color w:val="000000"/>
                <w:kern w:val="0"/>
                <w:szCs w:val="21"/>
              </w:rPr>
            </w:pPr>
            <w:r>
              <w:rPr>
                <w:rFonts w:hint="eastAsia" w:ascii="宋体" w:hAnsi="宋体" w:cs="宋体"/>
                <w:color w:val="000000"/>
                <w:kern w:val="0"/>
                <w:szCs w:val="21"/>
              </w:rPr>
              <w:t>可能性等级</w:t>
            </w:r>
          </w:p>
        </w:tc>
        <w:tc>
          <w:tcPr>
            <w:tcW w:w="7564" w:type="dxa"/>
            <w:vAlign w:val="center"/>
          </w:tcPr>
          <w:p>
            <w:pPr>
              <w:ind w:left="-105" w:leftChars="-50" w:right="-105" w:rightChars="-50"/>
              <w:jc w:val="center"/>
              <w:rPr>
                <w:rFonts w:ascii="宋体" w:hAnsi="宋体" w:cs="宋体"/>
                <w:color w:val="000000"/>
                <w:kern w:val="0"/>
                <w:szCs w:val="21"/>
              </w:rPr>
            </w:pPr>
            <w:r>
              <w:rPr>
                <w:rFonts w:hint="eastAsia" w:ascii="宋体" w:hAnsi="宋体" w:cs="宋体"/>
                <w:color w:val="000000"/>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snapToGrid w:val="0"/>
              <w:jc w:val="center"/>
              <w:rPr>
                <w:rFonts w:ascii="宋体" w:hAnsi="宋体" w:cs="宋体"/>
                <w:color w:val="000000"/>
                <w:szCs w:val="21"/>
              </w:rPr>
            </w:pPr>
            <w:r>
              <w:rPr>
                <w:rFonts w:hint="eastAsia" w:ascii="宋体" w:hAnsi="宋体" w:cs="宋体"/>
                <w:color w:val="000000"/>
                <w:szCs w:val="21"/>
              </w:rPr>
              <w:t>A</w:t>
            </w:r>
          </w:p>
        </w:tc>
        <w:tc>
          <w:tcPr>
            <w:tcW w:w="7564" w:type="dxa"/>
            <w:vAlign w:val="center"/>
          </w:tcPr>
          <w:p>
            <w:pPr>
              <w:snapToGrid w:val="0"/>
              <w:jc w:val="center"/>
              <w:rPr>
                <w:rFonts w:ascii="宋体" w:hAnsi="宋体" w:cs="宋体"/>
                <w:color w:val="000000"/>
                <w:szCs w:val="21"/>
              </w:rPr>
            </w:pPr>
            <w:r>
              <w:rPr>
                <w:rFonts w:hint="eastAsia" w:ascii="宋体" w:hAnsi="宋体" w:cs="宋体"/>
                <w:color w:val="000000"/>
                <w:szCs w:val="21"/>
              </w:rPr>
              <w:t>很可能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snapToGrid w:val="0"/>
              <w:jc w:val="center"/>
              <w:rPr>
                <w:rFonts w:ascii="宋体" w:hAnsi="宋体" w:cs="宋体"/>
                <w:color w:val="000000"/>
                <w:szCs w:val="21"/>
              </w:rPr>
            </w:pPr>
            <w:r>
              <w:rPr>
                <w:rFonts w:hint="eastAsia" w:ascii="宋体" w:hAnsi="宋体" w:cs="宋体"/>
                <w:color w:val="000000"/>
                <w:szCs w:val="21"/>
              </w:rPr>
              <w:t>B</w:t>
            </w:r>
          </w:p>
        </w:tc>
        <w:tc>
          <w:tcPr>
            <w:tcW w:w="7564" w:type="dxa"/>
            <w:vAlign w:val="center"/>
          </w:tcPr>
          <w:p>
            <w:pPr>
              <w:snapToGrid w:val="0"/>
              <w:jc w:val="center"/>
              <w:rPr>
                <w:rFonts w:ascii="宋体" w:hAnsi="宋体" w:cs="宋体"/>
                <w:color w:val="000000"/>
                <w:szCs w:val="21"/>
              </w:rPr>
            </w:pPr>
            <w:r>
              <w:rPr>
                <w:rFonts w:hint="eastAsia" w:ascii="宋体" w:hAnsi="宋体" w:cs="宋体"/>
                <w:color w:val="000000"/>
                <w:szCs w:val="21"/>
              </w:rPr>
              <w:t>可能，但不经常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snapToGrid w:val="0"/>
              <w:jc w:val="center"/>
              <w:rPr>
                <w:rFonts w:ascii="宋体" w:hAnsi="宋体" w:cs="宋体"/>
                <w:color w:val="000000"/>
                <w:szCs w:val="21"/>
              </w:rPr>
            </w:pPr>
            <w:r>
              <w:rPr>
                <w:rFonts w:hint="eastAsia" w:ascii="宋体" w:hAnsi="宋体" w:cs="宋体"/>
                <w:color w:val="000000"/>
                <w:szCs w:val="21"/>
              </w:rPr>
              <w:t>C</w:t>
            </w:r>
          </w:p>
        </w:tc>
        <w:tc>
          <w:tcPr>
            <w:tcW w:w="7564" w:type="dxa"/>
            <w:vAlign w:val="center"/>
          </w:tcPr>
          <w:p>
            <w:pPr>
              <w:snapToGrid w:val="0"/>
              <w:jc w:val="center"/>
              <w:rPr>
                <w:rFonts w:ascii="宋体" w:hAnsi="宋体" w:cs="宋体"/>
                <w:color w:val="000000"/>
                <w:szCs w:val="21"/>
              </w:rPr>
            </w:pPr>
            <w:r>
              <w:rPr>
                <w:rFonts w:hint="eastAsia" w:ascii="宋体" w:hAnsi="宋体" w:cs="宋体"/>
                <w:color w:val="000000"/>
                <w:szCs w:val="21"/>
              </w:rPr>
              <w:t>可能性小，完全意外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snapToGrid w:val="0"/>
              <w:jc w:val="center"/>
              <w:rPr>
                <w:rFonts w:ascii="宋体" w:hAnsi="宋体" w:cs="宋体"/>
                <w:color w:val="000000"/>
                <w:szCs w:val="21"/>
              </w:rPr>
            </w:pPr>
            <w:r>
              <w:rPr>
                <w:rFonts w:hint="eastAsia" w:ascii="宋体" w:hAnsi="宋体" w:cs="宋体"/>
                <w:color w:val="000000"/>
                <w:szCs w:val="21"/>
              </w:rPr>
              <w:t>D</w:t>
            </w:r>
          </w:p>
        </w:tc>
        <w:tc>
          <w:tcPr>
            <w:tcW w:w="7564" w:type="dxa"/>
            <w:vAlign w:val="center"/>
          </w:tcPr>
          <w:p>
            <w:pPr>
              <w:snapToGrid w:val="0"/>
              <w:jc w:val="center"/>
              <w:rPr>
                <w:rFonts w:ascii="宋体" w:hAnsi="宋体" w:cs="宋体"/>
                <w:color w:val="000000"/>
                <w:szCs w:val="21"/>
              </w:rPr>
            </w:pPr>
            <w:r>
              <w:rPr>
                <w:rFonts w:hint="eastAsia" w:ascii="宋体" w:hAnsi="宋体" w:cs="宋体"/>
                <w:color w:val="000000"/>
                <w:szCs w:val="21"/>
              </w:rPr>
              <w:t>很不可能，可以设想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169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E</w:t>
            </w:r>
          </w:p>
        </w:tc>
        <w:tc>
          <w:tcPr>
            <w:tcW w:w="756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极不可能</w:t>
            </w:r>
          </w:p>
        </w:tc>
      </w:tr>
    </w:tbl>
    <w:p>
      <w:pPr>
        <w:tabs>
          <w:tab w:val="left" w:pos="5954"/>
        </w:tabs>
        <w:snapToGrid w:val="0"/>
        <w:spacing w:before="120" w:after="31"/>
        <w:jc w:val="center"/>
        <w:rPr>
          <w:rFonts w:ascii="宋体" w:hAnsi="宋体" w:cs="宋体"/>
          <w:b/>
          <w:szCs w:val="21"/>
          <w:lang w:val="zh-CN"/>
        </w:rPr>
      </w:pPr>
      <w:r>
        <w:rPr>
          <w:rFonts w:hint="eastAsia" w:ascii="宋体" w:hAnsi="宋体" w:cs="宋体"/>
          <w:b/>
          <w:szCs w:val="21"/>
          <w:lang w:val="zh-CN"/>
        </w:rPr>
        <w:t>表</w:t>
      </w:r>
      <w:r>
        <w:rPr>
          <w:rFonts w:hint="eastAsia" w:ascii="宋体" w:hAnsi="宋体" w:cs="宋体"/>
          <w:b/>
          <w:szCs w:val="21"/>
        </w:rPr>
        <w:t>7</w:t>
      </w:r>
      <w:r>
        <w:rPr>
          <w:rFonts w:hint="eastAsia" w:ascii="宋体" w:hAnsi="宋体" w:cs="宋体"/>
          <w:b/>
          <w:szCs w:val="21"/>
          <w:lang w:val="zh-CN"/>
        </w:rPr>
        <w:t>事故后果严重程度</w:t>
      </w:r>
    </w:p>
    <w:tbl>
      <w:tblPr>
        <w:tblStyle w:val="11"/>
        <w:tblW w:w="9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704"/>
        <w:gridCol w:w="7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70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严重度等级</w:t>
            </w:r>
          </w:p>
        </w:tc>
        <w:tc>
          <w:tcPr>
            <w:tcW w:w="758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70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1 \* ROMAN \* MERGEFORMAT </w:instrText>
            </w:r>
            <w:r>
              <w:rPr>
                <w:rFonts w:hint="eastAsia" w:ascii="宋体" w:hAnsi="宋体" w:cs="宋体"/>
                <w:color w:val="000000"/>
                <w:szCs w:val="21"/>
              </w:rPr>
              <w:fldChar w:fldCharType="separate"/>
            </w:r>
            <w:r>
              <w:rPr>
                <w:rFonts w:hint="eastAsia" w:ascii="宋体" w:hAnsi="宋体" w:cs="宋体"/>
                <w:color w:val="000000"/>
                <w:szCs w:val="21"/>
              </w:rPr>
              <w:t>I</w:t>
            </w:r>
            <w:r>
              <w:rPr>
                <w:rFonts w:hint="eastAsia" w:ascii="宋体" w:hAnsi="宋体" w:cs="宋体"/>
                <w:color w:val="000000"/>
                <w:szCs w:val="21"/>
              </w:rPr>
              <w:fldChar w:fldCharType="end"/>
            </w:r>
          </w:p>
        </w:tc>
        <w:tc>
          <w:tcPr>
            <w:tcW w:w="758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灾难，可能发生重特大事故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70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2 \* ROMAN \* MERGEFORMAT </w:instrText>
            </w:r>
            <w:r>
              <w:rPr>
                <w:rFonts w:hint="eastAsia" w:ascii="宋体" w:hAnsi="宋体" w:cs="宋体"/>
                <w:color w:val="000000"/>
                <w:szCs w:val="21"/>
              </w:rPr>
              <w:fldChar w:fldCharType="separate"/>
            </w:r>
            <w:r>
              <w:rPr>
                <w:rFonts w:hint="eastAsia" w:ascii="宋体" w:hAnsi="宋体" w:cs="宋体"/>
                <w:color w:val="000000"/>
                <w:szCs w:val="21"/>
              </w:rPr>
              <w:t>II</w:t>
            </w:r>
            <w:r>
              <w:rPr>
                <w:rFonts w:hint="eastAsia" w:ascii="宋体" w:hAnsi="宋体" w:cs="宋体"/>
                <w:color w:val="000000"/>
                <w:szCs w:val="21"/>
              </w:rPr>
              <w:fldChar w:fldCharType="end"/>
            </w:r>
          </w:p>
        </w:tc>
        <w:tc>
          <w:tcPr>
            <w:tcW w:w="758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严重，可能发生较大事故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70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3 \* ROMAN \* MERGEFORMAT </w:instrText>
            </w:r>
            <w:r>
              <w:rPr>
                <w:rFonts w:hint="eastAsia" w:ascii="宋体" w:hAnsi="宋体" w:cs="宋体"/>
                <w:color w:val="000000"/>
                <w:szCs w:val="21"/>
              </w:rPr>
              <w:fldChar w:fldCharType="separate"/>
            </w:r>
            <w:r>
              <w:rPr>
                <w:rFonts w:hint="eastAsia" w:ascii="宋体" w:hAnsi="宋体" w:cs="宋体"/>
                <w:color w:val="000000"/>
                <w:szCs w:val="21"/>
              </w:rPr>
              <w:t>III</w:t>
            </w:r>
            <w:r>
              <w:rPr>
                <w:rFonts w:hint="eastAsia" w:ascii="宋体" w:hAnsi="宋体" w:cs="宋体"/>
                <w:color w:val="000000"/>
                <w:szCs w:val="21"/>
              </w:rPr>
              <w:fldChar w:fldCharType="end"/>
            </w:r>
          </w:p>
        </w:tc>
        <w:tc>
          <w:tcPr>
            <w:tcW w:w="758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轻度，可能发生一般事故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704"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4 \* ROMAN \* MERGEFORMAT </w:instrText>
            </w:r>
            <w:r>
              <w:rPr>
                <w:rFonts w:hint="eastAsia" w:ascii="宋体" w:hAnsi="宋体" w:cs="宋体"/>
                <w:color w:val="000000"/>
                <w:szCs w:val="21"/>
              </w:rPr>
              <w:fldChar w:fldCharType="separate"/>
            </w:r>
            <w:r>
              <w:rPr>
                <w:rFonts w:hint="eastAsia" w:ascii="宋体" w:hAnsi="宋体" w:cs="宋体"/>
                <w:color w:val="000000"/>
                <w:szCs w:val="21"/>
              </w:rPr>
              <w:t>IV</w:t>
            </w:r>
            <w:r>
              <w:rPr>
                <w:rFonts w:hint="eastAsia" w:ascii="宋体" w:hAnsi="宋体" w:cs="宋体"/>
                <w:color w:val="000000"/>
                <w:szCs w:val="21"/>
              </w:rPr>
              <w:fldChar w:fldCharType="end"/>
            </w:r>
          </w:p>
        </w:tc>
        <w:tc>
          <w:tcPr>
            <w:tcW w:w="7588" w:type="dxa"/>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轻微，可能发生人员轻伤事故</w:t>
            </w:r>
          </w:p>
        </w:tc>
      </w:tr>
    </w:tbl>
    <w:p>
      <w:pPr>
        <w:tabs>
          <w:tab w:val="left" w:pos="5954"/>
        </w:tabs>
        <w:snapToGrid w:val="0"/>
        <w:spacing w:before="120" w:after="31"/>
        <w:jc w:val="center"/>
        <w:rPr>
          <w:rFonts w:ascii="宋体" w:hAnsi="宋体" w:cs="宋体"/>
          <w:b/>
          <w:szCs w:val="21"/>
          <w:lang w:val="zh-CN"/>
        </w:rPr>
      </w:pPr>
      <w:r>
        <w:rPr>
          <w:rFonts w:hint="eastAsia" w:ascii="宋体" w:hAnsi="宋体" w:cs="宋体"/>
          <w:b/>
          <w:szCs w:val="21"/>
          <w:lang w:val="zh-CN"/>
        </w:rPr>
        <w:t>表</w:t>
      </w:r>
      <w:r>
        <w:rPr>
          <w:rFonts w:hint="eastAsia" w:ascii="宋体" w:hAnsi="宋体" w:cs="宋体"/>
          <w:b/>
          <w:szCs w:val="21"/>
        </w:rPr>
        <w:t>8</w:t>
      </w:r>
      <w:r>
        <w:rPr>
          <w:rFonts w:hint="eastAsia" w:ascii="宋体" w:hAnsi="宋体" w:cs="宋体"/>
          <w:b/>
          <w:szCs w:val="21"/>
          <w:lang w:val="zh-CN"/>
        </w:rPr>
        <w:t>风险判定矩阵</w:t>
      </w:r>
    </w:p>
    <w:tbl>
      <w:tblPr>
        <w:tblStyle w:val="11"/>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187"/>
        <w:gridCol w:w="1928"/>
        <w:gridCol w:w="1950"/>
        <w:gridCol w:w="2130"/>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vMerge w:val="restart"/>
            <w:vAlign w:val="center"/>
          </w:tcPr>
          <w:p>
            <w:pPr>
              <w:jc w:val="center"/>
              <w:rPr>
                <w:rFonts w:ascii="宋体" w:hAnsi="宋体" w:cs="宋体"/>
                <w:color w:val="000000"/>
                <w:szCs w:val="21"/>
              </w:rPr>
            </w:pPr>
            <w:r>
              <w:rPr>
                <w:rFonts w:hint="eastAsia" w:ascii="宋体" w:hAnsi="宋体" w:cs="宋体"/>
                <w:color w:val="000000"/>
                <w:szCs w:val="21"/>
              </w:rPr>
              <w:t>可能性</w:t>
            </w:r>
          </w:p>
        </w:tc>
        <w:tc>
          <w:tcPr>
            <w:tcW w:w="8151" w:type="dxa"/>
            <w:gridSpan w:val="4"/>
            <w:vAlign w:val="center"/>
          </w:tcPr>
          <w:p>
            <w:pPr>
              <w:jc w:val="center"/>
              <w:rPr>
                <w:rFonts w:ascii="宋体" w:hAnsi="宋体" w:cs="宋体"/>
                <w:color w:val="000000"/>
                <w:szCs w:val="21"/>
              </w:rPr>
            </w:pPr>
            <w:r>
              <w:rPr>
                <w:rFonts w:hint="eastAsia" w:ascii="宋体" w:hAnsi="宋体" w:cs="宋体"/>
                <w:color w:val="000000"/>
                <w:szCs w:val="21"/>
              </w:rPr>
              <w:t>严重程度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vMerge w:val="continue"/>
            <w:vAlign w:val="center"/>
          </w:tcPr>
          <w:p>
            <w:pPr>
              <w:jc w:val="center"/>
              <w:rPr>
                <w:rFonts w:ascii="宋体" w:hAnsi="宋体" w:cs="宋体"/>
                <w:color w:val="000000"/>
                <w:szCs w:val="21"/>
              </w:rPr>
            </w:pPr>
          </w:p>
        </w:tc>
        <w:tc>
          <w:tcPr>
            <w:tcW w:w="1928" w:type="dxa"/>
            <w:tcBorders>
              <w:bottom w:val="single" w:color="auto" w:sz="4" w:space="0"/>
            </w:tcBorders>
            <w:vAlign w:val="center"/>
          </w:tcPr>
          <w:p>
            <w:pPr>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1 \* ROMAN \* MERGEFORMAT </w:instrText>
            </w:r>
            <w:r>
              <w:rPr>
                <w:rFonts w:hint="eastAsia" w:ascii="宋体" w:hAnsi="宋体" w:cs="宋体"/>
                <w:color w:val="000000"/>
                <w:szCs w:val="21"/>
              </w:rPr>
              <w:fldChar w:fldCharType="separate"/>
            </w:r>
            <w:r>
              <w:rPr>
                <w:rFonts w:hint="eastAsia" w:ascii="宋体" w:hAnsi="宋体" w:cs="宋体"/>
                <w:color w:val="000000"/>
                <w:szCs w:val="21"/>
              </w:rPr>
              <w:t>I</w:t>
            </w:r>
            <w:r>
              <w:rPr>
                <w:rFonts w:hint="eastAsia" w:ascii="宋体" w:hAnsi="宋体" w:cs="宋体"/>
                <w:color w:val="000000"/>
                <w:szCs w:val="21"/>
              </w:rPr>
              <w:fldChar w:fldCharType="end"/>
            </w:r>
            <w:r>
              <w:rPr>
                <w:rFonts w:hint="eastAsia" w:ascii="宋体" w:hAnsi="宋体" w:cs="宋体"/>
                <w:color w:val="000000"/>
                <w:szCs w:val="21"/>
              </w:rPr>
              <w:t>（灾难）</w:t>
            </w:r>
          </w:p>
        </w:tc>
        <w:tc>
          <w:tcPr>
            <w:tcW w:w="1950" w:type="dxa"/>
            <w:tcBorders>
              <w:bottom w:val="single" w:color="auto" w:sz="4" w:space="0"/>
            </w:tcBorders>
            <w:vAlign w:val="center"/>
          </w:tcPr>
          <w:p>
            <w:pPr>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2 \* ROMAN \* MERGEFORMAT </w:instrText>
            </w:r>
            <w:r>
              <w:rPr>
                <w:rFonts w:hint="eastAsia" w:ascii="宋体" w:hAnsi="宋体" w:cs="宋体"/>
                <w:color w:val="000000"/>
                <w:szCs w:val="21"/>
              </w:rPr>
              <w:fldChar w:fldCharType="separate"/>
            </w:r>
            <w:r>
              <w:rPr>
                <w:rFonts w:hint="eastAsia" w:ascii="宋体" w:hAnsi="宋体" w:cs="宋体"/>
                <w:color w:val="000000"/>
                <w:szCs w:val="21"/>
              </w:rPr>
              <w:t>II</w:t>
            </w:r>
            <w:r>
              <w:rPr>
                <w:rFonts w:hint="eastAsia" w:ascii="宋体" w:hAnsi="宋体" w:cs="宋体"/>
                <w:color w:val="000000"/>
                <w:szCs w:val="21"/>
              </w:rPr>
              <w:fldChar w:fldCharType="end"/>
            </w:r>
            <w:r>
              <w:rPr>
                <w:rFonts w:hint="eastAsia" w:ascii="宋体" w:hAnsi="宋体" w:cs="宋体"/>
                <w:color w:val="000000"/>
                <w:szCs w:val="21"/>
              </w:rPr>
              <w:t>（严重）</w:t>
            </w:r>
          </w:p>
        </w:tc>
        <w:tc>
          <w:tcPr>
            <w:tcW w:w="2130" w:type="dxa"/>
            <w:tcBorders>
              <w:bottom w:val="single" w:color="auto" w:sz="4" w:space="0"/>
            </w:tcBorders>
            <w:vAlign w:val="center"/>
          </w:tcPr>
          <w:p>
            <w:pPr>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3 \* ROMAN \* MERGEFORMAT </w:instrText>
            </w:r>
            <w:r>
              <w:rPr>
                <w:rFonts w:hint="eastAsia" w:ascii="宋体" w:hAnsi="宋体" w:cs="宋体"/>
                <w:color w:val="000000"/>
                <w:szCs w:val="21"/>
              </w:rPr>
              <w:fldChar w:fldCharType="separate"/>
            </w:r>
            <w:r>
              <w:rPr>
                <w:rFonts w:hint="eastAsia" w:ascii="宋体" w:hAnsi="宋体" w:cs="宋体"/>
                <w:color w:val="000000"/>
                <w:szCs w:val="21"/>
              </w:rPr>
              <w:t>III</w:t>
            </w:r>
            <w:r>
              <w:rPr>
                <w:rFonts w:hint="eastAsia" w:ascii="宋体" w:hAnsi="宋体" w:cs="宋体"/>
                <w:color w:val="000000"/>
                <w:szCs w:val="21"/>
              </w:rPr>
              <w:fldChar w:fldCharType="end"/>
            </w:r>
            <w:r>
              <w:rPr>
                <w:rFonts w:hint="eastAsia" w:ascii="宋体" w:hAnsi="宋体" w:cs="宋体"/>
                <w:color w:val="000000"/>
                <w:szCs w:val="21"/>
              </w:rPr>
              <w:t>（轻度）</w:t>
            </w:r>
          </w:p>
        </w:tc>
        <w:tc>
          <w:tcPr>
            <w:tcW w:w="2143" w:type="dxa"/>
            <w:tcBorders>
              <w:bottom w:val="single" w:color="auto" w:sz="4" w:space="0"/>
            </w:tcBorders>
            <w:vAlign w:val="center"/>
          </w:tcPr>
          <w:p>
            <w:pPr>
              <w:jc w:val="center"/>
              <w:rPr>
                <w:rFonts w:ascii="宋体" w:hAnsi="宋体" w:cs="宋体"/>
                <w:color w:val="000000"/>
                <w:szCs w:val="21"/>
              </w:rPr>
            </w:pPr>
            <w:r>
              <w:rPr>
                <w:rFonts w:hint="eastAsia" w:ascii="宋体" w:hAnsi="宋体" w:cs="宋体"/>
                <w:color w:val="000000"/>
                <w:szCs w:val="21"/>
              </w:rPr>
              <w:fldChar w:fldCharType="begin"/>
            </w:r>
            <w:r>
              <w:rPr>
                <w:rFonts w:hint="eastAsia" w:ascii="宋体" w:hAnsi="宋体" w:cs="宋体"/>
                <w:color w:val="000000"/>
                <w:szCs w:val="21"/>
              </w:rPr>
              <w:instrText xml:space="preserve"> = 4 \* ROMAN \* MERGEFORMAT </w:instrText>
            </w:r>
            <w:r>
              <w:rPr>
                <w:rFonts w:hint="eastAsia" w:ascii="宋体" w:hAnsi="宋体" w:cs="宋体"/>
                <w:color w:val="000000"/>
                <w:szCs w:val="21"/>
              </w:rPr>
              <w:fldChar w:fldCharType="separate"/>
            </w:r>
            <w:r>
              <w:rPr>
                <w:rFonts w:hint="eastAsia" w:ascii="宋体" w:hAnsi="宋体" w:cs="宋体"/>
                <w:color w:val="000000"/>
                <w:szCs w:val="21"/>
              </w:rPr>
              <w:t>IV</w:t>
            </w:r>
            <w:r>
              <w:rPr>
                <w:rFonts w:hint="eastAsia" w:ascii="宋体" w:hAnsi="宋体" w:cs="宋体"/>
                <w:color w:val="000000"/>
                <w:szCs w:val="21"/>
              </w:rPr>
              <w:fldChar w:fldCharType="end"/>
            </w:r>
            <w:r>
              <w:rPr>
                <w:rFonts w:hint="eastAsia" w:ascii="宋体" w:hAnsi="宋体" w:cs="宋体"/>
                <w:color w:val="000000"/>
                <w:szCs w:val="21"/>
              </w:rPr>
              <w:t>（轻微）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shd w:val="clear" w:color="auto" w:fill="auto"/>
            <w:vAlign w:val="center"/>
          </w:tcPr>
          <w:p>
            <w:pPr>
              <w:jc w:val="center"/>
              <w:rPr>
                <w:rFonts w:ascii="宋体" w:hAnsi="宋体" w:cs="宋体"/>
                <w:color w:val="000000"/>
                <w:szCs w:val="21"/>
              </w:rPr>
            </w:pPr>
            <w:r>
              <w:rPr>
                <w:rFonts w:hint="eastAsia" w:ascii="宋体" w:hAnsi="宋体" w:cs="宋体"/>
                <w:color w:val="000000"/>
                <w:szCs w:val="21"/>
              </w:rPr>
              <w:t>A</w:t>
            </w:r>
          </w:p>
        </w:tc>
        <w:tc>
          <w:tcPr>
            <w:tcW w:w="1928" w:type="dxa"/>
            <w:shd w:val="clear" w:color="auto" w:fill="FF0000"/>
            <w:vAlign w:val="center"/>
          </w:tcPr>
          <w:p>
            <w:pPr>
              <w:jc w:val="center"/>
              <w:rPr>
                <w:rFonts w:ascii="宋体" w:hAnsi="宋体" w:cs="宋体"/>
                <w:color w:val="000000"/>
                <w:szCs w:val="21"/>
              </w:rPr>
            </w:pPr>
            <w:r>
              <w:rPr>
                <w:rFonts w:hint="eastAsia" w:ascii="宋体" w:hAnsi="宋体" w:cs="宋体"/>
                <w:color w:val="000000"/>
                <w:szCs w:val="21"/>
              </w:rPr>
              <w:t>重大风险</w:t>
            </w:r>
          </w:p>
        </w:tc>
        <w:tc>
          <w:tcPr>
            <w:tcW w:w="1950" w:type="dxa"/>
            <w:shd w:val="clear" w:color="auto" w:fill="FF0000"/>
            <w:vAlign w:val="center"/>
          </w:tcPr>
          <w:p>
            <w:pPr>
              <w:jc w:val="center"/>
              <w:rPr>
                <w:rFonts w:ascii="宋体" w:hAnsi="宋体" w:cs="宋体"/>
                <w:color w:val="000000"/>
                <w:szCs w:val="21"/>
              </w:rPr>
            </w:pPr>
            <w:r>
              <w:rPr>
                <w:rFonts w:hint="eastAsia" w:ascii="宋体" w:hAnsi="宋体" w:cs="宋体"/>
                <w:color w:val="000000"/>
                <w:szCs w:val="21"/>
              </w:rPr>
              <w:t>重大风险</w:t>
            </w:r>
          </w:p>
        </w:tc>
        <w:tc>
          <w:tcPr>
            <w:tcW w:w="2130" w:type="dxa"/>
            <w:shd w:val="clear" w:color="auto" w:fill="E36C09" w:themeFill="accent6" w:themeFillShade="BF"/>
            <w:vAlign w:val="center"/>
          </w:tcPr>
          <w:p>
            <w:pPr>
              <w:jc w:val="center"/>
              <w:rPr>
                <w:rFonts w:ascii="宋体" w:hAnsi="宋体" w:cs="宋体"/>
                <w:color w:val="000000"/>
                <w:szCs w:val="21"/>
              </w:rPr>
            </w:pPr>
            <w:r>
              <w:rPr>
                <w:rFonts w:hint="eastAsia" w:ascii="宋体" w:hAnsi="宋体" w:cs="宋体"/>
                <w:color w:val="000000"/>
                <w:szCs w:val="21"/>
              </w:rPr>
              <w:t>较大风险</w:t>
            </w:r>
          </w:p>
        </w:tc>
        <w:tc>
          <w:tcPr>
            <w:tcW w:w="2143"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3" w:hRule="atLeast"/>
          <w:jc w:val="center"/>
        </w:trPr>
        <w:tc>
          <w:tcPr>
            <w:tcW w:w="1187" w:type="dxa"/>
            <w:shd w:val="clear" w:color="auto" w:fill="auto"/>
            <w:vAlign w:val="center"/>
          </w:tcPr>
          <w:p>
            <w:pPr>
              <w:ind w:left="-105" w:leftChars="-50" w:right="-105" w:rightChars="-50"/>
              <w:jc w:val="center"/>
              <w:rPr>
                <w:rFonts w:ascii="宋体" w:hAnsi="宋体" w:cs="宋体"/>
                <w:color w:val="000000"/>
                <w:szCs w:val="21"/>
              </w:rPr>
            </w:pPr>
            <w:r>
              <w:rPr>
                <w:rFonts w:hint="eastAsia" w:ascii="宋体" w:hAnsi="宋体" w:cs="宋体"/>
                <w:color w:val="000000"/>
                <w:szCs w:val="21"/>
              </w:rPr>
              <w:t>B</w:t>
            </w:r>
          </w:p>
        </w:tc>
        <w:tc>
          <w:tcPr>
            <w:tcW w:w="1928" w:type="dxa"/>
            <w:shd w:val="clear" w:color="auto" w:fill="FF0000"/>
            <w:vAlign w:val="center"/>
          </w:tcPr>
          <w:p>
            <w:pPr>
              <w:jc w:val="center"/>
              <w:rPr>
                <w:rFonts w:ascii="宋体" w:hAnsi="宋体" w:cs="宋体"/>
                <w:color w:val="000000"/>
                <w:szCs w:val="21"/>
              </w:rPr>
            </w:pPr>
            <w:r>
              <w:rPr>
                <w:rFonts w:hint="eastAsia" w:ascii="宋体" w:hAnsi="宋体" w:cs="宋体"/>
                <w:color w:val="000000"/>
                <w:szCs w:val="21"/>
              </w:rPr>
              <w:t>重大风险</w:t>
            </w:r>
          </w:p>
        </w:tc>
        <w:tc>
          <w:tcPr>
            <w:tcW w:w="1950" w:type="dxa"/>
            <w:tcBorders>
              <w:bottom w:val="single" w:color="auto" w:sz="4" w:space="0"/>
            </w:tcBorders>
            <w:shd w:val="clear" w:color="auto" w:fill="FF0000"/>
            <w:vAlign w:val="center"/>
          </w:tcPr>
          <w:p>
            <w:pPr>
              <w:jc w:val="center"/>
              <w:rPr>
                <w:rFonts w:ascii="宋体" w:hAnsi="宋体" w:cs="宋体"/>
                <w:color w:val="000000"/>
                <w:szCs w:val="21"/>
              </w:rPr>
            </w:pPr>
            <w:r>
              <w:rPr>
                <w:rFonts w:hint="eastAsia" w:ascii="宋体" w:hAnsi="宋体" w:cs="宋体"/>
                <w:color w:val="000000"/>
                <w:szCs w:val="21"/>
              </w:rPr>
              <w:t>重大风险</w:t>
            </w:r>
          </w:p>
        </w:tc>
        <w:tc>
          <w:tcPr>
            <w:tcW w:w="2130" w:type="dxa"/>
            <w:tcBorders>
              <w:bottom w:val="single" w:color="auto" w:sz="4" w:space="0"/>
            </w:tcBorders>
            <w:shd w:val="clear" w:color="auto" w:fill="E36C09" w:themeFill="accent6" w:themeFillShade="BF"/>
            <w:vAlign w:val="center"/>
          </w:tcPr>
          <w:p>
            <w:pPr>
              <w:jc w:val="center"/>
              <w:rPr>
                <w:rFonts w:ascii="宋体" w:hAnsi="宋体" w:cs="宋体"/>
                <w:color w:val="000000"/>
                <w:szCs w:val="21"/>
              </w:rPr>
            </w:pPr>
            <w:r>
              <w:rPr>
                <w:rFonts w:hint="eastAsia" w:ascii="宋体" w:hAnsi="宋体" w:cs="宋体"/>
                <w:color w:val="000000"/>
                <w:szCs w:val="21"/>
              </w:rPr>
              <w:t>较大风险</w:t>
            </w:r>
          </w:p>
        </w:tc>
        <w:tc>
          <w:tcPr>
            <w:tcW w:w="2143" w:type="dxa"/>
            <w:tcBorders>
              <w:bottom w:val="single" w:color="auto" w:sz="4" w:space="0"/>
            </w:tcBorders>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shd w:val="clear" w:color="auto" w:fill="auto"/>
            <w:vAlign w:val="center"/>
          </w:tcPr>
          <w:p>
            <w:pPr>
              <w:jc w:val="center"/>
              <w:rPr>
                <w:rFonts w:ascii="宋体" w:hAnsi="宋体" w:cs="宋体"/>
                <w:color w:val="000000"/>
                <w:szCs w:val="21"/>
              </w:rPr>
            </w:pPr>
            <w:r>
              <w:rPr>
                <w:rFonts w:hint="eastAsia" w:ascii="宋体" w:hAnsi="宋体" w:cs="宋体"/>
                <w:color w:val="000000"/>
                <w:szCs w:val="21"/>
              </w:rPr>
              <w:t>C</w:t>
            </w:r>
          </w:p>
        </w:tc>
        <w:tc>
          <w:tcPr>
            <w:tcW w:w="1928" w:type="dxa"/>
            <w:tcBorders>
              <w:bottom w:val="single" w:color="auto" w:sz="4" w:space="0"/>
            </w:tcBorders>
            <w:shd w:val="clear" w:color="auto" w:fill="FF0000"/>
            <w:vAlign w:val="center"/>
          </w:tcPr>
          <w:p>
            <w:pPr>
              <w:jc w:val="center"/>
              <w:rPr>
                <w:rFonts w:ascii="宋体" w:hAnsi="宋体" w:cs="宋体"/>
                <w:color w:val="000000"/>
                <w:szCs w:val="21"/>
              </w:rPr>
            </w:pPr>
            <w:r>
              <w:rPr>
                <w:rFonts w:hint="eastAsia" w:ascii="宋体" w:hAnsi="宋体" w:cs="宋体"/>
                <w:color w:val="000000"/>
                <w:szCs w:val="21"/>
              </w:rPr>
              <w:t>重大风险</w:t>
            </w:r>
          </w:p>
        </w:tc>
        <w:tc>
          <w:tcPr>
            <w:tcW w:w="1950" w:type="dxa"/>
            <w:tcBorders>
              <w:bottom w:val="single" w:color="auto" w:sz="4" w:space="0"/>
            </w:tcBorders>
            <w:shd w:val="clear" w:color="auto" w:fill="E36C09" w:themeFill="accent6" w:themeFillShade="BF"/>
            <w:vAlign w:val="center"/>
          </w:tcPr>
          <w:p>
            <w:pPr>
              <w:jc w:val="center"/>
              <w:rPr>
                <w:rFonts w:ascii="宋体" w:hAnsi="宋体" w:cs="宋体"/>
                <w:color w:val="000000"/>
                <w:szCs w:val="21"/>
              </w:rPr>
            </w:pPr>
            <w:r>
              <w:rPr>
                <w:rFonts w:hint="eastAsia" w:ascii="宋体" w:hAnsi="宋体" w:cs="宋体"/>
                <w:color w:val="000000"/>
                <w:szCs w:val="21"/>
              </w:rPr>
              <w:t>较大风险</w:t>
            </w:r>
          </w:p>
        </w:tc>
        <w:tc>
          <w:tcPr>
            <w:tcW w:w="2130"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2143" w:type="dxa"/>
            <w:shd w:val="clear" w:color="auto" w:fill="0070C0"/>
            <w:vAlign w:val="center"/>
          </w:tcPr>
          <w:p>
            <w:pPr>
              <w:jc w:val="center"/>
              <w:rPr>
                <w:rFonts w:ascii="宋体" w:hAnsi="宋体" w:cs="宋体"/>
                <w:color w:val="000000"/>
                <w:szCs w:val="21"/>
              </w:rPr>
            </w:pPr>
            <w:r>
              <w:rPr>
                <w:rFonts w:hint="eastAsia" w:ascii="宋体" w:hAnsi="宋体" w:cs="宋体"/>
                <w:color w:val="000000"/>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shd w:val="clear" w:color="auto" w:fill="auto"/>
            <w:vAlign w:val="center"/>
          </w:tcPr>
          <w:p>
            <w:pPr>
              <w:jc w:val="center"/>
              <w:rPr>
                <w:rFonts w:ascii="宋体" w:hAnsi="宋体" w:cs="宋体"/>
                <w:color w:val="000000"/>
                <w:szCs w:val="21"/>
              </w:rPr>
            </w:pPr>
            <w:r>
              <w:rPr>
                <w:rFonts w:hint="eastAsia" w:ascii="宋体" w:hAnsi="宋体" w:cs="宋体"/>
                <w:color w:val="000000"/>
                <w:szCs w:val="21"/>
              </w:rPr>
              <w:t>D</w:t>
            </w:r>
          </w:p>
        </w:tc>
        <w:tc>
          <w:tcPr>
            <w:tcW w:w="1928" w:type="dxa"/>
            <w:tcBorders>
              <w:bottom w:val="single" w:color="auto" w:sz="4" w:space="0"/>
            </w:tcBorders>
            <w:shd w:val="clear" w:color="auto" w:fill="E36C09" w:themeFill="accent6" w:themeFillShade="BF"/>
            <w:vAlign w:val="center"/>
          </w:tcPr>
          <w:p>
            <w:pPr>
              <w:jc w:val="center"/>
              <w:rPr>
                <w:rFonts w:ascii="宋体" w:hAnsi="宋体" w:cs="宋体"/>
                <w:color w:val="000000"/>
                <w:szCs w:val="21"/>
              </w:rPr>
            </w:pPr>
            <w:r>
              <w:rPr>
                <w:rFonts w:hint="eastAsia" w:ascii="宋体" w:hAnsi="宋体" w:cs="宋体"/>
                <w:color w:val="000000"/>
                <w:szCs w:val="21"/>
              </w:rPr>
              <w:t>较大风险</w:t>
            </w:r>
          </w:p>
        </w:tc>
        <w:tc>
          <w:tcPr>
            <w:tcW w:w="1950" w:type="dxa"/>
            <w:tcBorders>
              <w:bottom w:val="single" w:color="auto" w:sz="4" w:space="0"/>
            </w:tcBorders>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2130"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2143" w:type="dxa"/>
            <w:shd w:val="clear" w:color="auto" w:fill="0070C0"/>
            <w:vAlign w:val="center"/>
          </w:tcPr>
          <w:p>
            <w:pPr>
              <w:jc w:val="center"/>
              <w:rPr>
                <w:rFonts w:ascii="宋体" w:hAnsi="宋体" w:cs="宋体"/>
                <w:color w:val="000000"/>
                <w:szCs w:val="21"/>
              </w:rPr>
            </w:pPr>
            <w:r>
              <w:rPr>
                <w:rFonts w:hint="eastAsia" w:ascii="宋体" w:hAnsi="宋体" w:cs="宋体"/>
                <w:color w:val="000000"/>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87" w:type="dxa"/>
            <w:shd w:val="clear" w:color="auto" w:fill="auto"/>
            <w:vAlign w:val="center"/>
          </w:tcPr>
          <w:p>
            <w:pPr>
              <w:jc w:val="center"/>
              <w:rPr>
                <w:rFonts w:ascii="宋体" w:hAnsi="宋体" w:cs="宋体"/>
                <w:color w:val="000000"/>
                <w:szCs w:val="21"/>
              </w:rPr>
            </w:pPr>
            <w:r>
              <w:rPr>
                <w:rFonts w:hint="eastAsia" w:ascii="宋体" w:hAnsi="宋体" w:cs="宋体"/>
                <w:color w:val="000000"/>
                <w:szCs w:val="21"/>
              </w:rPr>
              <w:t>E</w:t>
            </w:r>
          </w:p>
        </w:tc>
        <w:tc>
          <w:tcPr>
            <w:tcW w:w="1928"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1950"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2130" w:type="dxa"/>
            <w:shd w:val="clear" w:color="auto" w:fill="FFFF00"/>
            <w:vAlign w:val="center"/>
          </w:tcPr>
          <w:p>
            <w:pPr>
              <w:jc w:val="center"/>
              <w:rPr>
                <w:rFonts w:ascii="宋体" w:hAnsi="宋体" w:cs="宋体"/>
                <w:color w:val="000000"/>
                <w:szCs w:val="21"/>
              </w:rPr>
            </w:pPr>
            <w:r>
              <w:rPr>
                <w:rFonts w:hint="eastAsia" w:ascii="宋体" w:hAnsi="宋体" w:cs="宋体"/>
                <w:color w:val="000000"/>
                <w:szCs w:val="21"/>
              </w:rPr>
              <w:t>一般风险</w:t>
            </w:r>
          </w:p>
        </w:tc>
        <w:tc>
          <w:tcPr>
            <w:tcW w:w="2143" w:type="dxa"/>
            <w:shd w:val="clear" w:color="auto" w:fill="0070C0"/>
            <w:vAlign w:val="center"/>
          </w:tcPr>
          <w:p>
            <w:pPr>
              <w:jc w:val="center"/>
              <w:rPr>
                <w:rFonts w:ascii="宋体" w:hAnsi="宋体" w:cs="宋体"/>
                <w:color w:val="000000"/>
                <w:szCs w:val="21"/>
              </w:rPr>
            </w:pPr>
            <w:r>
              <w:rPr>
                <w:rFonts w:hint="eastAsia" w:ascii="宋体" w:hAnsi="宋体" w:cs="宋体"/>
                <w:color w:val="000000"/>
                <w:szCs w:val="21"/>
              </w:rPr>
              <w:t>低风险</w:t>
            </w:r>
          </w:p>
        </w:tc>
      </w:tr>
    </w:tbl>
    <w:p>
      <w:pPr>
        <w:ind w:firstLine="424" w:firstLineChars="202"/>
        <w:rPr>
          <w:rFonts w:ascii="宋体" w:hAnsi="宋体" w:cs="宋体"/>
          <w:szCs w:val="21"/>
        </w:rPr>
      </w:pPr>
      <w:r>
        <w:rPr>
          <w:rFonts w:hint="eastAsia" w:ascii="宋体" w:hAnsi="宋体" w:cs="宋体"/>
          <w:szCs w:val="21"/>
        </w:rPr>
        <w:t>判定事故发生的可能性和事故后果严重程度，需要选择适用的定性或定量风险评估方法进行科学判定。如对事故发生的可能性，可采用事故统计分析方法、事件树分析等分析方法来判定；事故后果的严重程度，可采用事故统计分析和事故后果定量模拟计算等方法来判定。</w:t>
      </w:r>
    </w:p>
    <w:p>
      <w:pPr>
        <w:ind w:firstLine="424" w:firstLineChars="202"/>
        <w:rPr>
          <w:rFonts w:ascii="宋体" w:hAnsi="宋体" w:cs="宋体"/>
          <w:szCs w:val="21"/>
        </w:rPr>
      </w:pPr>
      <w:r>
        <w:rPr>
          <w:rFonts w:hint="eastAsia" w:ascii="宋体" w:hAnsi="宋体" w:cs="宋体"/>
          <w:szCs w:val="21"/>
        </w:rPr>
        <w:t>鉴于本公司类型千差万别，本公司风险管理水平各不相同，特别是对于一些风险较低的本公司，虽然按照统一标准没有构成重大风险，仍然要按照风险管理的原则，抓住影响本本公司安全生产的突出问题和关键环节，研究确定本本公司可接受风险程度。</w:t>
      </w:r>
    </w:p>
    <w:p>
      <w:pPr>
        <w:pStyle w:val="2"/>
        <w:spacing w:before="156" w:beforeLines="50" w:after="156" w:afterLines="50" w:line="240" w:lineRule="auto"/>
        <w:rPr>
          <w:rFonts w:ascii="宋体" w:hAnsi="宋体" w:cs="宋体"/>
          <w:kern w:val="2"/>
          <w:sz w:val="21"/>
          <w:szCs w:val="21"/>
        </w:rPr>
      </w:pPr>
      <w:bookmarkStart w:id="48" w:name="_Toc477888847"/>
      <w:bookmarkStart w:id="49" w:name="_Toc13473773"/>
      <w:r>
        <w:rPr>
          <w:rFonts w:hint="eastAsia" w:ascii="宋体" w:hAnsi="宋体" w:cs="宋体"/>
          <w:kern w:val="2"/>
          <w:sz w:val="21"/>
          <w:szCs w:val="21"/>
        </w:rPr>
        <w:t>6.7制定风险清单</w:t>
      </w:r>
      <w:bookmarkEnd w:id="48"/>
      <w:bookmarkEnd w:id="49"/>
    </w:p>
    <w:p>
      <w:pPr>
        <w:ind w:firstLine="424" w:firstLineChars="202"/>
        <w:rPr>
          <w:rFonts w:ascii="宋体" w:hAnsi="宋体" w:cs="宋体"/>
          <w:szCs w:val="21"/>
        </w:rPr>
      </w:pPr>
      <w:r>
        <w:rPr>
          <w:rFonts w:hint="eastAsia" w:ascii="宋体" w:hAnsi="宋体" w:cs="宋体"/>
          <w:szCs w:val="21"/>
        </w:rPr>
        <w:t>本公司在风险辨识评估和分级之后，应建立风险清单。风险清单应至少包括风险名称、风险位置、风险类别、风险等级、管控主体、管控措施等内容。本公司应将重大风险进行汇总，登记造册，并对重大风险存在的作业场所或作业活动、工艺技术条件、技术保障措施、管理措施、应急处置措施、责任部门及工作职责等进行详细说明。对于重大风险，本公司应及时上报属地负有安全生产监督管理职责的部门。</w:t>
      </w:r>
    </w:p>
    <w:p>
      <w:pPr>
        <w:pStyle w:val="2"/>
        <w:spacing w:before="156" w:beforeLines="50" w:after="156" w:afterLines="50" w:line="240" w:lineRule="auto"/>
        <w:rPr>
          <w:rFonts w:ascii="宋体" w:hAnsi="宋体" w:cs="宋体"/>
          <w:kern w:val="2"/>
          <w:sz w:val="21"/>
          <w:szCs w:val="21"/>
        </w:rPr>
      </w:pPr>
      <w:bookmarkStart w:id="50" w:name="_Toc13473774"/>
      <w:bookmarkStart w:id="51" w:name="_Toc477888848"/>
      <w:r>
        <w:rPr>
          <w:rFonts w:hint="eastAsia" w:ascii="宋体" w:hAnsi="宋体" w:cs="宋体"/>
          <w:kern w:val="2"/>
          <w:sz w:val="21"/>
          <w:szCs w:val="21"/>
        </w:rPr>
        <w:t>6.8风险分级管控</w:t>
      </w:r>
      <w:bookmarkEnd w:id="50"/>
      <w:bookmarkEnd w:id="51"/>
    </w:p>
    <w:p>
      <w:pPr>
        <w:pStyle w:val="2"/>
        <w:spacing w:before="156" w:beforeLines="50" w:after="156" w:afterLines="50" w:line="240" w:lineRule="auto"/>
        <w:rPr>
          <w:rFonts w:ascii="宋体" w:hAnsi="宋体" w:cs="宋体"/>
          <w:kern w:val="2"/>
          <w:sz w:val="21"/>
          <w:szCs w:val="21"/>
        </w:rPr>
      </w:pPr>
      <w:bookmarkStart w:id="52" w:name="_Toc13473775"/>
      <w:r>
        <w:rPr>
          <w:rFonts w:hint="eastAsia" w:ascii="宋体" w:hAnsi="宋体" w:cs="宋体"/>
          <w:kern w:val="2"/>
          <w:sz w:val="21"/>
          <w:szCs w:val="21"/>
        </w:rPr>
        <w:t>6.8.1管控要求</w:t>
      </w:r>
      <w:bookmarkEnd w:id="52"/>
    </w:p>
    <w:p>
      <w:pPr>
        <w:ind w:firstLine="424" w:firstLineChars="202"/>
        <w:rPr>
          <w:rFonts w:ascii="宋体" w:hAnsi="宋体" w:cs="宋体"/>
          <w:szCs w:val="21"/>
        </w:rPr>
      </w:pPr>
      <w:r>
        <w:rPr>
          <w:rFonts w:hint="eastAsia" w:ascii="宋体" w:hAnsi="宋体" w:cs="宋体"/>
          <w:szCs w:val="21"/>
        </w:rPr>
        <w:t>要建立安全风险分级管控工作制度，制定工作方案，明确安全风险分级管控原则和责任主体，分别落实领导层、管理层、员工层的风险管控职责和风险管控清单，分类别、分专业明确公司、部门、车间、班组、岗位的安全风险管理措施。风险分级管控应遵循风险等级越高管控层级越高的原则，对于操作难度大、技术含量高、风险等级高、可能导致严重后果的作业活动、设备设施、场所应进行重点管控。上一级负责管控的风险，下一级必须同时负责管控，并逐级落实具体措施。</w:t>
      </w:r>
    </w:p>
    <w:p>
      <w:pPr>
        <w:pStyle w:val="2"/>
        <w:spacing w:before="156" w:beforeLines="50" w:after="156" w:afterLines="50" w:line="240" w:lineRule="auto"/>
        <w:rPr>
          <w:rFonts w:ascii="宋体" w:hAnsi="宋体" w:cs="宋体"/>
          <w:kern w:val="2"/>
          <w:sz w:val="21"/>
          <w:szCs w:val="21"/>
        </w:rPr>
      </w:pPr>
      <w:bookmarkStart w:id="53" w:name="_Toc13473776"/>
      <w:r>
        <w:rPr>
          <w:rFonts w:hint="eastAsia" w:ascii="宋体" w:hAnsi="宋体" w:cs="宋体"/>
          <w:kern w:val="2"/>
          <w:sz w:val="21"/>
          <w:szCs w:val="21"/>
        </w:rPr>
        <w:t>6.8.2 风险管控措施类别</w:t>
      </w:r>
      <w:bookmarkEnd w:id="53"/>
    </w:p>
    <w:p>
      <w:pPr>
        <w:ind w:firstLine="424" w:firstLineChars="202"/>
        <w:rPr>
          <w:rFonts w:ascii="宋体" w:hAnsi="宋体" w:cs="宋体"/>
          <w:szCs w:val="21"/>
        </w:rPr>
      </w:pPr>
      <w:r>
        <w:rPr>
          <w:rFonts w:hint="eastAsia" w:ascii="宋体" w:hAnsi="宋体" w:cs="宋体"/>
          <w:szCs w:val="21"/>
        </w:rPr>
        <w:t>a)工程技术措施；</w:t>
      </w:r>
    </w:p>
    <w:p>
      <w:pPr>
        <w:ind w:firstLine="424" w:firstLineChars="202"/>
        <w:rPr>
          <w:rFonts w:ascii="宋体" w:hAnsi="宋体" w:cs="宋体"/>
          <w:szCs w:val="21"/>
        </w:rPr>
      </w:pPr>
      <w:r>
        <w:rPr>
          <w:rFonts w:hint="eastAsia" w:ascii="宋体" w:hAnsi="宋体" w:cs="宋体"/>
          <w:szCs w:val="21"/>
        </w:rPr>
        <w:t>b)管理措施；</w:t>
      </w:r>
    </w:p>
    <w:p>
      <w:pPr>
        <w:ind w:firstLine="424" w:firstLineChars="202"/>
        <w:rPr>
          <w:rFonts w:ascii="宋体" w:hAnsi="宋体" w:cs="宋体"/>
          <w:szCs w:val="21"/>
        </w:rPr>
      </w:pPr>
      <w:r>
        <w:rPr>
          <w:rFonts w:hint="eastAsia" w:ascii="宋体" w:hAnsi="宋体" w:cs="宋体"/>
          <w:szCs w:val="21"/>
        </w:rPr>
        <w:t>c)培训教育措施；</w:t>
      </w:r>
    </w:p>
    <w:p>
      <w:pPr>
        <w:ind w:firstLine="424" w:firstLineChars="202"/>
        <w:rPr>
          <w:rFonts w:ascii="宋体" w:hAnsi="宋体" w:cs="宋体"/>
          <w:szCs w:val="21"/>
        </w:rPr>
      </w:pPr>
      <w:r>
        <w:rPr>
          <w:rFonts w:hint="eastAsia" w:ascii="宋体" w:hAnsi="宋体" w:cs="宋体"/>
          <w:szCs w:val="21"/>
        </w:rPr>
        <w:t>d)个体防护措施；</w:t>
      </w:r>
    </w:p>
    <w:p>
      <w:pPr>
        <w:ind w:firstLine="424" w:firstLineChars="202"/>
        <w:rPr>
          <w:rFonts w:ascii="宋体" w:hAnsi="宋体" w:cs="宋体"/>
          <w:szCs w:val="21"/>
        </w:rPr>
      </w:pPr>
      <w:r>
        <w:rPr>
          <w:rFonts w:hint="eastAsia" w:ascii="宋体" w:hAnsi="宋体" w:cs="宋体"/>
          <w:szCs w:val="21"/>
        </w:rPr>
        <w:t>e)应急处置措施。</w:t>
      </w:r>
    </w:p>
    <w:p>
      <w:pPr>
        <w:pStyle w:val="2"/>
        <w:spacing w:before="156" w:beforeLines="50" w:after="156" w:afterLines="50" w:line="240" w:lineRule="auto"/>
        <w:rPr>
          <w:rFonts w:ascii="宋体" w:hAnsi="宋体" w:cs="宋体"/>
          <w:kern w:val="2"/>
          <w:sz w:val="21"/>
          <w:szCs w:val="21"/>
        </w:rPr>
      </w:pPr>
      <w:bookmarkStart w:id="54" w:name="_Toc13473777"/>
      <w:r>
        <w:rPr>
          <w:rFonts w:hint="eastAsia" w:ascii="宋体" w:hAnsi="宋体" w:cs="宋体"/>
          <w:kern w:val="2"/>
          <w:sz w:val="21"/>
          <w:szCs w:val="21"/>
        </w:rPr>
        <w:t>6.8.3 管控措施制定原则及评审</w:t>
      </w:r>
      <w:bookmarkEnd w:id="54"/>
    </w:p>
    <w:p>
      <w:pPr>
        <w:ind w:firstLine="424" w:firstLineChars="202"/>
        <w:rPr>
          <w:rFonts w:ascii="宋体" w:hAnsi="宋体" w:cs="宋体"/>
          <w:szCs w:val="21"/>
        </w:rPr>
      </w:pPr>
      <w:r>
        <w:rPr>
          <w:rFonts w:hint="eastAsia" w:ascii="宋体" w:hAnsi="宋体" w:cs="宋体"/>
          <w:szCs w:val="21"/>
        </w:rPr>
        <w:t>本公司在选择风险管控措施时应充分考虑可行性、安全性、可靠性，以及重点突出人的因素。风险控制措施在实施前应针对以下内容进行充分论证：</w:t>
      </w:r>
    </w:p>
    <w:p>
      <w:pPr>
        <w:numPr>
          <w:ilvl w:val="0"/>
          <w:numId w:val="1"/>
        </w:numPr>
        <w:ind w:firstLine="424" w:firstLineChars="202"/>
        <w:rPr>
          <w:rFonts w:ascii="宋体" w:hAnsi="宋体" w:cs="宋体"/>
          <w:szCs w:val="21"/>
        </w:rPr>
      </w:pPr>
      <w:r>
        <w:rPr>
          <w:rFonts w:hint="eastAsia" w:ascii="宋体" w:hAnsi="宋体" w:cs="宋体"/>
          <w:szCs w:val="21"/>
        </w:rPr>
        <w:t>措施的有效性和可靠性；</w:t>
      </w:r>
    </w:p>
    <w:p>
      <w:pPr>
        <w:numPr>
          <w:ilvl w:val="0"/>
          <w:numId w:val="1"/>
        </w:numPr>
        <w:ind w:firstLine="424" w:firstLineChars="202"/>
        <w:rPr>
          <w:rFonts w:ascii="宋体" w:hAnsi="宋体" w:cs="宋体"/>
          <w:szCs w:val="21"/>
        </w:rPr>
      </w:pPr>
      <w:r>
        <w:rPr>
          <w:rFonts w:hint="eastAsia" w:ascii="宋体" w:hAnsi="宋体" w:cs="宋体"/>
          <w:szCs w:val="21"/>
        </w:rPr>
        <w:t>是否使风险降低至可接受水平；</w:t>
      </w:r>
    </w:p>
    <w:p>
      <w:pPr>
        <w:numPr>
          <w:ilvl w:val="0"/>
          <w:numId w:val="1"/>
        </w:numPr>
        <w:ind w:firstLine="424" w:firstLineChars="202"/>
        <w:rPr>
          <w:rFonts w:ascii="宋体" w:hAnsi="宋体" w:cs="宋体"/>
          <w:szCs w:val="21"/>
        </w:rPr>
      </w:pPr>
      <w:r>
        <w:rPr>
          <w:rFonts w:hint="eastAsia" w:ascii="宋体" w:hAnsi="宋体" w:cs="宋体"/>
          <w:szCs w:val="21"/>
        </w:rPr>
        <w:t>是否会产生新的危险源或危险有害因素；</w:t>
      </w:r>
    </w:p>
    <w:p>
      <w:pPr>
        <w:numPr>
          <w:ilvl w:val="0"/>
          <w:numId w:val="1"/>
        </w:numPr>
        <w:ind w:firstLine="424" w:firstLineChars="202"/>
        <w:rPr>
          <w:rFonts w:ascii="宋体" w:hAnsi="宋体" w:cs="宋体"/>
          <w:szCs w:val="21"/>
        </w:rPr>
      </w:pPr>
      <w:r>
        <w:rPr>
          <w:rFonts w:hint="eastAsia" w:ascii="宋体" w:hAnsi="宋体" w:cs="宋体"/>
          <w:szCs w:val="21"/>
        </w:rPr>
        <w:t>是否已选定最佳的解决方案。</w:t>
      </w:r>
    </w:p>
    <w:p>
      <w:pPr>
        <w:pStyle w:val="2"/>
        <w:spacing w:before="156" w:beforeLines="50" w:after="156" w:afterLines="50" w:line="240" w:lineRule="auto"/>
        <w:rPr>
          <w:rFonts w:ascii="宋体" w:hAnsi="宋体" w:cs="宋体"/>
          <w:kern w:val="2"/>
          <w:sz w:val="21"/>
          <w:szCs w:val="21"/>
        </w:rPr>
      </w:pPr>
      <w:bookmarkStart w:id="55" w:name="_Toc13473778"/>
      <w:r>
        <w:rPr>
          <w:rFonts w:hint="eastAsia" w:ascii="宋体" w:hAnsi="宋体" w:cs="宋体"/>
          <w:kern w:val="2"/>
          <w:sz w:val="21"/>
          <w:szCs w:val="21"/>
        </w:rPr>
        <w:t>6.8.4 风险告知</w:t>
      </w:r>
      <w:bookmarkEnd w:id="55"/>
    </w:p>
    <w:p>
      <w:pPr>
        <w:ind w:firstLine="424" w:firstLineChars="202"/>
        <w:rPr>
          <w:rFonts w:ascii="宋体" w:hAnsi="宋体" w:cs="宋体"/>
          <w:szCs w:val="21"/>
        </w:rPr>
      </w:pPr>
      <w:r>
        <w:rPr>
          <w:rFonts w:hint="eastAsia" w:ascii="宋体" w:hAnsi="宋体" w:cs="宋体"/>
          <w:szCs w:val="21"/>
        </w:rPr>
        <w:t>本公司应在醒目位置和重点区域设置重大风险公告栏，制作岗位安全风险告知卡，标明主要安全风险、可能引发事故隐患类别、事故后果、管控措施、应急措施及报告方式等内容。同时，本公司应以岗位安全风险及防控措施、应急处置方法为重点，强化风险教育和技能培训。</w:t>
      </w:r>
    </w:p>
    <w:p>
      <w:pPr>
        <w:pStyle w:val="2"/>
        <w:spacing w:before="156" w:beforeLines="50" w:after="156" w:afterLines="50" w:line="240" w:lineRule="auto"/>
        <w:rPr>
          <w:rFonts w:ascii="宋体" w:hAnsi="宋体" w:cs="宋体"/>
          <w:kern w:val="2"/>
          <w:sz w:val="21"/>
          <w:szCs w:val="21"/>
        </w:rPr>
      </w:pPr>
      <w:bookmarkStart w:id="56" w:name="_Toc13473779"/>
      <w:r>
        <w:rPr>
          <w:rFonts w:hint="eastAsia" w:ascii="宋体" w:hAnsi="宋体" w:cs="宋体"/>
          <w:kern w:val="2"/>
          <w:sz w:val="21"/>
          <w:szCs w:val="21"/>
        </w:rPr>
        <w:t>6.8.5 重大风险管控措施</w:t>
      </w:r>
      <w:bookmarkEnd w:id="56"/>
    </w:p>
    <w:p>
      <w:pPr>
        <w:ind w:firstLine="420"/>
        <w:rPr>
          <w:rFonts w:ascii="宋体" w:hAnsi="宋体" w:cs="宋体"/>
          <w:szCs w:val="21"/>
        </w:rPr>
      </w:pPr>
      <w:r>
        <w:rPr>
          <w:rFonts w:hint="eastAsia" w:ascii="宋体" w:hAnsi="宋体" w:cs="宋体"/>
          <w:szCs w:val="21"/>
        </w:rPr>
        <w:t>本公司应对重大风险重点管控，制定有效的管理控制措施。通过工程技术措施和（或）技术改造才能控制的风险，应制定控制该类风险的具体方案，落实防控经费。属于经常性或周期性工作中的重大风险，不需要采取工程技术措施的，可以采取制(修)订文件（程序或作业文件）来有效控制风险。本公司可根据自身条件和实际需要，建立重大风险监测预警系统，开展重大风险分级预警和事故应急响应，做到风险预警准确，事故应急响应及时。</w:t>
      </w:r>
    </w:p>
    <w:p>
      <w:pPr>
        <w:pStyle w:val="2"/>
        <w:spacing w:before="156" w:beforeLines="50" w:after="156" w:afterLines="50" w:line="240" w:lineRule="auto"/>
        <w:rPr>
          <w:rFonts w:ascii="宋体" w:hAnsi="宋体" w:cs="宋体"/>
          <w:kern w:val="2"/>
          <w:sz w:val="21"/>
          <w:szCs w:val="21"/>
        </w:rPr>
      </w:pPr>
      <w:bookmarkStart w:id="57" w:name="_Toc13473780"/>
      <w:bookmarkStart w:id="58" w:name="_Toc477888849"/>
      <w:bookmarkStart w:id="59" w:name="_Toc13473581"/>
      <w:r>
        <w:rPr>
          <w:rFonts w:hint="eastAsia" w:ascii="宋体" w:hAnsi="宋体" w:cs="宋体"/>
          <w:kern w:val="2"/>
          <w:sz w:val="21"/>
          <w:szCs w:val="21"/>
        </w:rPr>
        <w:t>6.9绘制本公司安全风险图</w:t>
      </w:r>
      <w:bookmarkEnd w:id="57"/>
      <w:bookmarkEnd w:id="58"/>
      <w:bookmarkEnd w:id="59"/>
    </w:p>
    <w:p>
      <w:pPr>
        <w:ind w:firstLine="424" w:firstLineChars="202"/>
        <w:rPr>
          <w:rFonts w:ascii="宋体" w:hAnsi="宋体" w:cs="宋体"/>
          <w:szCs w:val="21"/>
        </w:rPr>
      </w:pPr>
      <w:r>
        <w:rPr>
          <w:rFonts w:hint="eastAsia" w:ascii="宋体" w:hAnsi="宋体" w:cs="宋体"/>
          <w:szCs w:val="21"/>
        </w:rPr>
        <w:t>本公司在确定安全风险清单，制定安全风险管控措施之后，应建立安全风险数据库。至少绘制两张本公司安全风险图。</w:t>
      </w:r>
    </w:p>
    <w:p>
      <w:pPr>
        <w:pStyle w:val="2"/>
        <w:spacing w:before="156" w:beforeLines="50" w:after="156" w:afterLines="50" w:line="240" w:lineRule="auto"/>
        <w:rPr>
          <w:rFonts w:ascii="宋体" w:hAnsi="宋体" w:cs="宋体"/>
          <w:kern w:val="2"/>
          <w:sz w:val="21"/>
          <w:szCs w:val="21"/>
        </w:rPr>
      </w:pPr>
      <w:bookmarkStart w:id="60" w:name="_Toc13473781"/>
      <w:r>
        <w:rPr>
          <w:rFonts w:hint="eastAsia" w:ascii="宋体" w:hAnsi="宋体" w:cs="宋体"/>
          <w:kern w:val="2"/>
          <w:sz w:val="21"/>
          <w:szCs w:val="21"/>
        </w:rPr>
        <w:t>6.9.1安全风险四色分布图</w:t>
      </w:r>
      <w:bookmarkEnd w:id="60"/>
    </w:p>
    <w:p>
      <w:pPr>
        <w:ind w:firstLine="424" w:firstLineChars="202"/>
        <w:rPr>
          <w:rFonts w:ascii="宋体" w:hAnsi="宋体" w:cs="宋体"/>
          <w:szCs w:val="21"/>
        </w:rPr>
      </w:pPr>
      <w:r>
        <w:rPr>
          <w:rFonts w:hint="eastAsia" w:ascii="宋体" w:hAnsi="宋体" w:cs="宋体"/>
          <w:szCs w:val="21"/>
        </w:rPr>
        <w:t>本公司应使用红、橙、黄、蓝四种颜色，将生产设施、作业场所等区域存在的不同等级风险，标示在总平面布置图或地理坐标图中。</w:t>
      </w:r>
    </w:p>
    <w:p>
      <w:pPr>
        <w:pStyle w:val="2"/>
        <w:spacing w:before="156" w:beforeLines="50" w:after="156" w:afterLines="50" w:line="240" w:lineRule="auto"/>
        <w:rPr>
          <w:rFonts w:ascii="宋体" w:hAnsi="宋体" w:cs="宋体"/>
          <w:kern w:val="2"/>
          <w:sz w:val="21"/>
          <w:szCs w:val="21"/>
        </w:rPr>
      </w:pPr>
      <w:bookmarkStart w:id="61" w:name="_Toc13473782"/>
      <w:r>
        <w:rPr>
          <w:rFonts w:hint="eastAsia" w:ascii="宋体" w:hAnsi="宋体" w:cs="宋体"/>
          <w:kern w:val="2"/>
          <w:sz w:val="21"/>
          <w:szCs w:val="21"/>
        </w:rPr>
        <w:t>6.9.2作业安全风险比较图</w:t>
      </w:r>
      <w:bookmarkEnd w:id="61"/>
    </w:p>
    <w:p>
      <w:pPr>
        <w:ind w:firstLine="424" w:firstLineChars="202"/>
        <w:rPr>
          <w:rFonts w:ascii="宋体" w:hAnsi="宋体" w:cs="宋体"/>
          <w:szCs w:val="21"/>
        </w:rPr>
      </w:pPr>
      <w:r>
        <w:rPr>
          <w:rFonts w:hint="eastAsia" w:ascii="宋体" w:hAnsi="宋体" w:cs="宋体"/>
          <w:szCs w:val="21"/>
        </w:rPr>
        <w:t>部分作业活动、生产工序、关键任务，例如动火作业、受限空间作业、危化品运输等，由于其风险等级难以在平面布置图、地理坐标图中标示，应利用统计分析的方法，采取柱状图、曲线图或饼状图等，将不同作业的风险按照从高到低的顺序标示出来，实现对重点环节的重点管控。</w:t>
      </w:r>
    </w:p>
    <w:p>
      <w:pPr>
        <w:pStyle w:val="3"/>
        <w:spacing w:before="120" w:after="120" w:line="240" w:lineRule="auto"/>
        <w:rPr>
          <w:rFonts w:ascii="宋体" w:hAnsi="宋体" w:cs="宋体"/>
          <w:sz w:val="21"/>
          <w:szCs w:val="21"/>
        </w:rPr>
      </w:pPr>
      <w:bookmarkStart w:id="62" w:name="_Toc13473582"/>
      <w:bookmarkStart w:id="63" w:name="_Toc13473783"/>
      <w:bookmarkStart w:id="64" w:name="_Toc477888850"/>
      <w:bookmarkStart w:id="65" w:name="_Toc477268992"/>
      <w:r>
        <w:rPr>
          <w:rFonts w:hint="eastAsia" w:ascii="宋体" w:hAnsi="宋体" w:cs="宋体"/>
          <w:sz w:val="21"/>
          <w:szCs w:val="21"/>
        </w:rPr>
        <w:t>6.10 形成风险分级管控运行机制</w:t>
      </w:r>
      <w:bookmarkEnd w:id="62"/>
      <w:bookmarkEnd w:id="63"/>
    </w:p>
    <w:p>
      <w:pPr>
        <w:pStyle w:val="2"/>
        <w:spacing w:before="156" w:beforeLines="50" w:after="156" w:afterLines="50" w:line="240" w:lineRule="auto"/>
        <w:rPr>
          <w:rFonts w:ascii="宋体" w:hAnsi="宋体" w:cs="宋体"/>
          <w:kern w:val="2"/>
          <w:sz w:val="21"/>
          <w:szCs w:val="21"/>
        </w:rPr>
      </w:pPr>
      <w:bookmarkStart w:id="66" w:name="_Toc13473784"/>
      <w:r>
        <w:rPr>
          <w:rFonts w:hint="eastAsia" w:ascii="宋体" w:hAnsi="宋体" w:cs="宋体"/>
          <w:kern w:val="2"/>
          <w:sz w:val="21"/>
          <w:szCs w:val="21"/>
        </w:rPr>
        <w:t>6.10.1 运行效果评价</w:t>
      </w:r>
      <w:bookmarkEnd w:id="66"/>
    </w:p>
    <w:p>
      <w:pPr>
        <w:pStyle w:val="17"/>
        <w:rPr>
          <w:rFonts w:hAnsi="宋体" w:cs="宋体"/>
          <w:szCs w:val="21"/>
        </w:rPr>
      </w:pPr>
      <w:r>
        <w:rPr>
          <w:rFonts w:hint="eastAsia" w:hAnsi="宋体" w:cs="宋体"/>
          <w:szCs w:val="21"/>
        </w:rPr>
        <w:t>通过风险分级管控体系建设，本公司应至少在以下方面有所改进：</w:t>
      </w:r>
    </w:p>
    <w:p>
      <w:pPr>
        <w:pStyle w:val="19"/>
        <w:tabs>
          <w:tab w:val="clear" w:pos="720"/>
        </w:tabs>
        <w:ind w:left="0"/>
        <w:rPr>
          <w:rFonts w:hAnsi="宋体" w:cs="宋体"/>
          <w:szCs w:val="21"/>
        </w:rPr>
      </w:pPr>
      <w:r>
        <w:rPr>
          <w:rFonts w:hint="eastAsia" w:hAnsi="宋体" w:cs="宋体"/>
          <w:szCs w:val="21"/>
        </w:rPr>
        <w:t xml:space="preserve">    a)每一轮风险辨识和评价后，应使原有管控措施得到改进，或者通过增加新的管控措施提高安全可靠性；</w:t>
      </w:r>
    </w:p>
    <w:p>
      <w:pPr>
        <w:pStyle w:val="19"/>
        <w:tabs>
          <w:tab w:val="clear" w:pos="720"/>
        </w:tabs>
        <w:ind w:left="0"/>
        <w:rPr>
          <w:rFonts w:hAnsi="宋体" w:cs="宋体"/>
          <w:szCs w:val="21"/>
        </w:rPr>
      </w:pPr>
      <w:r>
        <w:rPr>
          <w:rFonts w:hint="eastAsia" w:hAnsi="宋体" w:cs="宋体"/>
          <w:szCs w:val="21"/>
        </w:rPr>
        <w:t xml:space="preserve">    b)完善重大风险场所、部位的警示标识；</w:t>
      </w:r>
    </w:p>
    <w:p>
      <w:pPr>
        <w:pStyle w:val="19"/>
        <w:tabs>
          <w:tab w:val="clear" w:pos="720"/>
        </w:tabs>
        <w:ind w:left="0"/>
        <w:rPr>
          <w:rFonts w:hAnsi="宋体" w:cs="宋体"/>
          <w:szCs w:val="21"/>
        </w:rPr>
      </w:pPr>
      <w:r>
        <w:rPr>
          <w:rFonts w:hint="eastAsia" w:hAnsi="宋体" w:cs="宋体"/>
          <w:szCs w:val="21"/>
        </w:rPr>
        <w:t xml:space="preserve">    c)涉及重大风险部位的作业、属于重大风险的作业建立了专人监护制度；</w:t>
      </w:r>
    </w:p>
    <w:p>
      <w:pPr>
        <w:pStyle w:val="19"/>
        <w:tabs>
          <w:tab w:val="clear" w:pos="720"/>
        </w:tabs>
        <w:ind w:left="0"/>
        <w:rPr>
          <w:rFonts w:hAnsi="宋体" w:cs="宋体"/>
          <w:szCs w:val="21"/>
        </w:rPr>
      </w:pPr>
      <w:r>
        <w:rPr>
          <w:rFonts w:hint="eastAsia" w:hAnsi="宋体" w:cs="宋体"/>
          <w:szCs w:val="21"/>
        </w:rPr>
        <w:t xml:space="preserve">     d)员工对所从事岗位的风险有更充分的认识，安全技能和应急处置能力进一步提高；</w:t>
      </w:r>
    </w:p>
    <w:p>
      <w:pPr>
        <w:pStyle w:val="19"/>
        <w:tabs>
          <w:tab w:val="clear" w:pos="720"/>
        </w:tabs>
        <w:ind w:left="0"/>
        <w:rPr>
          <w:rFonts w:hAnsi="宋体" w:cs="宋体"/>
          <w:szCs w:val="21"/>
        </w:rPr>
      </w:pPr>
      <w:r>
        <w:rPr>
          <w:rFonts w:hint="eastAsia" w:hAnsi="宋体" w:cs="宋体"/>
          <w:szCs w:val="21"/>
        </w:rPr>
        <w:t xml:space="preserve">     e)保证风险控制措施持续有效的制度得到改进和完善，风险管控能力得到加强；</w:t>
      </w:r>
    </w:p>
    <w:p>
      <w:pPr>
        <w:pStyle w:val="19"/>
        <w:tabs>
          <w:tab w:val="clear" w:pos="720"/>
        </w:tabs>
        <w:ind w:left="0"/>
        <w:rPr>
          <w:rFonts w:hAnsi="宋体" w:cs="宋体"/>
          <w:szCs w:val="21"/>
        </w:rPr>
      </w:pPr>
      <w:r>
        <w:rPr>
          <w:rFonts w:hint="eastAsia" w:hAnsi="宋体" w:cs="宋体"/>
          <w:szCs w:val="21"/>
        </w:rPr>
        <w:t xml:space="preserve">     f)根据改进的风险控制措施，完善隐患排查项目清单，使隐患排查工作更有针对性。</w:t>
      </w:r>
      <w:r>
        <w:rPr>
          <w:rFonts w:hint="eastAsia" w:hAnsi="宋体" w:cs="宋体"/>
          <w:b/>
          <w:bCs/>
          <w:szCs w:val="21"/>
        </w:rPr>
        <w:t>6.10.2 闭</w:t>
      </w:r>
      <w:r>
        <w:rPr>
          <w:rFonts w:hint="eastAsia" w:hAnsi="宋体" w:cs="宋体"/>
          <w:b/>
          <w:bCs/>
          <w:kern w:val="2"/>
          <w:szCs w:val="21"/>
        </w:rPr>
        <w:t>环管理机制</w:t>
      </w:r>
    </w:p>
    <w:p>
      <w:pPr>
        <w:rPr>
          <w:rFonts w:ascii="宋体" w:hAnsi="宋体" w:cs="宋体"/>
          <w:szCs w:val="21"/>
        </w:rPr>
      </w:pPr>
      <w:r>
        <w:rPr>
          <w:rFonts w:hint="eastAsia" w:ascii="宋体" w:hAnsi="宋体" w:cs="宋体"/>
          <w:szCs w:val="21"/>
        </w:rPr>
        <w:t xml:space="preserve">    对本本公司风险防控措施运行效果进行评价，现有控制措施不能使风险控制在可接受范围内时，应通过强化安全风险辨识和分级管控，从源头上避免和消除事故隐患，进而降低事故发生的可能性；另一方面，通过强化隐患排查，分析其规律特点，相应查找风险辨识的遗漏与缺失，查找风险管控措施的薄弱环节，进而完善风险分级管控制度。</w:t>
      </w:r>
    </w:p>
    <w:p>
      <w:pPr>
        <w:pStyle w:val="3"/>
        <w:spacing w:before="120" w:after="120" w:line="240" w:lineRule="auto"/>
        <w:rPr>
          <w:rFonts w:ascii="宋体" w:hAnsi="宋体" w:cs="宋体"/>
          <w:sz w:val="21"/>
          <w:szCs w:val="21"/>
        </w:rPr>
      </w:pPr>
      <w:bookmarkStart w:id="67" w:name="_Toc13473583"/>
      <w:bookmarkStart w:id="68" w:name="_Toc13473785"/>
      <w:r>
        <w:rPr>
          <w:rFonts w:hint="eastAsia" w:ascii="宋体" w:hAnsi="宋体" w:cs="宋体"/>
          <w:sz w:val="21"/>
          <w:szCs w:val="21"/>
        </w:rPr>
        <w:t>6.11 隐患排查治理</w:t>
      </w:r>
      <w:bookmarkEnd w:id="64"/>
      <w:bookmarkEnd w:id="65"/>
      <w:bookmarkEnd w:id="67"/>
      <w:bookmarkEnd w:id="68"/>
    </w:p>
    <w:p>
      <w:pPr>
        <w:pStyle w:val="2"/>
        <w:spacing w:before="156" w:beforeLines="50" w:after="156" w:afterLines="50" w:line="240" w:lineRule="auto"/>
        <w:rPr>
          <w:rFonts w:ascii="宋体" w:hAnsi="宋体" w:cs="宋体"/>
          <w:kern w:val="2"/>
          <w:sz w:val="21"/>
          <w:szCs w:val="21"/>
        </w:rPr>
      </w:pPr>
      <w:bookmarkStart w:id="69" w:name="_Toc13473786"/>
      <w:bookmarkStart w:id="70" w:name="_Toc477888851"/>
      <w:r>
        <w:rPr>
          <w:rFonts w:hint="eastAsia" w:ascii="宋体" w:hAnsi="宋体" w:cs="宋体"/>
          <w:kern w:val="2"/>
          <w:sz w:val="21"/>
          <w:szCs w:val="21"/>
        </w:rPr>
        <w:t>6.11.1建立完善隐患排查治理制度</w:t>
      </w:r>
      <w:bookmarkEnd w:id="69"/>
    </w:p>
    <w:p>
      <w:pPr>
        <w:rPr>
          <w:rFonts w:ascii="宋体" w:hAnsi="宋体" w:cs="宋体"/>
          <w:szCs w:val="21"/>
        </w:rPr>
      </w:pPr>
      <w:r>
        <w:rPr>
          <w:rFonts w:hint="eastAsia" w:ascii="宋体" w:hAnsi="宋体" w:cs="宋体"/>
          <w:szCs w:val="21"/>
        </w:rPr>
        <w:t xml:space="preserve">    本公司应建立完善隐患排查治理制度，逐渐建立并落实从主要负责人到每位从业人员的隐患排查治理和防控责任制。并按照有关规定组织开展隐患排查治理工作，及时发现并消除隐患，实行隐患闭环管理。</w:t>
      </w:r>
    </w:p>
    <w:p>
      <w:pPr>
        <w:pStyle w:val="2"/>
        <w:spacing w:before="156" w:beforeLines="50" w:after="156" w:afterLines="50" w:line="240" w:lineRule="auto"/>
        <w:rPr>
          <w:rFonts w:ascii="宋体" w:hAnsi="宋体" w:cs="宋体"/>
          <w:kern w:val="2"/>
          <w:sz w:val="21"/>
          <w:szCs w:val="21"/>
        </w:rPr>
      </w:pPr>
      <w:bookmarkStart w:id="71" w:name="_Toc13473787"/>
      <w:r>
        <w:rPr>
          <w:rFonts w:hint="eastAsia" w:ascii="宋体" w:hAnsi="宋体" w:cs="宋体"/>
          <w:kern w:val="2"/>
          <w:sz w:val="21"/>
          <w:szCs w:val="21"/>
        </w:rPr>
        <w:t>6.11.2隐患排查</w:t>
      </w:r>
      <w:bookmarkEnd w:id="71"/>
    </w:p>
    <w:p>
      <w:pPr>
        <w:ind w:firstLine="424" w:firstLineChars="202"/>
        <w:rPr>
          <w:rFonts w:ascii="宋体" w:hAnsi="宋体" w:cs="宋体"/>
          <w:szCs w:val="21"/>
        </w:rPr>
      </w:pPr>
      <w:r>
        <w:rPr>
          <w:rFonts w:hint="eastAsia" w:ascii="宋体" w:hAnsi="宋体" w:cs="宋体"/>
          <w:szCs w:val="21"/>
        </w:rPr>
        <w:t>本公司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本公司应按照有关规定，结合安全生产的需要和特点，采用综合检查、专业检查、季节性检查、节假日检查、日常检查等不同方式进行隐患排查。对排查出的隐患，按照隐患的等级进行记录，建立隐患信息档案，并按照职责分工实施监控治理。组织有关人员对本本公司可能存在的重大隐患作出认定，并按照有关规定进行管理。本公司应将相关方排查出的隐患统一纳入本本公司隐患管理。</w:t>
      </w:r>
    </w:p>
    <w:p>
      <w:pPr>
        <w:pStyle w:val="2"/>
        <w:spacing w:before="156" w:beforeLines="50" w:after="156" w:afterLines="50" w:line="240" w:lineRule="auto"/>
        <w:rPr>
          <w:rFonts w:ascii="宋体" w:hAnsi="宋体" w:cs="宋体"/>
          <w:kern w:val="2"/>
          <w:sz w:val="21"/>
          <w:szCs w:val="21"/>
        </w:rPr>
      </w:pPr>
      <w:bookmarkStart w:id="72" w:name="_Toc13473788"/>
      <w:r>
        <w:rPr>
          <w:rFonts w:hint="eastAsia" w:ascii="宋体" w:hAnsi="宋体" w:cs="宋体"/>
          <w:kern w:val="2"/>
          <w:sz w:val="21"/>
          <w:szCs w:val="21"/>
        </w:rPr>
        <w:t>6.11.3 隐患治理</w:t>
      </w:r>
      <w:bookmarkEnd w:id="72"/>
    </w:p>
    <w:p>
      <w:pPr>
        <w:ind w:firstLine="424" w:firstLineChars="202"/>
        <w:rPr>
          <w:rFonts w:ascii="宋体" w:hAnsi="宋体" w:cs="宋体"/>
          <w:szCs w:val="21"/>
        </w:rPr>
      </w:pPr>
      <w:r>
        <w:rPr>
          <w:rFonts w:hint="eastAsia" w:ascii="宋体" w:hAnsi="宋体" w:cs="宋体"/>
          <w:szCs w:val="21"/>
        </w:rPr>
        <w:t>本公司应根据隐患排查的结果，制定隐患治理方案，对隐患及时进行治理。本公司应按照责任分工立即或限期组织整改一般隐患。主要负责人应组织制定并实施重大隐患治理方案。治理方案应包括目标和任务、方法和措施、经费和物资、机构和人员、时限和要求、应急预案。本公司在隐患治理过程中，应采取相应的监控防范措施。隐患排除前或排除过程中无法保证安全的，应从危险区域内撤出作业人员，疏散可能危及的人员，设置警戒标志，暂时停产停业或停止使用相关设备、设施。</w:t>
      </w:r>
    </w:p>
    <w:p>
      <w:pPr>
        <w:pStyle w:val="2"/>
        <w:spacing w:before="156" w:beforeLines="50" w:after="156" w:afterLines="50" w:line="240" w:lineRule="auto"/>
        <w:rPr>
          <w:rFonts w:ascii="宋体" w:hAnsi="宋体" w:cs="宋体"/>
          <w:kern w:val="2"/>
          <w:sz w:val="21"/>
          <w:szCs w:val="21"/>
        </w:rPr>
      </w:pPr>
      <w:bookmarkStart w:id="73" w:name="_Toc13473789"/>
      <w:r>
        <w:rPr>
          <w:rFonts w:hint="eastAsia" w:ascii="宋体" w:hAnsi="宋体" w:cs="宋体"/>
          <w:kern w:val="2"/>
          <w:sz w:val="21"/>
          <w:szCs w:val="21"/>
        </w:rPr>
        <w:t>6.11.4 评估验收</w:t>
      </w:r>
      <w:bookmarkEnd w:id="73"/>
    </w:p>
    <w:p>
      <w:pPr>
        <w:rPr>
          <w:rFonts w:ascii="宋体" w:hAnsi="宋体" w:cs="宋体"/>
          <w:szCs w:val="21"/>
        </w:rPr>
      </w:pPr>
      <w:r>
        <w:rPr>
          <w:rFonts w:hint="eastAsia" w:ascii="宋体" w:hAnsi="宋体" w:cs="宋体"/>
          <w:szCs w:val="21"/>
        </w:rPr>
        <w:t xml:space="preserve">    隐患治理完成后，本公司应按照有关规定对治理情况进行评估、验收。重大隐患治理完成后，本公司应组织本本公司的安全管理人员和有关技术人员进行验收或委托依法设立的为安全生产提供技术、管理服务的机构进行评估。</w:t>
      </w:r>
    </w:p>
    <w:p>
      <w:pPr>
        <w:pStyle w:val="2"/>
        <w:spacing w:before="156" w:beforeLines="50" w:after="156" w:afterLines="50" w:line="240" w:lineRule="auto"/>
        <w:rPr>
          <w:rFonts w:ascii="宋体" w:hAnsi="宋体" w:cs="宋体"/>
          <w:kern w:val="2"/>
          <w:sz w:val="21"/>
          <w:szCs w:val="21"/>
        </w:rPr>
      </w:pPr>
      <w:bookmarkStart w:id="74" w:name="_Toc13473790"/>
      <w:r>
        <w:rPr>
          <w:rFonts w:hint="eastAsia" w:ascii="宋体" w:hAnsi="宋体" w:cs="宋体"/>
          <w:kern w:val="2"/>
          <w:sz w:val="21"/>
          <w:szCs w:val="21"/>
        </w:rPr>
        <w:t>6.11.5信息记录、通报和报送</w:t>
      </w:r>
      <w:bookmarkEnd w:id="74"/>
    </w:p>
    <w:p>
      <w:pPr>
        <w:ind w:firstLine="424" w:firstLineChars="202"/>
        <w:rPr>
          <w:rFonts w:ascii="宋体" w:hAnsi="宋体" w:cs="宋体"/>
          <w:szCs w:val="21"/>
        </w:rPr>
      </w:pPr>
      <w:r>
        <w:rPr>
          <w:rFonts w:hint="eastAsia" w:ascii="宋体" w:hAnsi="宋体" w:cs="宋体"/>
          <w:szCs w:val="21"/>
        </w:rPr>
        <w:t>本公司应如实记录隐患排査治理情況，至少每月进行统计分析，及时将隐患排査治理情况向从业人员通报。本公司应运用隐患自查、自改、自报信息系统，通过信息系统对隐患排査、报告、治理、销账等过程进行电子化管理和统计分析，并按照当地安全监管部门和有关部门的要求，定期或实时报送隐患排查治理情况。</w:t>
      </w:r>
    </w:p>
    <w:bookmarkEnd w:id="70"/>
    <w:p>
      <w:pPr>
        <w:pStyle w:val="2"/>
        <w:spacing w:before="156" w:beforeLines="50" w:after="156" w:afterLines="50" w:line="240" w:lineRule="auto"/>
        <w:rPr>
          <w:rFonts w:ascii="宋体" w:hAnsi="宋体" w:cs="宋体"/>
          <w:kern w:val="2"/>
          <w:sz w:val="21"/>
          <w:szCs w:val="21"/>
        </w:rPr>
      </w:pPr>
      <w:bookmarkStart w:id="75" w:name="_Toc477268996"/>
      <w:bookmarkStart w:id="76" w:name="_Toc477888854"/>
      <w:bookmarkStart w:id="77" w:name="_Toc13473791"/>
      <w:bookmarkStart w:id="78" w:name="_Toc13473584"/>
      <w:r>
        <w:rPr>
          <w:rFonts w:hint="eastAsia" w:ascii="宋体" w:hAnsi="宋体" w:cs="宋体"/>
          <w:kern w:val="2"/>
          <w:sz w:val="21"/>
          <w:szCs w:val="21"/>
        </w:rPr>
        <w:t>6.12 双重预防机制</w:t>
      </w:r>
      <w:bookmarkEnd w:id="75"/>
      <w:bookmarkEnd w:id="76"/>
      <w:r>
        <w:rPr>
          <w:rFonts w:hint="eastAsia" w:ascii="宋体" w:hAnsi="宋体" w:cs="宋体"/>
          <w:kern w:val="2"/>
          <w:sz w:val="21"/>
          <w:szCs w:val="21"/>
        </w:rPr>
        <w:t>运行评估</w:t>
      </w:r>
      <w:bookmarkEnd w:id="77"/>
      <w:bookmarkEnd w:id="78"/>
    </w:p>
    <w:p>
      <w:pPr>
        <w:ind w:firstLine="420"/>
        <w:rPr>
          <w:rFonts w:ascii="宋体" w:hAnsi="宋体" w:cs="宋体"/>
          <w:szCs w:val="21"/>
        </w:rPr>
      </w:pPr>
      <w:r>
        <w:rPr>
          <w:rFonts w:hint="eastAsia" w:ascii="宋体" w:hAnsi="宋体" w:cs="宋体"/>
          <w:szCs w:val="21"/>
        </w:rPr>
        <w:t>组织外部技术专家、本公司内部技术人员和一线员工，至少每年对本公司双重预防机制运行情况进行评估，及时修正发现问题和偏差，确保双重预防机制不断完善，持续保持有效运行。重点评估以下方面内容：</w:t>
      </w:r>
    </w:p>
    <w:p>
      <w:pPr>
        <w:numPr>
          <w:ilvl w:val="0"/>
          <w:numId w:val="2"/>
        </w:numPr>
        <w:ind w:firstLine="420"/>
        <w:rPr>
          <w:rFonts w:ascii="宋体" w:hAnsi="宋体" w:cs="宋体"/>
          <w:szCs w:val="21"/>
        </w:rPr>
      </w:pPr>
      <w:r>
        <w:rPr>
          <w:rFonts w:hint="eastAsia" w:ascii="宋体" w:hAnsi="宋体" w:cs="宋体"/>
          <w:szCs w:val="21"/>
        </w:rPr>
        <w:t>是否按计划有效开展；</w:t>
      </w:r>
    </w:p>
    <w:p>
      <w:pPr>
        <w:numPr>
          <w:ilvl w:val="0"/>
          <w:numId w:val="2"/>
        </w:numPr>
        <w:ind w:firstLine="420"/>
        <w:rPr>
          <w:rFonts w:ascii="宋体" w:hAnsi="宋体" w:cs="宋体"/>
          <w:szCs w:val="21"/>
        </w:rPr>
      </w:pPr>
      <w:r>
        <w:rPr>
          <w:rFonts w:hint="eastAsia" w:ascii="宋体" w:hAnsi="宋体" w:cs="宋体"/>
          <w:szCs w:val="21"/>
        </w:rPr>
        <w:t>是否符合本本公司实际情况；</w:t>
      </w:r>
    </w:p>
    <w:p>
      <w:pPr>
        <w:numPr>
          <w:ilvl w:val="0"/>
          <w:numId w:val="2"/>
        </w:numPr>
        <w:ind w:firstLine="420"/>
        <w:rPr>
          <w:rFonts w:ascii="宋体" w:hAnsi="宋体" w:cs="宋体"/>
          <w:szCs w:val="21"/>
        </w:rPr>
      </w:pPr>
      <w:r>
        <w:rPr>
          <w:rFonts w:hint="eastAsia" w:ascii="宋体" w:hAnsi="宋体" w:cs="宋体"/>
          <w:szCs w:val="21"/>
        </w:rPr>
        <w:t>是否取得实际效果；</w:t>
      </w:r>
    </w:p>
    <w:p>
      <w:pPr>
        <w:numPr>
          <w:ilvl w:val="0"/>
          <w:numId w:val="2"/>
        </w:numPr>
        <w:ind w:firstLine="420"/>
        <w:rPr>
          <w:rFonts w:ascii="宋体" w:hAnsi="宋体" w:cs="宋体"/>
          <w:szCs w:val="21"/>
        </w:rPr>
      </w:pPr>
      <w:r>
        <w:rPr>
          <w:rFonts w:hint="eastAsia" w:ascii="宋体" w:hAnsi="宋体" w:cs="宋体"/>
          <w:szCs w:val="21"/>
        </w:rPr>
        <w:t>体系文件是否健全完善等。</w:t>
      </w:r>
    </w:p>
    <w:p>
      <w:pPr>
        <w:pStyle w:val="2"/>
        <w:spacing w:before="156" w:beforeLines="50" w:after="156" w:afterLines="50" w:line="240" w:lineRule="auto"/>
        <w:rPr>
          <w:rFonts w:ascii="宋体" w:hAnsi="宋体" w:cs="宋体"/>
          <w:kern w:val="2"/>
          <w:sz w:val="21"/>
          <w:szCs w:val="21"/>
        </w:rPr>
      </w:pPr>
      <w:bookmarkStart w:id="79" w:name="_Toc13473792"/>
      <w:r>
        <w:rPr>
          <w:rFonts w:hint="eastAsia" w:ascii="宋体" w:hAnsi="宋体" w:cs="宋体"/>
          <w:kern w:val="2"/>
          <w:sz w:val="21"/>
          <w:szCs w:val="21"/>
        </w:rPr>
        <w:t>6.13 持续改进</w:t>
      </w:r>
      <w:bookmarkEnd w:id="79"/>
    </w:p>
    <w:p>
      <w:pPr>
        <w:pStyle w:val="2"/>
        <w:spacing w:before="156" w:beforeLines="50" w:after="156" w:afterLines="50" w:line="240" w:lineRule="auto"/>
        <w:rPr>
          <w:rFonts w:ascii="宋体" w:hAnsi="宋体" w:cs="宋体"/>
          <w:kern w:val="2"/>
          <w:sz w:val="21"/>
          <w:szCs w:val="21"/>
        </w:rPr>
      </w:pPr>
      <w:bookmarkStart w:id="80" w:name="_Toc13473793"/>
      <w:r>
        <w:rPr>
          <w:rFonts w:hint="eastAsia" w:ascii="宋体" w:hAnsi="宋体" w:cs="宋体"/>
          <w:kern w:val="2"/>
          <w:sz w:val="21"/>
          <w:szCs w:val="21"/>
        </w:rPr>
        <w:t>6.13.1 定期更新</w:t>
      </w:r>
      <w:bookmarkEnd w:id="80"/>
    </w:p>
    <w:p>
      <w:pPr>
        <w:rPr>
          <w:rFonts w:ascii="宋体" w:hAnsi="宋体" w:cs="宋体"/>
          <w:szCs w:val="21"/>
        </w:rPr>
      </w:pPr>
      <w:r>
        <w:rPr>
          <w:rFonts w:hint="eastAsia" w:ascii="宋体" w:hAnsi="宋体" w:cs="宋体"/>
          <w:szCs w:val="21"/>
        </w:rPr>
        <w:t xml:space="preserve">    本公司应根据实际情况，每三年至少进行一次全面的危险源辨识和风险评价工作，以有效管控风险。除此之外，当出现以下情况时，应当重新开展风险评估：</w:t>
      </w:r>
    </w:p>
    <w:p>
      <w:pPr>
        <w:ind w:firstLine="424" w:firstLineChars="202"/>
        <w:rPr>
          <w:rFonts w:ascii="宋体" w:hAnsi="宋体" w:cs="宋体"/>
          <w:szCs w:val="21"/>
        </w:rPr>
      </w:pPr>
      <w:r>
        <w:rPr>
          <w:rFonts w:hint="eastAsia" w:ascii="宋体" w:hAnsi="宋体" w:cs="宋体"/>
          <w:szCs w:val="21"/>
        </w:rPr>
        <w:t>a)法规、标准等增减、修订变化所引起风险程度的改变；</w:t>
      </w:r>
    </w:p>
    <w:p>
      <w:pPr>
        <w:ind w:firstLine="424" w:firstLineChars="202"/>
        <w:rPr>
          <w:rFonts w:ascii="宋体" w:hAnsi="宋体" w:cs="宋体"/>
          <w:szCs w:val="21"/>
        </w:rPr>
      </w:pPr>
      <w:r>
        <w:rPr>
          <w:rFonts w:hint="eastAsia" w:ascii="宋体" w:hAnsi="宋体" w:cs="宋体"/>
          <w:szCs w:val="21"/>
        </w:rPr>
        <w:t>b)本公司生产工艺流程和关键设备设施发生变更；</w:t>
      </w:r>
    </w:p>
    <w:p>
      <w:pPr>
        <w:ind w:firstLine="424" w:firstLineChars="202"/>
        <w:rPr>
          <w:rFonts w:ascii="宋体" w:hAnsi="宋体" w:cs="宋体"/>
          <w:szCs w:val="21"/>
        </w:rPr>
      </w:pPr>
      <w:r>
        <w:rPr>
          <w:rFonts w:hint="eastAsia" w:ascii="宋体" w:hAnsi="宋体" w:cs="宋体"/>
          <w:szCs w:val="21"/>
        </w:rPr>
        <w:t>c)本公司组织机构发生重大调整；</w:t>
      </w:r>
    </w:p>
    <w:p>
      <w:pPr>
        <w:ind w:firstLine="424" w:firstLineChars="202"/>
        <w:rPr>
          <w:rFonts w:ascii="宋体" w:hAnsi="宋体" w:cs="宋体"/>
          <w:szCs w:val="21"/>
        </w:rPr>
      </w:pPr>
      <w:r>
        <w:rPr>
          <w:rFonts w:hint="eastAsia" w:ascii="宋体" w:hAnsi="宋体" w:cs="宋体"/>
          <w:szCs w:val="21"/>
        </w:rPr>
        <w:t>d)本公司发生伤亡事故；</w:t>
      </w:r>
    </w:p>
    <w:p>
      <w:pPr>
        <w:ind w:firstLine="424" w:firstLineChars="202"/>
        <w:rPr>
          <w:rFonts w:ascii="宋体" w:hAnsi="宋体" w:cs="宋体"/>
          <w:szCs w:val="21"/>
        </w:rPr>
      </w:pPr>
      <w:r>
        <w:rPr>
          <w:rFonts w:hint="eastAsia" w:ascii="宋体" w:hAnsi="宋体" w:cs="宋体"/>
          <w:szCs w:val="21"/>
        </w:rPr>
        <w:t>e)当危险源辨识与评价</w:t>
      </w:r>
    </w:p>
    <w:p>
      <w:pPr>
        <w:ind w:firstLine="424" w:firstLineChars="202"/>
        <w:rPr>
          <w:rFonts w:ascii="宋体" w:hAnsi="宋体" w:cs="宋体"/>
          <w:szCs w:val="21"/>
        </w:rPr>
      </w:pPr>
      <w:r>
        <w:rPr>
          <w:rFonts w:hint="eastAsia" w:ascii="宋体" w:hAnsi="宋体" w:cs="宋体"/>
          <w:szCs w:val="21"/>
        </w:rPr>
        <w:t>f)知识或方法有所进步认为有必要时。</w:t>
      </w:r>
    </w:p>
    <w:p>
      <w:pPr>
        <w:ind w:firstLine="424" w:firstLineChars="202"/>
        <w:rPr>
          <w:rFonts w:ascii="宋体" w:hAnsi="宋体" w:cs="宋体"/>
          <w:szCs w:val="21"/>
        </w:rPr>
      </w:pPr>
      <w:r>
        <w:rPr>
          <w:rFonts w:hint="eastAsia" w:ascii="宋体" w:hAnsi="宋体" w:cs="宋体"/>
          <w:szCs w:val="21"/>
        </w:rPr>
        <w:t>本公司应根据风险再评估结论，每三年至少更新一次风险清单、事故隐患清单、安全风险图。</w:t>
      </w:r>
    </w:p>
    <w:p>
      <w:pPr>
        <w:pStyle w:val="2"/>
        <w:spacing w:before="156" w:beforeLines="50" w:after="156" w:afterLines="50" w:line="240" w:lineRule="auto"/>
        <w:rPr>
          <w:rFonts w:ascii="宋体" w:hAnsi="宋体" w:cs="宋体"/>
          <w:kern w:val="2"/>
          <w:sz w:val="21"/>
          <w:szCs w:val="21"/>
        </w:rPr>
      </w:pPr>
      <w:r>
        <w:rPr>
          <w:rFonts w:hint="eastAsia" w:ascii="宋体" w:hAnsi="宋体" w:cs="宋体"/>
          <w:kern w:val="2"/>
          <w:sz w:val="21"/>
          <w:szCs w:val="21"/>
        </w:rPr>
        <w:t xml:space="preserve">  </w:t>
      </w:r>
      <w:bookmarkStart w:id="81" w:name="_Toc13473794"/>
      <w:r>
        <w:rPr>
          <w:rFonts w:hint="eastAsia" w:ascii="宋体" w:hAnsi="宋体" w:cs="宋体"/>
          <w:kern w:val="2"/>
          <w:sz w:val="21"/>
          <w:szCs w:val="21"/>
        </w:rPr>
        <w:t>6.13.2 体系间的融合</w:t>
      </w:r>
      <w:bookmarkEnd w:id="81"/>
    </w:p>
    <w:p>
      <w:pPr>
        <w:ind w:firstLine="424" w:firstLineChars="202"/>
        <w:rPr>
          <w:rFonts w:ascii="宋体" w:hAnsi="宋体" w:cs="宋体"/>
          <w:szCs w:val="21"/>
        </w:rPr>
      </w:pPr>
      <w:r>
        <w:rPr>
          <w:rFonts w:hint="eastAsia" w:ascii="宋体" w:hAnsi="宋体" w:cs="宋体"/>
          <w:szCs w:val="21"/>
        </w:rPr>
        <w:t>引导本公司将安全生产标准化创建工作与安全风险辨识、评估、管控，以及隐患排查治理工作有机结合起来，在安全生产标准化体系的创建、运行过程中开展安全风险辨识、评估、管控和隐患排查治理。督促本公司强化安全生产标准化创建和年度自评，根据人员、设备、环境和管理等因素变化，持续进行风险辨识、评估、管控与更新完善，持续开展隐患排查治理，实现双重预防机制的持续改进。已经开展安全生产标准化创建的本公司应按照《本公司安全生产标准化基本规范》（GB/T 33000-2016）要求，补充双重预防机制建设内容；未开展安全生产标准化创建的本公司应按照基本规范要求，结合本手册，全面开展安全生产标准化创建及双重预防机制建设。</w:t>
      </w:r>
    </w:p>
    <w:p>
      <w:pPr>
        <w:pStyle w:val="2"/>
        <w:spacing w:before="156" w:beforeLines="50" w:after="156" w:afterLines="50" w:line="240" w:lineRule="auto"/>
        <w:rPr>
          <w:rFonts w:ascii="宋体" w:hAnsi="宋体" w:cs="宋体"/>
          <w:kern w:val="2"/>
          <w:sz w:val="21"/>
          <w:szCs w:val="21"/>
        </w:rPr>
      </w:pPr>
      <w:bookmarkStart w:id="82" w:name="_Toc13473795"/>
      <w:r>
        <w:rPr>
          <w:rFonts w:hint="eastAsia" w:ascii="宋体" w:hAnsi="宋体" w:cs="宋体"/>
          <w:kern w:val="2"/>
          <w:sz w:val="21"/>
          <w:szCs w:val="21"/>
        </w:rPr>
        <w:t>7.责任要求</w:t>
      </w:r>
      <w:bookmarkEnd w:id="82"/>
    </w:p>
    <w:p>
      <w:pPr>
        <w:pStyle w:val="10"/>
        <w:widowControl/>
        <w:ind w:firstLine="420" w:firstLineChars="200"/>
        <w:rPr>
          <w:rFonts w:ascii="宋体" w:hAnsi="宋体" w:eastAsia="宋体" w:cs="宋体"/>
          <w:kern w:val="2"/>
          <w:sz w:val="21"/>
          <w:szCs w:val="21"/>
        </w:rPr>
      </w:pPr>
      <w:r>
        <w:rPr>
          <w:rFonts w:hint="eastAsia" w:ascii="宋体" w:hAnsi="宋体" w:eastAsia="宋体" w:cs="宋体"/>
          <w:kern w:val="2"/>
          <w:sz w:val="21"/>
          <w:szCs w:val="21"/>
        </w:rPr>
        <w:t>本公司是双重预防机制建设的主体，应主动开展双重预防机制建设工作。积极发挥行业组织、保险机构在本公司双重预防机制建设中的作用，将保险费率与本公司安全风险管控状况、</w:t>
      </w:r>
      <w:r>
        <w:fldChar w:fldCharType="begin"/>
      </w:r>
      <w:r>
        <w:instrText xml:space="preserve"> HYPERLINK "http://www.baidu.com/s?wd=%E5%AE%89%E5%85%A8%E7%94%9F%E4%BA%A7%E6%A0%87%E5%87%86%E5%8C%96&amp;tn=44039180_cpr&amp;fenlei=mv6quAkxTZn0IZRqIHckPjm4nH00T1Y3rAFBPAnLm1u-myD3PyRL0ZwV5Hcvrjm3rH6sPfKWUMw85HfYnjn4nH6sgvPsT6KdThsqpZwYTjCEQLGCpyw9Uz4Bmy-bIi4WUvYETgN-TLwGUv3EP1f3rHmsnWTsnH04njbsPjDz" \t "https://zhidao.baidu.com/question/_blank" </w:instrText>
      </w:r>
      <w:r>
        <w:fldChar w:fldCharType="separate"/>
      </w:r>
      <w:r>
        <w:rPr>
          <w:rFonts w:hint="eastAsia" w:ascii="宋体" w:hAnsi="宋体" w:eastAsia="宋体" w:cs="宋体"/>
          <w:kern w:val="2"/>
          <w:sz w:val="21"/>
          <w:szCs w:val="21"/>
        </w:rPr>
        <w:t>安全生产标准化</w:t>
      </w:r>
      <w:r>
        <w:rPr>
          <w:rFonts w:hint="eastAsia" w:ascii="宋体" w:hAnsi="宋体" w:eastAsia="宋体" w:cs="宋体"/>
          <w:kern w:val="2"/>
          <w:sz w:val="21"/>
          <w:szCs w:val="21"/>
        </w:rPr>
        <w:fldChar w:fldCharType="end"/>
      </w:r>
      <w:r>
        <w:rPr>
          <w:rFonts w:hint="eastAsia" w:ascii="宋体" w:hAnsi="宋体" w:eastAsia="宋体" w:cs="宋体"/>
          <w:kern w:val="2"/>
          <w:sz w:val="21"/>
          <w:szCs w:val="21"/>
        </w:rPr>
        <w:t>等级挂钩，并加强本公司安全生产诚信制度建设和部门联合惩戒，充分发挥市场机制作用，促进本公司主动开展双重预防机制建设。</w:t>
      </w:r>
    </w:p>
    <w:p>
      <w:pPr>
        <w:pStyle w:val="10"/>
        <w:widowControl/>
        <w:ind w:firstLine="420" w:firstLineChars="200"/>
        <w:rPr>
          <w:rFonts w:ascii="宋体" w:hAnsi="宋体" w:eastAsia="宋体" w:cs="宋体"/>
          <w:sz w:val="28"/>
          <w:szCs w:val="28"/>
        </w:rPr>
      </w:pPr>
      <w:r>
        <w:rPr>
          <w:rFonts w:hint="eastAsia" w:ascii="宋体" w:hAnsi="宋体" w:eastAsia="宋体" w:cs="宋体"/>
          <w:kern w:val="2"/>
          <w:sz w:val="21"/>
          <w:szCs w:val="21"/>
        </w:rPr>
        <w:t>各级负有安全监管职责的部门承担监督检查职责，积极协调和组织专家力量，开展培训宣贯，帮助和指导本公司开展双重预防机制建设。</w:t>
      </w:r>
    </w:p>
    <w:sectPr>
      <w:headerReference r:id="rId3" w:type="default"/>
      <w:pgSz w:w="11906" w:h="16838"/>
      <w:pgMar w:top="1440" w:right="128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2FE79C"/>
    <w:multiLevelType w:val="singleLevel"/>
    <w:tmpl w:val="592FE79C"/>
    <w:lvl w:ilvl="0" w:tentative="0">
      <w:start w:val="1"/>
      <w:numFmt w:val="lowerLetter"/>
      <w:suff w:val="nothing"/>
      <w:lvlText w:val="%1)"/>
      <w:lvlJc w:val="left"/>
    </w:lvl>
  </w:abstractNum>
  <w:abstractNum w:abstractNumId="1">
    <w:nsid w:val="59310E02"/>
    <w:multiLevelType w:val="singleLevel"/>
    <w:tmpl w:val="59310E02"/>
    <w:lvl w:ilvl="0" w:tentative="0">
      <w:start w:val="1"/>
      <w:numFmt w:val="low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0B19"/>
    <w:rsid w:val="000F1F23"/>
    <w:rsid w:val="001A74DE"/>
    <w:rsid w:val="00255649"/>
    <w:rsid w:val="00275C02"/>
    <w:rsid w:val="00440B19"/>
    <w:rsid w:val="004C4B23"/>
    <w:rsid w:val="00686B83"/>
    <w:rsid w:val="00713BDA"/>
    <w:rsid w:val="009E4DE8"/>
    <w:rsid w:val="00B0287B"/>
    <w:rsid w:val="00BC1A83"/>
    <w:rsid w:val="00BF47C4"/>
    <w:rsid w:val="00C00E80"/>
    <w:rsid w:val="00D57F1D"/>
    <w:rsid w:val="00DF1FD1"/>
    <w:rsid w:val="00F178EC"/>
    <w:rsid w:val="00FC79AE"/>
    <w:rsid w:val="023C6FCE"/>
    <w:rsid w:val="05D71C32"/>
    <w:rsid w:val="07641B77"/>
    <w:rsid w:val="0E3C4102"/>
    <w:rsid w:val="0E3E1A47"/>
    <w:rsid w:val="119167A4"/>
    <w:rsid w:val="12AC113A"/>
    <w:rsid w:val="14684B7E"/>
    <w:rsid w:val="17890DD1"/>
    <w:rsid w:val="186C3424"/>
    <w:rsid w:val="1AA17887"/>
    <w:rsid w:val="1EB63D81"/>
    <w:rsid w:val="219D5C4C"/>
    <w:rsid w:val="23CC0200"/>
    <w:rsid w:val="255223C3"/>
    <w:rsid w:val="26A02CEF"/>
    <w:rsid w:val="2B686AB0"/>
    <w:rsid w:val="32402096"/>
    <w:rsid w:val="39B21E32"/>
    <w:rsid w:val="3A5D0822"/>
    <w:rsid w:val="3ACC2F2C"/>
    <w:rsid w:val="41164977"/>
    <w:rsid w:val="447A39CF"/>
    <w:rsid w:val="447F0DB3"/>
    <w:rsid w:val="461A4680"/>
    <w:rsid w:val="462B3291"/>
    <w:rsid w:val="46CD6E95"/>
    <w:rsid w:val="48266D45"/>
    <w:rsid w:val="49117813"/>
    <w:rsid w:val="4B5E6A5F"/>
    <w:rsid w:val="53D272ED"/>
    <w:rsid w:val="58602A74"/>
    <w:rsid w:val="59895181"/>
    <w:rsid w:val="5A531B84"/>
    <w:rsid w:val="5B82248B"/>
    <w:rsid w:val="5E3D7EB3"/>
    <w:rsid w:val="69CE7D56"/>
    <w:rsid w:val="6A5706B0"/>
    <w:rsid w:val="7A164E71"/>
    <w:rsid w:val="7C1B7F93"/>
    <w:rsid w:val="7EEF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0"/>
    <w:pPr>
      <w:keepNext/>
      <w:keepLines/>
      <w:spacing w:before="260" w:after="260" w:line="416" w:lineRule="auto"/>
      <w:outlineLvl w:val="1"/>
    </w:pPr>
    <w:rPr>
      <w:rFonts w:ascii="Calibri Light" w:hAnsi="Calibri Light"/>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jc w:val="center"/>
    </w:pPr>
    <w:rPr>
      <w:rFonts w:ascii="Cambria" w:hAnsi="Cambria" w:eastAsia="黑体"/>
    </w:rPr>
  </w:style>
  <w:style w:type="paragraph" w:styleId="5">
    <w:name w:val="Balloon Text"/>
    <w:basedOn w:val="1"/>
    <w:link w:val="20"/>
    <w:unhideWhenUsed/>
    <w:qFormat/>
    <w:uiPriority w:val="99"/>
    <w:rPr>
      <w:sz w:val="18"/>
      <w:szCs w:val="18"/>
    </w:rPr>
  </w:style>
  <w:style w:type="paragraph" w:styleId="6">
    <w:name w:val="footer"/>
    <w:basedOn w:val="1"/>
    <w:link w:val="22"/>
    <w:unhideWhenUsed/>
    <w:qFormat/>
    <w:uiPriority w:val="99"/>
    <w:pPr>
      <w:tabs>
        <w:tab w:val="center" w:pos="4153"/>
        <w:tab w:val="right" w:pos="8306"/>
      </w:tabs>
      <w:snapToGrid w:val="0"/>
      <w:jc w:val="left"/>
    </w:pPr>
    <w:rPr>
      <w:sz w:val="18"/>
      <w:szCs w:val="18"/>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paragraph" w:styleId="10">
    <w:name w:val="HTML Preformatted"/>
    <w:basedOn w:val="1"/>
    <w:link w:val="1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PingFang SC" w:hAnsi="PingFang SC" w:eastAsia="PingFang SC"/>
      <w:kern w:val="0"/>
      <w:sz w:val="24"/>
      <w:szCs w:val="24"/>
    </w:rPr>
  </w:style>
  <w:style w:type="character" w:styleId="13">
    <w:name w:val="Hyperlink"/>
    <w:basedOn w:val="12"/>
    <w:unhideWhenUsed/>
    <w:qFormat/>
    <w:uiPriority w:val="99"/>
    <w:rPr>
      <w:color w:val="0000FF" w:themeColor="hyperlink"/>
      <w:u w:val="single"/>
    </w:rPr>
  </w:style>
  <w:style w:type="character" w:customStyle="1" w:styleId="14">
    <w:name w:val="标题 1 字符"/>
    <w:basedOn w:val="12"/>
    <w:link w:val="2"/>
    <w:qFormat/>
    <w:uiPriority w:val="0"/>
    <w:rPr>
      <w:rFonts w:ascii="Calibri" w:hAnsi="Calibri" w:eastAsia="宋体" w:cs="Times New Roman"/>
      <w:b/>
      <w:bCs/>
      <w:kern w:val="44"/>
      <w:sz w:val="44"/>
      <w:szCs w:val="44"/>
    </w:rPr>
  </w:style>
  <w:style w:type="character" w:customStyle="1" w:styleId="15">
    <w:name w:val="标题 2 字符"/>
    <w:basedOn w:val="12"/>
    <w:link w:val="3"/>
    <w:qFormat/>
    <w:uiPriority w:val="0"/>
    <w:rPr>
      <w:rFonts w:ascii="Calibri Light" w:hAnsi="Calibri Light" w:eastAsia="宋体" w:cs="Times New Roman"/>
      <w:b/>
      <w:bCs/>
      <w:sz w:val="32"/>
      <w:szCs w:val="32"/>
    </w:rPr>
  </w:style>
  <w:style w:type="character" w:customStyle="1" w:styleId="16">
    <w:name w:val="HTML 预设格式 字符"/>
    <w:basedOn w:val="12"/>
    <w:link w:val="10"/>
    <w:qFormat/>
    <w:uiPriority w:val="0"/>
    <w:rPr>
      <w:rFonts w:ascii="PingFang SC" w:hAnsi="PingFang SC" w:eastAsia="PingFang SC" w:cs="Times New Roman"/>
      <w:kern w:val="0"/>
      <w:sz w:val="24"/>
      <w:szCs w:val="24"/>
    </w:rPr>
  </w:style>
  <w:style w:type="paragraph" w:customStyle="1" w:styleId="17">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18">
    <w:name w:val="本件正文"/>
    <w:basedOn w:val="17"/>
    <w:qFormat/>
    <w:uiPriority w:val="0"/>
  </w:style>
  <w:style w:type="paragraph" w:customStyle="1" w:styleId="19">
    <w:name w:val="列项——（一级）"/>
    <w:qFormat/>
    <w:uiPriority w:val="0"/>
    <w:pPr>
      <w:widowControl w:val="0"/>
      <w:tabs>
        <w:tab w:val="left" w:pos="720"/>
      </w:tabs>
      <w:ind w:left="720"/>
      <w:jc w:val="both"/>
    </w:pPr>
    <w:rPr>
      <w:rFonts w:ascii="宋体" w:hAnsi="Times New Roman" w:eastAsia="宋体" w:cs="Times New Roman"/>
      <w:sz w:val="21"/>
      <w:szCs w:val="22"/>
      <w:lang w:val="en-US" w:eastAsia="zh-CN" w:bidi="ar-SA"/>
    </w:rPr>
  </w:style>
  <w:style w:type="character" w:customStyle="1" w:styleId="20">
    <w:name w:val="批注框文本 字符"/>
    <w:basedOn w:val="12"/>
    <w:link w:val="5"/>
    <w:semiHidden/>
    <w:qFormat/>
    <w:uiPriority w:val="99"/>
    <w:rPr>
      <w:rFonts w:ascii="Calibri" w:hAnsi="Calibri" w:eastAsia="宋体" w:cs="Times New Roman"/>
      <w:sz w:val="18"/>
      <w:szCs w:val="18"/>
    </w:rPr>
  </w:style>
  <w:style w:type="character" w:customStyle="1" w:styleId="21">
    <w:name w:val="页眉 字符"/>
    <w:basedOn w:val="12"/>
    <w:link w:val="7"/>
    <w:semiHidden/>
    <w:qFormat/>
    <w:uiPriority w:val="99"/>
    <w:rPr>
      <w:rFonts w:ascii="Calibri" w:hAnsi="Calibri" w:eastAsia="宋体" w:cs="Times New Roman"/>
      <w:sz w:val="18"/>
      <w:szCs w:val="18"/>
    </w:rPr>
  </w:style>
  <w:style w:type="character" w:customStyle="1" w:styleId="22">
    <w:name w:val="页脚 字符"/>
    <w:basedOn w:val="12"/>
    <w:link w:val="6"/>
    <w:semiHidden/>
    <w:qFormat/>
    <w:uiPriority w:val="99"/>
    <w:rPr>
      <w:rFonts w:ascii="Calibri" w:hAnsi="Calibri" w:eastAsia="宋体" w:cs="Times New Roman"/>
      <w:sz w:val="18"/>
      <w:szCs w:val="18"/>
    </w:r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9E48A-2C74-4D2D-B12A-3A1E8398F4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2349</Words>
  <Characters>13395</Characters>
  <Lines>111</Lines>
  <Paragraphs>31</Paragraphs>
  <TotalTime>43</TotalTime>
  <ScaleCrop>false</ScaleCrop>
  <LinksUpToDate>false</LinksUpToDate>
  <CharactersWithSpaces>15713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2017-08-11T09:06:00Z</dcterms:created>
  <dc:creator>孟娜</dc:creator>
  <cp:lastModifiedBy>A呀土豆baby</cp:lastModifiedBy>
  <cp:lastPrinted>2019-07-08T02:22:00Z</cp:lastPrinted>
  <dcterms:modified xsi:type="dcterms:W3CDTF">2021-12-24T13:08:55Z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E89CAD15608148A2A84AB6C91E2E10DD</vt:lpwstr>
  </property>
</Properties>
</file>