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00B0F0"/>
  <w:body>
    <w:p>
      <w:pPr>
        <w:rPr>
          <w:rFonts w:hint="eastAsia" w:ascii="Times New Roman" w:hAnsi="Times New Roman" w:eastAsia="华文中宋" w:cs="Times New Roman"/>
          <w:b/>
          <w:bCs/>
          <w:color w:val="000000"/>
          <w:sz w:val="32"/>
          <w:szCs w:val="44"/>
        </w:rPr>
      </w:pPr>
    </w:p>
    <w:p>
      <w:pPr>
        <w:rPr>
          <w:rFonts w:ascii="Times New Roman" w:hAnsi="Times New Roman" w:eastAsia="华文中宋" w:cs="Times New Roman"/>
          <w:b/>
          <w:bCs/>
          <w:color w:val="000000"/>
          <w:sz w:val="32"/>
          <w:szCs w:val="44"/>
        </w:rPr>
      </w:pPr>
    </w:p>
    <w:p>
      <w:pPr>
        <w:rPr>
          <w:rFonts w:ascii="Times New Roman" w:hAnsi="Times New Roman" w:eastAsia="华文中宋" w:cs="Times New Roman"/>
          <w:b/>
          <w:bCs/>
          <w:color w:val="000000"/>
          <w:sz w:val="32"/>
          <w:szCs w:val="44"/>
        </w:rPr>
      </w:pPr>
    </w:p>
    <w:p>
      <w:pPr>
        <w:pStyle w:val="2"/>
        <w:widowControl/>
        <w:spacing w:beforeAutospacing="0" w:afterAutospacing="0"/>
        <w:jc w:val="center"/>
        <w:rPr>
          <w:rFonts w:hint="default" w:ascii="Times New Roman" w:hAnsi="Times New Roman" w:eastAsia="华文中宋"/>
          <w:bCs/>
          <w:color w:val="000000"/>
          <w:sz w:val="44"/>
          <w:szCs w:val="44"/>
        </w:rPr>
      </w:pPr>
      <w:bookmarkStart w:id="0" w:name="_Toc11921447"/>
      <w:r>
        <w:rPr>
          <w:rFonts w:hint="default" w:ascii="Times New Roman" w:hAnsi="Times New Roman" w:eastAsia="华文中宋"/>
          <w:bCs/>
          <w:color w:val="000000"/>
          <w:sz w:val="44"/>
          <w:szCs w:val="44"/>
        </w:rPr>
        <w:t>风险分级管控及隐患排查管理体系建设</w:t>
      </w:r>
      <w:bookmarkEnd w:id="0"/>
    </w:p>
    <w:p>
      <w:pPr>
        <w:rPr>
          <w:rFonts w:ascii="Times New Roman" w:hAnsi="Times New Roman" w:eastAsia="华文中宋" w:cs="Times New Roman"/>
          <w:b/>
          <w:bCs/>
          <w:color w:val="000000"/>
          <w:sz w:val="44"/>
          <w:szCs w:val="44"/>
        </w:rPr>
      </w:pPr>
    </w:p>
    <w:p>
      <w:pPr>
        <w:pStyle w:val="2"/>
        <w:widowControl/>
        <w:spacing w:beforeAutospacing="0" w:afterAutospacing="0"/>
        <w:jc w:val="center"/>
        <w:rPr>
          <w:rFonts w:hint="default" w:ascii="Times New Roman" w:hAnsi="Times New Roman" w:eastAsia="华文中宋"/>
          <w:bCs/>
          <w:color w:val="000000"/>
          <w:sz w:val="44"/>
          <w:szCs w:val="44"/>
        </w:rPr>
      </w:pPr>
      <w:bookmarkStart w:id="1" w:name="_Toc11921448"/>
      <w:bookmarkStart w:id="2" w:name="_Toc11921154"/>
      <w:r>
        <w:rPr>
          <w:rFonts w:hint="default" w:ascii="Times New Roman" w:hAnsi="Times New Roman" w:eastAsia="华文中宋"/>
          <w:bCs/>
          <w:color w:val="000000"/>
          <w:sz w:val="44"/>
          <w:szCs w:val="44"/>
        </w:rPr>
        <w:t>作业指导书</w:t>
      </w:r>
      <w:bookmarkEnd w:id="1"/>
      <w:bookmarkEnd w:id="2"/>
    </w:p>
    <w:p>
      <w:pPr>
        <w:rPr>
          <w:rFonts w:ascii="Times New Roman" w:hAnsi="Times New Roman" w:eastAsia="华文中宋" w:cs="Times New Roman"/>
          <w:b/>
          <w:bCs/>
          <w:color w:val="000000"/>
          <w:sz w:val="44"/>
          <w:szCs w:val="44"/>
        </w:rPr>
      </w:pPr>
    </w:p>
    <w:p>
      <w:pPr>
        <w:rPr>
          <w:rFonts w:ascii="Times New Roman" w:hAnsi="Times New Roman" w:eastAsia="华文中宋" w:cs="Times New Roman"/>
          <w:b/>
          <w:bCs/>
          <w:color w:val="000000"/>
          <w:sz w:val="44"/>
          <w:szCs w:val="44"/>
        </w:rPr>
      </w:pPr>
    </w:p>
    <w:p>
      <w:pPr>
        <w:rPr>
          <w:rFonts w:ascii="Times New Roman" w:hAnsi="Times New Roman" w:eastAsia="华文中宋" w:cs="Times New Roman"/>
          <w:b/>
          <w:bCs/>
          <w:color w:val="000000"/>
          <w:sz w:val="44"/>
          <w:szCs w:val="44"/>
        </w:rPr>
      </w:pPr>
    </w:p>
    <w:p>
      <w:pPr>
        <w:rPr>
          <w:rFonts w:ascii="Times New Roman" w:hAnsi="Times New Roman" w:eastAsia="华文中宋" w:cs="Times New Roman"/>
          <w:b/>
          <w:bCs/>
          <w:color w:val="000000"/>
          <w:sz w:val="44"/>
          <w:szCs w:val="44"/>
        </w:rPr>
      </w:pPr>
    </w:p>
    <w:p>
      <w:pPr>
        <w:rPr>
          <w:rFonts w:ascii="Times New Roman" w:hAnsi="Times New Roman" w:eastAsia="华文中宋" w:cs="Times New Roman"/>
          <w:b/>
          <w:bCs/>
          <w:color w:val="000000"/>
          <w:sz w:val="44"/>
          <w:szCs w:val="44"/>
        </w:rPr>
      </w:pPr>
    </w:p>
    <w:p>
      <w:pPr>
        <w:rPr>
          <w:rFonts w:ascii="Times New Roman" w:hAnsi="Times New Roman" w:eastAsia="华文中宋" w:cs="Times New Roman"/>
          <w:b/>
          <w:bCs/>
          <w:color w:val="000000"/>
          <w:sz w:val="44"/>
          <w:szCs w:val="44"/>
        </w:rPr>
      </w:pPr>
    </w:p>
    <w:p>
      <w:pPr>
        <w:rPr>
          <w:rFonts w:ascii="Times New Roman" w:hAnsi="Times New Roman" w:eastAsia="华文中宋" w:cs="Times New Roman"/>
          <w:b/>
          <w:bCs/>
          <w:color w:val="000000"/>
          <w:sz w:val="44"/>
          <w:szCs w:val="44"/>
        </w:rPr>
      </w:pPr>
    </w:p>
    <w:p>
      <w:pPr>
        <w:rPr>
          <w:rFonts w:ascii="Times New Roman" w:hAnsi="Times New Roman" w:eastAsia="华文中宋" w:cs="Times New Roman"/>
          <w:b/>
          <w:bCs/>
          <w:color w:val="000000"/>
          <w:sz w:val="44"/>
          <w:szCs w:val="44"/>
        </w:rPr>
      </w:pPr>
    </w:p>
    <w:p>
      <w:pPr>
        <w:rPr>
          <w:rFonts w:ascii="Times New Roman" w:hAnsi="Times New Roman" w:eastAsia="华文中宋" w:cs="Times New Roman"/>
          <w:b/>
          <w:bCs/>
          <w:color w:val="000000"/>
          <w:sz w:val="44"/>
          <w:szCs w:val="44"/>
        </w:rPr>
      </w:pPr>
    </w:p>
    <w:p>
      <w:pPr>
        <w:rPr>
          <w:rFonts w:ascii="Times New Roman" w:hAnsi="Times New Roman" w:eastAsia="华文中宋" w:cs="Times New Roman"/>
          <w:b/>
          <w:bCs/>
          <w:color w:val="000000"/>
          <w:sz w:val="32"/>
          <w:szCs w:val="32"/>
        </w:rPr>
      </w:pPr>
    </w:p>
    <w:p>
      <w:pPr>
        <w:rPr>
          <w:rFonts w:ascii="Times New Roman" w:hAnsi="Times New Roman" w:eastAsia="华文中宋" w:cs="Times New Roman"/>
          <w:b/>
          <w:bCs/>
          <w:color w:val="000000"/>
          <w:sz w:val="3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sdt>
      <w:sdtPr>
        <w:rPr>
          <w:rFonts w:asciiTheme="minorHAnsi" w:hAnsiTheme="minorHAnsi" w:eastAsiaTheme="minorEastAsia" w:cstheme="minorBidi"/>
          <w:color w:val="auto"/>
          <w:kern w:val="2"/>
          <w:sz w:val="16"/>
          <w:szCs w:val="24"/>
          <w:lang w:val="zh-CN"/>
        </w:rPr>
        <w:id w:val="-1289890857"/>
        <w:docPartObj>
          <w:docPartGallery w:val="Table of Contents"/>
          <w:docPartUnique/>
        </w:docPartObj>
      </w:sdtPr>
      <w:sdtEndPr>
        <w:rPr>
          <w:rFonts w:asciiTheme="minorHAnsi" w:hAnsiTheme="minorHAnsi" w:eastAsiaTheme="minorEastAsia" w:cstheme="minorBidi"/>
          <w:b/>
          <w:bCs/>
          <w:color w:val="auto"/>
          <w:kern w:val="2"/>
          <w:sz w:val="16"/>
          <w:szCs w:val="24"/>
          <w:lang w:val="zh-CN"/>
        </w:rPr>
      </w:sdtEndPr>
      <w:sdtContent>
        <w:p>
          <w:pPr>
            <w:pStyle w:val="37"/>
            <w:spacing w:line="240" w:lineRule="auto"/>
            <w:jc w:val="center"/>
            <w:rPr>
              <w:rFonts w:asciiTheme="minorHAnsi" w:hAnsiTheme="minorHAnsi" w:eastAsiaTheme="minorEastAsia" w:cstheme="minorBidi"/>
              <w:color w:val="auto"/>
              <w:kern w:val="2"/>
              <w:sz w:val="16"/>
              <w:szCs w:val="24"/>
              <w:lang w:val="zh-CN"/>
            </w:rPr>
          </w:pPr>
        </w:p>
        <w:p>
          <w:pPr>
            <w:pStyle w:val="37"/>
            <w:spacing w:line="240" w:lineRule="auto"/>
            <w:jc w:val="center"/>
            <w:rPr>
              <w:rFonts w:asciiTheme="minorHAnsi" w:hAnsiTheme="minorHAnsi" w:eastAsiaTheme="minorEastAsia" w:cstheme="minorBidi"/>
              <w:color w:val="auto"/>
              <w:kern w:val="2"/>
              <w:sz w:val="16"/>
              <w:szCs w:val="24"/>
              <w:lang w:val="zh-CN"/>
            </w:rPr>
          </w:pPr>
        </w:p>
        <w:p>
          <w:pPr>
            <w:pStyle w:val="37"/>
            <w:spacing w:line="240" w:lineRule="auto"/>
            <w:jc w:val="center"/>
            <w:rPr>
              <w:sz w:val="22"/>
            </w:rPr>
          </w:pPr>
          <w:bookmarkStart w:id="140" w:name="_GoBack"/>
          <w:bookmarkEnd w:id="140"/>
          <w:r>
            <w:rPr>
              <w:sz w:val="22"/>
              <w:lang w:val="zh-CN"/>
            </w:rPr>
            <w:t>目录</w:t>
          </w:r>
        </w:p>
        <w:p>
          <w:pPr>
            <w:pStyle w:val="7"/>
            <w:tabs>
              <w:tab w:val="right" w:leader="dot" w:pos="8426"/>
            </w:tabs>
            <w:spacing w:line="240" w:lineRule="auto"/>
            <w:rPr>
              <w:rFonts w:ascii="黑体" w:hAnsi="黑体" w:eastAsia="黑体" w:cstheme="minorBidi"/>
              <w:kern w:val="2"/>
              <w:sz w:val="20"/>
              <w:szCs w:val="24"/>
            </w:rPr>
          </w:pPr>
          <w:r>
            <w:rPr>
              <w:b/>
              <w:bCs/>
              <w:sz w:val="18"/>
              <w:lang w:val="zh-CN"/>
            </w:rPr>
            <w:fldChar w:fldCharType="begin"/>
          </w:r>
          <w:r>
            <w:rPr>
              <w:b/>
              <w:bCs/>
              <w:sz w:val="18"/>
              <w:lang w:val="zh-CN"/>
            </w:rPr>
            <w:instrText xml:space="preserve"> TOC \o "1-3" \h \z \u </w:instrText>
          </w:r>
          <w:r>
            <w:rPr>
              <w:b/>
              <w:bCs/>
              <w:sz w:val="18"/>
              <w:lang w:val="zh-CN"/>
            </w:rPr>
            <w:fldChar w:fldCharType="separate"/>
          </w:r>
          <w:r>
            <w:fldChar w:fldCharType="begin"/>
          </w:r>
          <w:r>
            <w:instrText xml:space="preserve"> HYPERLINK \l "_Toc11921447" </w:instrText>
          </w:r>
          <w:r>
            <w:fldChar w:fldCharType="separate"/>
          </w:r>
          <w:r>
            <w:rPr>
              <w:rStyle w:val="15"/>
              <w:rFonts w:hint="eastAsia" w:ascii="黑体" w:hAnsi="黑体" w:eastAsia="黑体"/>
              <w:bCs/>
              <w:sz w:val="20"/>
              <w:szCs w:val="24"/>
            </w:rPr>
            <w:t>风险分级管控及隐患排查管理体系建设作业指导书</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_Toc11921447 \h </w:instrText>
          </w:r>
          <w:r>
            <w:rPr>
              <w:rFonts w:ascii="黑体" w:hAnsi="黑体" w:eastAsia="黑体"/>
              <w:sz w:val="20"/>
              <w:szCs w:val="24"/>
            </w:rPr>
            <w:fldChar w:fldCharType="separate"/>
          </w:r>
          <w:r>
            <w:rPr>
              <w:rFonts w:ascii="黑体" w:hAnsi="黑体" w:eastAsia="黑体"/>
              <w:sz w:val="20"/>
              <w:szCs w:val="24"/>
            </w:rPr>
            <w:t>1</w:t>
          </w:r>
          <w:r>
            <w:rPr>
              <w:rFonts w:ascii="黑体" w:hAnsi="黑体" w:eastAsia="黑体"/>
              <w:sz w:val="20"/>
              <w:szCs w:val="24"/>
            </w:rPr>
            <w:fldChar w:fldCharType="end"/>
          </w:r>
          <w:r>
            <w:rPr>
              <w:rFonts w:ascii="黑体" w:hAnsi="黑体" w:eastAsia="黑体"/>
              <w:sz w:val="20"/>
              <w:szCs w:val="24"/>
            </w:rPr>
            <w:fldChar w:fldCharType="end"/>
          </w:r>
        </w:p>
        <w:p>
          <w:pPr>
            <w:pStyle w:val="8"/>
            <w:tabs>
              <w:tab w:val="right" w:leader="dot" w:pos="8426"/>
            </w:tabs>
            <w:rPr>
              <w:rFonts w:ascii="黑体" w:hAnsi="黑体" w:eastAsia="黑体"/>
              <w:sz w:val="20"/>
            </w:rPr>
          </w:pPr>
          <w:r>
            <w:fldChar w:fldCharType="begin"/>
          </w:r>
          <w:r>
            <w:instrText xml:space="preserve"> HYPERLINK \l "_Toc11921449" </w:instrText>
          </w:r>
          <w:r>
            <w:fldChar w:fldCharType="separate"/>
          </w:r>
          <w:r>
            <w:rPr>
              <w:rStyle w:val="15"/>
              <w:rFonts w:hint="eastAsia" w:ascii="黑体" w:hAnsi="黑体" w:eastAsia="黑体"/>
              <w:sz w:val="20"/>
            </w:rPr>
            <w:t>风险点登记台账</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_Toc11921449 \h </w:instrText>
          </w:r>
          <w:r>
            <w:rPr>
              <w:rFonts w:ascii="黑体" w:hAnsi="黑体" w:eastAsia="黑体"/>
              <w:sz w:val="20"/>
            </w:rPr>
            <w:fldChar w:fldCharType="separate"/>
          </w:r>
          <w:r>
            <w:rPr>
              <w:rFonts w:ascii="黑体" w:hAnsi="黑体" w:eastAsia="黑体"/>
              <w:sz w:val="20"/>
            </w:rPr>
            <w:t>9</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"_Toc11921450" </w:instrText>
          </w:r>
          <w:r>
            <w:fldChar w:fldCharType="separate"/>
          </w:r>
          <w:r>
            <w:rPr>
              <w:rStyle w:val="15"/>
              <w:rFonts w:hint="eastAsia" w:ascii="黑体" w:hAnsi="黑体" w:eastAsia="黑体"/>
              <w:sz w:val="20"/>
            </w:rPr>
            <w:t>作业活动清单</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_Toc11921450 \h </w:instrText>
          </w:r>
          <w:r>
            <w:rPr>
              <w:rFonts w:ascii="黑体" w:hAnsi="黑体" w:eastAsia="黑体"/>
              <w:sz w:val="20"/>
            </w:rPr>
            <w:fldChar w:fldCharType="separate"/>
          </w:r>
          <w:r>
            <w:rPr>
              <w:rFonts w:ascii="黑体" w:hAnsi="黑体" w:eastAsia="黑体"/>
              <w:sz w:val="20"/>
            </w:rPr>
            <w:t>9</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"_Toc11921451" </w:instrText>
          </w:r>
          <w:r>
            <w:fldChar w:fldCharType="separate"/>
          </w:r>
          <w:r>
            <w:rPr>
              <w:rStyle w:val="15"/>
              <w:rFonts w:hint="eastAsia" w:ascii="黑体" w:hAnsi="黑体" w:eastAsia="黑体"/>
              <w:sz w:val="20"/>
            </w:rPr>
            <w:t>设备设施清单</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_Toc11921451 \h </w:instrText>
          </w:r>
          <w:r>
            <w:rPr>
              <w:rFonts w:ascii="黑体" w:hAnsi="黑体" w:eastAsia="黑体"/>
              <w:sz w:val="20"/>
            </w:rPr>
            <w:fldChar w:fldCharType="separate"/>
          </w:r>
          <w:r>
            <w:rPr>
              <w:rFonts w:ascii="黑体" w:hAnsi="黑体" w:eastAsia="黑体"/>
              <w:sz w:val="20"/>
            </w:rPr>
            <w:t>9</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"_Toc11921452" </w:instrText>
          </w:r>
          <w:r>
            <w:fldChar w:fldCharType="separate"/>
          </w:r>
          <w:r>
            <w:rPr>
              <w:rStyle w:val="15"/>
              <w:rFonts w:hint="eastAsia" w:ascii="黑体" w:hAnsi="黑体" w:eastAsia="黑体"/>
              <w:sz w:val="20"/>
            </w:rPr>
            <w:t>风险分级管控清单</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_Toc11921452 \h </w:instrText>
          </w:r>
          <w:r>
            <w:rPr>
              <w:rFonts w:ascii="黑体" w:hAnsi="黑体" w:eastAsia="黑体"/>
              <w:sz w:val="20"/>
            </w:rPr>
            <w:fldChar w:fldCharType="separate"/>
          </w:r>
          <w:r>
            <w:rPr>
              <w:rFonts w:ascii="黑体" w:hAnsi="黑体" w:eastAsia="黑体"/>
              <w:sz w:val="20"/>
            </w:rPr>
            <w:t>10</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"_Toc11921455" </w:instrText>
          </w:r>
          <w:r>
            <w:fldChar w:fldCharType="separate"/>
          </w:r>
          <w:r>
            <w:rPr>
              <w:rStyle w:val="15"/>
              <w:rFonts w:hint="eastAsia" w:ascii="黑体" w:hAnsi="黑体" w:eastAsia="黑体"/>
              <w:sz w:val="20"/>
            </w:rPr>
            <w:t>风险等级对照表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_Toc11921455 \h </w:instrText>
          </w:r>
          <w:r>
            <w:rPr>
              <w:rFonts w:ascii="黑体" w:hAnsi="黑体" w:eastAsia="黑体"/>
              <w:sz w:val="20"/>
            </w:rPr>
            <w:fldChar w:fldCharType="separate"/>
          </w:r>
          <w:r>
            <w:rPr>
              <w:rFonts w:ascii="黑体" w:hAnsi="黑体" w:eastAsia="黑体"/>
              <w:sz w:val="20"/>
            </w:rPr>
            <w:t>11</w:t>
          </w:r>
          <w:r>
            <w:rPr>
              <w:rFonts w:ascii="黑体" w:hAnsi="黑体" w:eastAsia="黑体"/>
              <w:sz w:val="20"/>
            </w:rPr>
            <w:fldChar w:fldCharType="end"/>
          </w:r>
          <w:r>
            <w:rPr>
              <w:rFonts w:ascii="黑体" w:hAnsi="黑体" w:eastAsia="黑体"/>
              <w:sz w:val="20"/>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"_Toc11921456" </w:instrText>
          </w:r>
          <w:r>
            <w:fldChar w:fldCharType="separate"/>
          </w:r>
          <w:r>
            <w:rPr>
              <w:rStyle w:val="15"/>
              <w:rFonts w:hint="eastAsia" w:ascii="黑体" w:hAnsi="黑体" w:eastAsia="黑体"/>
              <w:b/>
              <w:bCs/>
              <w:sz w:val="20"/>
              <w:szCs w:val="24"/>
            </w:rPr>
            <w:t>（资料性附录）</w:t>
          </w:r>
          <w:r>
            <w:rPr>
              <w:rStyle w:val="15"/>
              <w:rFonts w:ascii="黑体" w:hAnsi="黑体" w:eastAsia="黑体"/>
              <w:b/>
              <w:bCs/>
              <w:sz w:val="20"/>
              <w:szCs w:val="24"/>
            </w:rPr>
            <w:t xml:space="preserve"> </w:t>
          </w:r>
          <w:r>
            <w:rPr>
              <w:rStyle w:val="15"/>
              <w:rFonts w:hint="eastAsia" w:ascii="黑体" w:hAnsi="黑体" w:eastAsia="黑体"/>
              <w:sz w:val="20"/>
              <w:szCs w:val="24"/>
            </w:rPr>
            <w:t>工作危害分析法（</w:t>
          </w:r>
          <w:r>
            <w:rPr>
              <w:rStyle w:val="15"/>
              <w:rFonts w:ascii="黑体" w:hAnsi="黑体" w:eastAsia="黑体"/>
              <w:sz w:val="20"/>
              <w:szCs w:val="24"/>
            </w:rPr>
            <w:t>JHA</w:t>
          </w:r>
          <w:r>
            <w:rPr>
              <w:rStyle w:val="15"/>
              <w:rFonts w:hint="eastAsia" w:ascii="黑体" w:hAnsi="黑体" w:eastAsia="黑体"/>
              <w:sz w:val="20"/>
              <w:szCs w:val="24"/>
            </w:rPr>
            <w:t>）</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_Toc11921456 \h </w:instrText>
          </w:r>
          <w:r>
            <w:rPr>
              <w:rFonts w:ascii="黑体" w:hAnsi="黑体" w:eastAsia="黑体"/>
              <w:sz w:val="20"/>
              <w:szCs w:val="24"/>
            </w:rPr>
            <w:fldChar w:fldCharType="separate"/>
          </w:r>
          <w:r>
            <w:rPr>
              <w:rFonts w:ascii="黑体" w:hAnsi="黑体" w:eastAsia="黑体"/>
              <w:sz w:val="20"/>
              <w:szCs w:val="24"/>
            </w:rPr>
            <w:t>12</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"_Toc11921460" </w:instrText>
          </w:r>
          <w:r>
            <w:fldChar w:fldCharType="separate"/>
          </w:r>
          <w:r>
            <w:rPr>
              <w:rStyle w:val="15"/>
              <w:rFonts w:hint="eastAsia" w:ascii="黑体" w:hAnsi="黑体" w:eastAsia="黑体"/>
              <w:sz w:val="20"/>
              <w:szCs w:val="24"/>
            </w:rPr>
            <w:t>安全检查表法（</w:t>
          </w:r>
          <w:r>
            <w:rPr>
              <w:rStyle w:val="15"/>
              <w:rFonts w:ascii="黑体" w:hAnsi="黑体" w:eastAsia="黑体"/>
              <w:sz w:val="20"/>
              <w:szCs w:val="24"/>
            </w:rPr>
            <w:t>SCL</w:t>
          </w:r>
          <w:r>
            <w:rPr>
              <w:rStyle w:val="15"/>
              <w:rFonts w:hint="eastAsia" w:ascii="黑体" w:hAnsi="黑体" w:eastAsia="黑体"/>
              <w:sz w:val="20"/>
              <w:szCs w:val="24"/>
            </w:rPr>
            <w:t>）</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_Toc11921460 \h </w:instrText>
          </w:r>
          <w:r>
            <w:rPr>
              <w:rFonts w:ascii="黑体" w:hAnsi="黑体" w:eastAsia="黑体"/>
              <w:sz w:val="20"/>
              <w:szCs w:val="24"/>
            </w:rPr>
            <w:fldChar w:fldCharType="separate"/>
          </w:r>
          <w:r>
            <w:rPr>
              <w:rFonts w:ascii="黑体" w:hAnsi="黑体" w:eastAsia="黑体"/>
              <w:sz w:val="20"/>
              <w:szCs w:val="24"/>
            </w:rPr>
            <w:t>12</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"_Toc11921467" </w:instrText>
          </w:r>
          <w:r>
            <w:fldChar w:fldCharType="separate"/>
          </w:r>
          <w:r>
            <w:rPr>
              <w:rStyle w:val="15"/>
              <w:rFonts w:hint="eastAsia" w:ascii="黑体" w:hAnsi="黑体" w:eastAsia="黑体"/>
              <w:sz w:val="20"/>
              <w:szCs w:val="24"/>
            </w:rPr>
            <w:t>风险矩阵法（</w:t>
          </w:r>
          <w:r>
            <w:rPr>
              <w:rStyle w:val="15"/>
              <w:rFonts w:ascii="黑体" w:hAnsi="黑体" w:eastAsia="黑体"/>
              <w:sz w:val="20"/>
              <w:szCs w:val="24"/>
            </w:rPr>
            <w:t>LS</w:t>
          </w:r>
          <w:r>
            <w:rPr>
              <w:rStyle w:val="15"/>
              <w:rFonts w:hint="eastAsia" w:ascii="黑体" w:hAnsi="黑体" w:eastAsia="黑体"/>
              <w:sz w:val="20"/>
              <w:szCs w:val="24"/>
            </w:rPr>
            <w:t>）</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_Toc11921467 \h </w:instrText>
          </w:r>
          <w:r>
            <w:rPr>
              <w:rFonts w:ascii="黑体" w:hAnsi="黑体" w:eastAsia="黑体"/>
              <w:sz w:val="20"/>
              <w:szCs w:val="24"/>
            </w:rPr>
            <w:fldChar w:fldCharType="separate"/>
          </w:r>
          <w:r>
            <w:rPr>
              <w:rFonts w:ascii="黑体" w:hAnsi="黑体" w:eastAsia="黑体"/>
              <w:sz w:val="20"/>
              <w:szCs w:val="24"/>
            </w:rPr>
            <w:t>14</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"_Toc11921468" </w:instrText>
          </w:r>
          <w:r>
            <w:fldChar w:fldCharType="separate"/>
          </w:r>
          <w:r>
            <w:rPr>
              <w:rStyle w:val="15"/>
              <w:rFonts w:hint="eastAsia" w:ascii="黑体" w:hAnsi="黑体" w:eastAsia="黑体"/>
              <w:sz w:val="20"/>
              <w:szCs w:val="24"/>
            </w:rPr>
            <w:t>隐患排查治理作业指导书</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_Toc11921468 \h </w:instrText>
          </w:r>
          <w:r>
            <w:rPr>
              <w:rFonts w:ascii="黑体" w:hAnsi="黑体" w:eastAsia="黑体"/>
              <w:sz w:val="20"/>
              <w:szCs w:val="24"/>
            </w:rPr>
            <w:fldChar w:fldCharType="separate"/>
          </w:r>
          <w:r>
            <w:rPr>
              <w:rFonts w:ascii="黑体" w:hAnsi="黑体" w:eastAsia="黑体"/>
              <w:sz w:val="20"/>
              <w:szCs w:val="24"/>
            </w:rPr>
            <w:t>16</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"_Toc11921469" </w:instrText>
          </w:r>
          <w:r>
            <w:fldChar w:fldCharType="separate"/>
          </w:r>
          <w:r>
            <w:rPr>
              <w:rStyle w:val="15"/>
              <w:rFonts w:ascii="黑体" w:hAnsi="黑体" w:eastAsia="黑体" w:cs="宋体"/>
              <w:spacing w:val="4"/>
              <w:sz w:val="20"/>
              <w:szCs w:val="24"/>
            </w:rPr>
            <w:t xml:space="preserve">1 </w:t>
          </w:r>
          <w:r>
            <w:rPr>
              <w:rStyle w:val="15"/>
              <w:rFonts w:hint="eastAsia" w:ascii="黑体" w:hAnsi="黑体" w:eastAsia="黑体" w:cs="宋体"/>
              <w:spacing w:val="4"/>
              <w:sz w:val="20"/>
              <w:szCs w:val="24"/>
            </w:rPr>
            <w:t>目的</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_Toc11921469 \h </w:instrText>
          </w:r>
          <w:r>
            <w:rPr>
              <w:rFonts w:ascii="黑体" w:hAnsi="黑体" w:eastAsia="黑体"/>
              <w:sz w:val="20"/>
              <w:szCs w:val="24"/>
            </w:rPr>
            <w:fldChar w:fldCharType="separate"/>
          </w:r>
          <w:r>
            <w:rPr>
              <w:rFonts w:ascii="黑体" w:hAnsi="黑体" w:eastAsia="黑体"/>
              <w:sz w:val="20"/>
              <w:szCs w:val="24"/>
            </w:rPr>
            <w:t>17</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"_Toc11921470" </w:instrText>
          </w:r>
          <w:r>
            <w:fldChar w:fldCharType="separate"/>
          </w:r>
          <w:r>
            <w:rPr>
              <w:rStyle w:val="15"/>
              <w:rFonts w:ascii="黑体" w:hAnsi="黑体" w:eastAsia="黑体" w:cs="宋体"/>
              <w:spacing w:val="4"/>
              <w:sz w:val="20"/>
              <w:szCs w:val="24"/>
            </w:rPr>
            <w:t xml:space="preserve">2 </w:t>
          </w:r>
          <w:r>
            <w:rPr>
              <w:rStyle w:val="15"/>
              <w:rFonts w:hint="eastAsia" w:ascii="黑体" w:hAnsi="黑体" w:eastAsia="黑体" w:cs="宋体"/>
              <w:spacing w:val="4"/>
              <w:sz w:val="20"/>
              <w:szCs w:val="24"/>
            </w:rPr>
            <w:t>范围</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_Toc11921470 \h </w:instrText>
          </w:r>
          <w:r>
            <w:rPr>
              <w:rFonts w:ascii="黑体" w:hAnsi="黑体" w:eastAsia="黑体"/>
              <w:sz w:val="20"/>
              <w:szCs w:val="24"/>
            </w:rPr>
            <w:fldChar w:fldCharType="separate"/>
          </w:r>
          <w:r>
            <w:rPr>
              <w:rFonts w:ascii="黑体" w:hAnsi="黑体" w:eastAsia="黑体"/>
              <w:sz w:val="20"/>
              <w:szCs w:val="24"/>
            </w:rPr>
            <w:t>17</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"_Toc11921471" </w:instrText>
          </w:r>
          <w:r>
            <w:fldChar w:fldCharType="separate"/>
          </w:r>
          <w:r>
            <w:rPr>
              <w:rStyle w:val="15"/>
              <w:rFonts w:ascii="黑体" w:hAnsi="黑体" w:eastAsia="黑体" w:cs="宋体"/>
              <w:spacing w:val="4"/>
              <w:sz w:val="20"/>
              <w:szCs w:val="24"/>
            </w:rPr>
            <w:t xml:space="preserve">3 </w:t>
          </w:r>
          <w:r>
            <w:rPr>
              <w:rStyle w:val="15"/>
              <w:rFonts w:hint="eastAsia" w:ascii="黑体" w:hAnsi="黑体" w:eastAsia="黑体" w:cs="宋体"/>
              <w:spacing w:val="4"/>
              <w:sz w:val="20"/>
              <w:szCs w:val="24"/>
            </w:rPr>
            <w:t>定义</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_Toc11921471 \h </w:instrText>
          </w:r>
          <w:r>
            <w:rPr>
              <w:rFonts w:ascii="黑体" w:hAnsi="黑体" w:eastAsia="黑体"/>
              <w:sz w:val="20"/>
              <w:szCs w:val="24"/>
            </w:rPr>
            <w:fldChar w:fldCharType="separate"/>
          </w:r>
          <w:r>
            <w:rPr>
              <w:rFonts w:ascii="黑体" w:hAnsi="黑体" w:eastAsia="黑体"/>
              <w:sz w:val="20"/>
              <w:szCs w:val="24"/>
            </w:rPr>
            <w:t>17</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"_Toc11921472" </w:instrText>
          </w:r>
          <w:r>
            <w:fldChar w:fldCharType="separate"/>
          </w:r>
          <w:r>
            <w:rPr>
              <w:rStyle w:val="15"/>
              <w:rFonts w:ascii="黑体" w:hAnsi="黑体" w:eastAsia="黑体" w:cs="宋体"/>
              <w:spacing w:val="4"/>
              <w:sz w:val="20"/>
              <w:szCs w:val="24"/>
            </w:rPr>
            <w:t xml:space="preserve">4 </w:t>
          </w:r>
          <w:r>
            <w:rPr>
              <w:rStyle w:val="15"/>
              <w:rFonts w:hint="eastAsia" w:ascii="黑体" w:hAnsi="黑体" w:eastAsia="黑体" w:cs="宋体"/>
              <w:spacing w:val="4"/>
              <w:sz w:val="20"/>
              <w:szCs w:val="24"/>
            </w:rPr>
            <w:t>职责</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_Toc11921472 \h </w:instrText>
          </w:r>
          <w:r>
            <w:rPr>
              <w:rFonts w:ascii="黑体" w:hAnsi="黑体" w:eastAsia="黑体"/>
              <w:sz w:val="20"/>
              <w:szCs w:val="24"/>
            </w:rPr>
            <w:fldChar w:fldCharType="separate"/>
          </w:r>
          <w:r>
            <w:rPr>
              <w:rFonts w:ascii="黑体" w:hAnsi="黑体" w:eastAsia="黑体"/>
              <w:sz w:val="20"/>
              <w:szCs w:val="24"/>
            </w:rPr>
            <w:t>17</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"_Toc11921473" </w:instrText>
          </w:r>
          <w:r>
            <w:fldChar w:fldCharType="separate"/>
          </w:r>
          <w:r>
            <w:rPr>
              <w:rStyle w:val="15"/>
              <w:rFonts w:ascii="黑体" w:hAnsi="黑体" w:eastAsia="黑体" w:cs="宋体"/>
              <w:spacing w:val="4"/>
              <w:sz w:val="20"/>
              <w:szCs w:val="24"/>
            </w:rPr>
            <w:t xml:space="preserve">5 </w:t>
          </w:r>
          <w:r>
            <w:rPr>
              <w:rStyle w:val="15"/>
              <w:rFonts w:hint="eastAsia" w:ascii="黑体" w:hAnsi="黑体" w:eastAsia="黑体" w:cs="宋体"/>
              <w:spacing w:val="4"/>
              <w:sz w:val="20"/>
              <w:szCs w:val="24"/>
            </w:rPr>
            <w:t>事故隐患排查治理基本要求</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_Toc11921473 \h </w:instrText>
          </w:r>
          <w:r>
            <w:rPr>
              <w:rFonts w:ascii="黑体" w:hAnsi="黑体" w:eastAsia="黑体"/>
              <w:sz w:val="20"/>
              <w:szCs w:val="24"/>
            </w:rPr>
            <w:fldChar w:fldCharType="separate"/>
          </w:r>
          <w:r>
            <w:rPr>
              <w:rFonts w:ascii="黑体" w:hAnsi="黑体" w:eastAsia="黑体"/>
              <w:sz w:val="20"/>
              <w:szCs w:val="24"/>
            </w:rPr>
            <w:t>19</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"_Toc11921474" </w:instrText>
          </w:r>
          <w:r>
            <w:fldChar w:fldCharType="separate"/>
          </w:r>
          <w:r>
            <w:rPr>
              <w:rStyle w:val="15"/>
              <w:rFonts w:ascii="黑体" w:hAnsi="黑体" w:eastAsia="黑体" w:cs="宋体"/>
              <w:spacing w:val="4"/>
              <w:sz w:val="20"/>
              <w:szCs w:val="24"/>
            </w:rPr>
            <w:t xml:space="preserve">6 </w:t>
          </w:r>
          <w:r>
            <w:rPr>
              <w:rStyle w:val="15"/>
              <w:rFonts w:hint="eastAsia" w:ascii="黑体" w:hAnsi="黑体" w:eastAsia="黑体" w:cs="宋体"/>
              <w:spacing w:val="4"/>
              <w:sz w:val="20"/>
              <w:szCs w:val="24"/>
            </w:rPr>
            <w:t>事故隐患分类和等级认定</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_Toc11921474 \h </w:instrText>
          </w:r>
          <w:r>
            <w:rPr>
              <w:rFonts w:ascii="黑体" w:hAnsi="黑体" w:eastAsia="黑体"/>
              <w:sz w:val="20"/>
              <w:szCs w:val="24"/>
            </w:rPr>
            <w:fldChar w:fldCharType="separate"/>
          </w:r>
          <w:r>
            <w:rPr>
              <w:rFonts w:ascii="黑体" w:hAnsi="黑体" w:eastAsia="黑体"/>
              <w:sz w:val="20"/>
              <w:szCs w:val="24"/>
            </w:rPr>
            <w:t>20</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"_Toc11921475" </w:instrText>
          </w:r>
          <w:r>
            <w:fldChar w:fldCharType="separate"/>
          </w:r>
          <w:r>
            <w:rPr>
              <w:rStyle w:val="15"/>
              <w:rFonts w:ascii="黑体" w:hAnsi="黑体" w:eastAsia="黑体" w:cs="宋体"/>
              <w:spacing w:val="4"/>
              <w:sz w:val="20"/>
              <w:szCs w:val="24"/>
            </w:rPr>
            <w:t>7</w:t>
          </w:r>
          <w:r>
            <w:rPr>
              <w:rStyle w:val="15"/>
              <w:rFonts w:hint="eastAsia" w:ascii="黑体" w:hAnsi="黑体" w:eastAsia="黑体" w:cs="宋体"/>
              <w:spacing w:val="4"/>
              <w:sz w:val="20"/>
              <w:szCs w:val="24"/>
            </w:rPr>
            <w:t>事故隐患排查方式、频次</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_Toc11921475 \h </w:instrText>
          </w:r>
          <w:r>
            <w:rPr>
              <w:rFonts w:ascii="黑体" w:hAnsi="黑体" w:eastAsia="黑体"/>
              <w:sz w:val="20"/>
              <w:szCs w:val="24"/>
            </w:rPr>
            <w:fldChar w:fldCharType="separate"/>
          </w:r>
          <w:r>
            <w:rPr>
              <w:rFonts w:ascii="黑体" w:hAnsi="黑体" w:eastAsia="黑体"/>
              <w:sz w:val="20"/>
              <w:szCs w:val="24"/>
            </w:rPr>
            <w:t>22</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"_Toc11921476" </w:instrText>
          </w:r>
          <w:r>
            <w:fldChar w:fldCharType="separate"/>
          </w:r>
          <w:r>
            <w:rPr>
              <w:rStyle w:val="15"/>
              <w:rFonts w:ascii="黑体" w:hAnsi="黑体" w:eastAsia="黑体" w:cs="宋体"/>
              <w:spacing w:val="4"/>
              <w:sz w:val="20"/>
              <w:szCs w:val="24"/>
            </w:rPr>
            <w:t xml:space="preserve">8 </w:t>
          </w:r>
          <w:r>
            <w:rPr>
              <w:rStyle w:val="15"/>
              <w:rFonts w:hint="eastAsia" w:ascii="黑体" w:hAnsi="黑体" w:eastAsia="黑体" w:cs="宋体"/>
              <w:spacing w:val="4"/>
              <w:sz w:val="20"/>
              <w:szCs w:val="24"/>
            </w:rPr>
            <w:t>事故隐患排查内容</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_Toc11921476 \h </w:instrText>
          </w:r>
          <w:r>
            <w:rPr>
              <w:rFonts w:ascii="黑体" w:hAnsi="黑体" w:eastAsia="黑体"/>
              <w:sz w:val="20"/>
              <w:szCs w:val="24"/>
            </w:rPr>
            <w:fldChar w:fldCharType="separate"/>
          </w:r>
          <w:r>
            <w:rPr>
              <w:rFonts w:ascii="黑体" w:hAnsi="黑体" w:eastAsia="黑体"/>
              <w:sz w:val="20"/>
              <w:szCs w:val="24"/>
            </w:rPr>
            <w:t>23</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"_Toc11921477" </w:instrText>
          </w:r>
          <w:r>
            <w:fldChar w:fldCharType="separate"/>
          </w:r>
          <w:r>
            <w:rPr>
              <w:rStyle w:val="15"/>
              <w:rFonts w:ascii="黑体" w:hAnsi="黑体" w:eastAsia="黑体" w:cs="宋体"/>
              <w:spacing w:val="4"/>
              <w:sz w:val="20"/>
              <w:szCs w:val="24"/>
            </w:rPr>
            <w:t xml:space="preserve">9 </w:t>
          </w:r>
          <w:r>
            <w:rPr>
              <w:rStyle w:val="15"/>
              <w:rFonts w:hint="eastAsia" w:ascii="黑体" w:hAnsi="黑体" w:eastAsia="黑体" w:cs="宋体"/>
              <w:spacing w:val="4"/>
              <w:sz w:val="20"/>
              <w:szCs w:val="24"/>
            </w:rPr>
            <w:t>事故隐患的评审和评估</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_Toc11921477 \h </w:instrText>
          </w:r>
          <w:r>
            <w:rPr>
              <w:rFonts w:ascii="黑体" w:hAnsi="黑体" w:eastAsia="黑体"/>
              <w:sz w:val="20"/>
              <w:szCs w:val="24"/>
            </w:rPr>
            <w:fldChar w:fldCharType="separate"/>
          </w:r>
          <w:r>
            <w:rPr>
              <w:rFonts w:ascii="黑体" w:hAnsi="黑体" w:eastAsia="黑体"/>
              <w:sz w:val="20"/>
              <w:szCs w:val="24"/>
            </w:rPr>
            <w:t>26</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"_Toc11921478" </w:instrText>
          </w:r>
          <w:r>
            <w:fldChar w:fldCharType="separate"/>
          </w:r>
          <w:r>
            <w:rPr>
              <w:rStyle w:val="15"/>
              <w:rFonts w:ascii="黑体" w:hAnsi="黑体" w:eastAsia="黑体" w:cs="宋体"/>
              <w:spacing w:val="4"/>
              <w:sz w:val="20"/>
              <w:szCs w:val="24"/>
            </w:rPr>
            <w:t xml:space="preserve">10 </w:t>
          </w:r>
          <w:r>
            <w:rPr>
              <w:rStyle w:val="15"/>
              <w:rFonts w:hint="eastAsia" w:ascii="黑体" w:hAnsi="黑体" w:eastAsia="黑体" w:cs="宋体"/>
              <w:spacing w:val="4"/>
              <w:sz w:val="20"/>
              <w:szCs w:val="24"/>
            </w:rPr>
            <w:t>事故隐患的报告和统计分析</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_Toc11921478 \h </w:instrText>
          </w:r>
          <w:r>
            <w:rPr>
              <w:rFonts w:ascii="黑体" w:hAnsi="黑体" w:eastAsia="黑体"/>
              <w:sz w:val="20"/>
              <w:szCs w:val="24"/>
            </w:rPr>
            <w:fldChar w:fldCharType="separate"/>
          </w:r>
          <w:r>
            <w:rPr>
              <w:rFonts w:ascii="黑体" w:hAnsi="黑体" w:eastAsia="黑体"/>
              <w:sz w:val="20"/>
              <w:szCs w:val="24"/>
            </w:rPr>
            <w:t>27</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"_Toc11921479" </w:instrText>
          </w:r>
          <w:r>
            <w:fldChar w:fldCharType="separate"/>
          </w:r>
          <w:r>
            <w:rPr>
              <w:rStyle w:val="15"/>
              <w:rFonts w:ascii="黑体" w:hAnsi="黑体" w:eastAsia="黑体" w:cs="宋体"/>
              <w:spacing w:val="4"/>
              <w:sz w:val="20"/>
              <w:szCs w:val="24"/>
            </w:rPr>
            <w:t xml:space="preserve">11 </w:t>
          </w:r>
          <w:r>
            <w:rPr>
              <w:rStyle w:val="15"/>
              <w:rFonts w:hint="eastAsia" w:ascii="黑体" w:hAnsi="黑体" w:eastAsia="黑体" w:cs="宋体"/>
              <w:spacing w:val="4"/>
              <w:sz w:val="20"/>
              <w:szCs w:val="24"/>
            </w:rPr>
            <w:t>事故隐患的处理</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_Toc11921479 \h </w:instrText>
          </w:r>
          <w:r>
            <w:rPr>
              <w:rFonts w:ascii="黑体" w:hAnsi="黑体" w:eastAsia="黑体"/>
              <w:sz w:val="20"/>
              <w:szCs w:val="24"/>
            </w:rPr>
            <w:fldChar w:fldCharType="separate"/>
          </w:r>
          <w:r>
            <w:rPr>
              <w:rFonts w:ascii="黑体" w:hAnsi="黑体" w:eastAsia="黑体"/>
              <w:sz w:val="20"/>
              <w:szCs w:val="24"/>
            </w:rPr>
            <w:t>27</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"_Toc11921480" </w:instrText>
          </w:r>
          <w:r>
            <w:fldChar w:fldCharType="separate"/>
          </w:r>
          <w:r>
            <w:rPr>
              <w:rStyle w:val="15"/>
              <w:rFonts w:ascii="黑体" w:hAnsi="黑体" w:eastAsia="黑体" w:cs="宋体"/>
              <w:spacing w:val="4"/>
              <w:sz w:val="20"/>
              <w:szCs w:val="24"/>
            </w:rPr>
            <w:t xml:space="preserve">12 </w:t>
          </w:r>
          <w:r>
            <w:rPr>
              <w:rStyle w:val="15"/>
              <w:rFonts w:hint="eastAsia" w:ascii="黑体" w:hAnsi="黑体" w:eastAsia="黑体" w:cs="宋体"/>
              <w:spacing w:val="4"/>
              <w:sz w:val="20"/>
              <w:szCs w:val="24"/>
            </w:rPr>
            <w:t>隐患治理项目的验收</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_Toc11921480 \h </w:instrText>
          </w:r>
          <w:r>
            <w:rPr>
              <w:rFonts w:ascii="黑体" w:hAnsi="黑体" w:eastAsia="黑体"/>
              <w:sz w:val="20"/>
              <w:szCs w:val="24"/>
            </w:rPr>
            <w:fldChar w:fldCharType="separate"/>
          </w:r>
          <w:r>
            <w:rPr>
              <w:rFonts w:ascii="黑体" w:hAnsi="黑体" w:eastAsia="黑体"/>
              <w:sz w:val="20"/>
              <w:szCs w:val="24"/>
            </w:rPr>
            <w:t>28</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"_Toc11921481" </w:instrText>
          </w:r>
          <w:r>
            <w:fldChar w:fldCharType="separate"/>
          </w:r>
          <w:r>
            <w:rPr>
              <w:rStyle w:val="15"/>
              <w:rFonts w:ascii="黑体" w:hAnsi="黑体" w:eastAsia="黑体" w:cs="宋体"/>
              <w:spacing w:val="4"/>
              <w:sz w:val="20"/>
              <w:szCs w:val="24"/>
            </w:rPr>
            <w:t xml:space="preserve">13 </w:t>
          </w:r>
          <w:r>
            <w:rPr>
              <w:rStyle w:val="15"/>
              <w:rFonts w:hint="eastAsia" w:ascii="黑体" w:hAnsi="黑体" w:eastAsia="黑体" w:cs="宋体"/>
              <w:spacing w:val="4"/>
              <w:sz w:val="20"/>
              <w:szCs w:val="24"/>
            </w:rPr>
            <w:t>事故隐患倒查</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_Toc11921481 \h </w:instrText>
          </w:r>
          <w:r>
            <w:rPr>
              <w:rFonts w:ascii="黑体" w:hAnsi="黑体" w:eastAsia="黑体"/>
              <w:sz w:val="20"/>
              <w:szCs w:val="24"/>
            </w:rPr>
            <w:fldChar w:fldCharType="separate"/>
          </w:r>
          <w:r>
            <w:rPr>
              <w:rFonts w:ascii="黑体" w:hAnsi="黑体" w:eastAsia="黑体"/>
              <w:sz w:val="20"/>
              <w:szCs w:val="24"/>
            </w:rPr>
            <w:t>28</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"_Toc11921482" </w:instrText>
          </w:r>
          <w:r>
            <w:fldChar w:fldCharType="separate"/>
          </w:r>
          <w:r>
            <w:rPr>
              <w:rStyle w:val="15"/>
              <w:rFonts w:hint="eastAsia" w:ascii="黑体" w:hAnsi="黑体" w:eastAsia="黑体" w:cs="宋体"/>
              <w:spacing w:val="4"/>
              <w:sz w:val="20"/>
              <w:szCs w:val="24"/>
            </w:rPr>
            <w:t>附件</w:t>
          </w:r>
          <w:r>
            <w:rPr>
              <w:rStyle w:val="15"/>
              <w:rFonts w:hint="eastAsia" w:ascii="黑体" w:hAnsi="黑体" w:eastAsia="黑体" w:cs="宋体"/>
              <w:sz w:val="20"/>
              <w:szCs w:val="24"/>
            </w:rPr>
            <w:t>各专业隐患排查表</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_Toc11921482 \h </w:instrText>
          </w:r>
          <w:r>
            <w:rPr>
              <w:rFonts w:ascii="黑体" w:hAnsi="黑体" w:eastAsia="黑体"/>
              <w:sz w:val="20"/>
              <w:szCs w:val="24"/>
            </w:rPr>
            <w:fldChar w:fldCharType="separate"/>
          </w:r>
          <w:r>
            <w:rPr>
              <w:rFonts w:ascii="黑体" w:hAnsi="黑体" w:eastAsia="黑体"/>
              <w:sz w:val="20"/>
              <w:szCs w:val="24"/>
            </w:rPr>
            <w:t>29</w:t>
          </w:r>
          <w:r>
            <w:rPr>
              <w:rFonts w:ascii="黑体" w:hAnsi="黑体" w:eastAsia="黑体"/>
              <w:sz w:val="20"/>
              <w:szCs w:val="24"/>
            </w:rPr>
            <w:fldChar w:fldCharType="end"/>
          </w:r>
          <w:r>
            <w:rPr>
              <w:rFonts w:ascii="黑体" w:hAnsi="黑体" w:eastAsia="黑体"/>
              <w:sz w:val="20"/>
              <w:szCs w:val="24"/>
            </w:rPr>
            <w:fldChar w:fldCharType="end"/>
          </w:r>
        </w:p>
        <w:p>
          <w:pPr>
            <w:pStyle w:val="8"/>
            <w:tabs>
              <w:tab w:val="right" w:leader="dot" w:pos="8426"/>
            </w:tabs>
            <w:rPr>
              <w:rFonts w:ascii="黑体" w:hAnsi="黑体" w:eastAsia="黑体"/>
              <w:sz w:val="20"/>
            </w:rPr>
          </w:pPr>
          <w:r>
            <w:fldChar w:fldCharType="begin"/>
          </w:r>
          <w:r>
            <w:instrText xml:space="preserve"> HYPERLINK \l "_Toc11921483" </w:instrText>
          </w:r>
          <w:r>
            <w:fldChar w:fldCharType="separate"/>
          </w:r>
          <w:r>
            <w:rPr>
              <w:rStyle w:val="15"/>
              <w:rFonts w:ascii="黑体" w:hAnsi="黑体" w:eastAsia="黑体"/>
              <w:sz w:val="20"/>
            </w:rPr>
            <w:t xml:space="preserve">1 </w:t>
          </w:r>
          <w:r>
            <w:rPr>
              <w:rStyle w:val="15"/>
              <w:rFonts w:hint="eastAsia" w:ascii="黑体" w:hAnsi="黑体" w:eastAsia="黑体"/>
              <w:sz w:val="20"/>
            </w:rPr>
            <w:t>安全基础管理隐患排查表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_Toc11921483 \h </w:instrText>
          </w:r>
          <w:r>
            <w:rPr>
              <w:rFonts w:ascii="黑体" w:hAnsi="黑体" w:eastAsia="黑体"/>
              <w:sz w:val="20"/>
            </w:rPr>
            <w:fldChar w:fldCharType="separate"/>
          </w:r>
          <w:r>
            <w:rPr>
              <w:rFonts w:ascii="黑体" w:hAnsi="黑体" w:eastAsia="黑体"/>
              <w:sz w:val="20"/>
            </w:rPr>
            <w:t>29</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"_Toc11921484" </w:instrText>
          </w:r>
          <w:r>
            <w:fldChar w:fldCharType="separate"/>
          </w:r>
          <w:r>
            <w:rPr>
              <w:rStyle w:val="15"/>
              <w:rFonts w:ascii="黑体" w:hAnsi="黑体" w:eastAsia="黑体"/>
              <w:sz w:val="20"/>
            </w:rPr>
            <w:t xml:space="preserve">2 </w:t>
          </w:r>
          <w:r>
            <w:rPr>
              <w:rStyle w:val="15"/>
              <w:rFonts w:hint="eastAsia" w:ascii="黑体" w:hAnsi="黑体" w:eastAsia="黑体"/>
              <w:sz w:val="20"/>
            </w:rPr>
            <w:t>区域位置及总图布置隐患排查表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_Toc11921484 \h </w:instrText>
          </w:r>
          <w:r>
            <w:rPr>
              <w:rFonts w:ascii="黑体" w:hAnsi="黑体" w:eastAsia="黑体"/>
              <w:sz w:val="20"/>
            </w:rPr>
            <w:fldChar w:fldCharType="separate"/>
          </w:r>
          <w:r>
            <w:rPr>
              <w:rFonts w:ascii="黑体" w:hAnsi="黑体" w:eastAsia="黑体"/>
              <w:sz w:val="20"/>
            </w:rPr>
            <w:t>35</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"_Toc11921485" </w:instrText>
          </w:r>
          <w:r>
            <w:fldChar w:fldCharType="separate"/>
          </w:r>
          <w:r>
            <w:rPr>
              <w:rStyle w:val="15"/>
              <w:rFonts w:ascii="黑体" w:hAnsi="黑体" w:eastAsia="黑体"/>
              <w:sz w:val="20"/>
            </w:rPr>
            <w:t xml:space="preserve">3 </w:t>
          </w:r>
          <w:r>
            <w:rPr>
              <w:rStyle w:val="15"/>
              <w:rFonts w:hint="eastAsia" w:ascii="黑体" w:hAnsi="黑体" w:eastAsia="黑体"/>
              <w:sz w:val="20"/>
            </w:rPr>
            <w:t>工艺隐患排查表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_Toc11921485 \h </w:instrText>
          </w:r>
          <w:r>
            <w:rPr>
              <w:rFonts w:ascii="黑体" w:hAnsi="黑体" w:eastAsia="黑体"/>
              <w:sz w:val="20"/>
            </w:rPr>
            <w:fldChar w:fldCharType="separate"/>
          </w:r>
          <w:r>
            <w:rPr>
              <w:rFonts w:ascii="黑体" w:hAnsi="黑体" w:eastAsia="黑体"/>
              <w:sz w:val="20"/>
            </w:rPr>
            <w:t>37</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"_Toc11921486" </w:instrText>
          </w:r>
          <w:r>
            <w:fldChar w:fldCharType="separate"/>
          </w:r>
          <w:r>
            <w:rPr>
              <w:rStyle w:val="15"/>
              <w:rFonts w:ascii="黑体" w:hAnsi="黑体" w:eastAsia="黑体"/>
              <w:sz w:val="20"/>
            </w:rPr>
            <w:t xml:space="preserve">4 </w:t>
          </w:r>
          <w:r>
            <w:rPr>
              <w:rStyle w:val="15"/>
              <w:rFonts w:hint="eastAsia" w:ascii="黑体" w:hAnsi="黑体" w:eastAsia="黑体"/>
              <w:sz w:val="20"/>
            </w:rPr>
            <w:t>设备隐患排查表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_Toc11921486 \h </w:instrText>
          </w:r>
          <w:r>
            <w:rPr>
              <w:rFonts w:ascii="黑体" w:hAnsi="黑体" w:eastAsia="黑体"/>
              <w:sz w:val="20"/>
            </w:rPr>
            <w:fldChar w:fldCharType="separate"/>
          </w:r>
          <w:r>
            <w:rPr>
              <w:rFonts w:ascii="黑体" w:hAnsi="黑体" w:eastAsia="黑体"/>
              <w:sz w:val="20"/>
            </w:rPr>
            <w:t>40</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"_Toc11921487" </w:instrText>
          </w:r>
          <w:r>
            <w:fldChar w:fldCharType="separate"/>
          </w:r>
          <w:r>
            <w:rPr>
              <w:rStyle w:val="15"/>
              <w:rFonts w:ascii="黑体" w:hAnsi="黑体" w:eastAsia="黑体"/>
              <w:sz w:val="20"/>
            </w:rPr>
            <w:t xml:space="preserve">5 </w:t>
          </w:r>
          <w:r>
            <w:rPr>
              <w:rStyle w:val="15"/>
              <w:rFonts w:hint="eastAsia" w:ascii="黑体" w:hAnsi="黑体" w:eastAsia="黑体"/>
              <w:sz w:val="20"/>
            </w:rPr>
            <w:t>电气系统隐患排查表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_Toc11921487 \h </w:instrText>
          </w:r>
          <w:r>
            <w:rPr>
              <w:rFonts w:ascii="黑体" w:hAnsi="黑体" w:eastAsia="黑体"/>
              <w:sz w:val="20"/>
            </w:rPr>
            <w:fldChar w:fldCharType="separate"/>
          </w:r>
          <w:r>
            <w:rPr>
              <w:rFonts w:ascii="黑体" w:hAnsi="黑体" w:eastAsia="黑体"/>
              <w:sz w:val="20"/>
            </w:rPr>
            <w:t>43</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"_Toc11921488" </w:instrText>
          </w:r>
          <w:r>
            <w:fldChar w:fldCharType="separate"/>
          </w:r>
          <w:r>
            <w:rPr>
              <w:rStyle w:val="15"/>
              <w:rFonts w:ascii="黑体" w:hAnsi="黑体" w:eastAsia="黑体"/>
              <w:sz w:val="20"/>
            </w:rPr>
            <w:t xml:space="preserve">6 </w:t>
          </w:r>
          <w:r>
            <w:rPr>
              <w:rStyle w:val="15"/>
              <w:rFonts w:hint="eastAsia" w:ascii="黑体" w:hAnsi="黑体" w:eastAsia="黑体"/>
              <w:sz w:val="20"/>
            </w:rPr>
            <w:t>仪表隐患排查表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_Toc11921488 \h </w:instrText>
          </w:r>
          <w:r>
            <w:rPr>
              <w:rFonts w:ascii="黑体" w:hAnsi="黑体" w:eastAsia="黑体"/>
              <w:sz w:val="20"/>
            </w:rPr>
            <w:fldChar w:fldCharType="separate"/>
          </w:r>
          <w:r>
            <w:rPr>
              <w:rFonts w:ascii="黑体" w:hAnsi="黑体" w:eastAsia="黑体"/>
              <w:sz w:val="20"/>
            </w:rPr>
            <w:t>45</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"_Toc11921489" </w:instrText>
          </w:r>
          <w:r>
            <w:fldChar w:fldCharType="separate"/>
          </w:r>
          <w:r>
            <w:rPr>
              <w:rStyle w:val="15"/>
              <w:rFonts w:ascii="黑体" w:hAnsi="黑体" w:eastAsia="黑体"/>
              <w:sz w:val="20"/>
            </w:rPr>
            <w:t xml:space="preserve">7 </w:t>
          </w:r>
          <w:r>
            <w:rPr>
              <w:rStyle w:val="15"/>
              <w:rFonts w:hint="eastAsia" w:ascii="黑体" w:hAnsi="黑体" w:eastAsia="黑体"/>
              <w:sz w:val="20"/>
            </w:rPr>
            <w:t>危险化学品管理隐患排查表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_Toc11921489 \h </w:instrText>
          </w:r>
          <w:r>
            <w:rPr>
              <w:rFonts w:ascii="黑体" w:hAnsi="黑体" w:eastAsia="黑体"/>
              <w:sz w:val="20"/>
            </w:rPr>
            <w:fldChar w:fldCharType="separate"/>
          </w:r>
          <w:r>
            <w:rPr>
              <w:rFonts w:ascii="黑体" w:hAnsi="黑体" w:eastAsia="黑体"/>
              <w:sz w:val="20"/>
            </w:rPr>
            <w:t>47</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"_Toc11921490" </w:instrText>
          </w:r>
          <w:r>
            <w:fldChar w:fldCharType="separate"/>
          </w:r>
          <w:r>
            <w:rPr>
              <w:rStyle w:val="15"/>
              <w:rFonts w:ascii="黑体" w:hAnsi="黑体" w:eastAsia="黑体"/>
              <w:sz w:val="20"/>
            </w:rPr>
            <w:t xml:space="preserve">8 </w:t>
          </w:r>
          <w:r>
            <w:rPr>
              <w:rStyle w:val="15"/>
              <w:rFonts w:hint="eastAsia" w:ascii="黑体" w:hAnsi="黑体" w:eastAsia="黑体"/>
              <w:sz w:val="20"/>
            </w:rPr>
            <w:t>储运系统隐患排查表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_Toc11921490 \h </w:instrText>
          </w:r>
          <w:r>
            <w:rPr>
              <w:rFonts w:ascii="黑体" w:hAnsi="黑体" w:eastAsia="黑体"/>
              <w:sz w:val="20"/>
            </w:rPr>
            <w:fldChar w:fldCharType="separate"/>
          </w:r>
          <w:r>
            <w:rPr>
              <w:rFonts w:ascii="黑体" w:hAnsi="黑体" w:eastAsia="黑体"/>
              <w:sz w:val="20"/>
            </w:rPr>
            <w:t>49</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"_Toc11921491" </w:instrText>
          </w:r>
          <w:r>
            <w:fldChar w:fldCharType="separate"/>
          </w:r>
          <w:r>
            <w:rPr>
              <w:rStyle w:val="15"/>
              <w:rFonts w:ascii="黑体" w:hAnsi="黑体" w:eastAsia="黑体"/>
              <w:sz w:val="20"/>
            </w:rPr>
            <w:t xml:space="preserve">9 </w:t>
          </w:r>
          <w:r>
            <w:rPr>
              <w:rStyle w:val="15"/>
              <w:rFonts w:hint="eastAsia" w:ascii="黑体" w:hAnsi="黑体" w:eastAsia="黑体"/>
              <w:sz w:val="20"/>
            </w:rPr>
            <w:t>公用工程隐患排查表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_Toc11921491 \h </w:instrText>
          </w:r>
          <w:r>
            <w:rPr>
              <w:rFonts w:ascii="黑体" w:hAnsi="黑体" w:eastAsia="黑体"/>
              <w:sz w:val="20"/>
            </w:rPr>
            <w:fldChar w:fldCharType="separate"/>
          </w:r>
          <w:r>
            <w:rPr>
              <w:rFonts w:ascii="黑体" w:hAnsi="黑体" w:eastAsia="黑体"/>
              <w:sz w:val="20"/>
            </w:rPr>
            <w:t>54</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"_Toc11921492" </w:instrText>
          </w:r>
          <w:r>
            <w:fldChar w:fldCharType="separate"/>
          </w:r>
          <w:r>
            <w:rPr>
              <w:rStyle w:val="15"/>
              <w:rFonts w:ascii="黑体" w:hAnsi="黑体" w:eastAsia="黑体"/>
              <w:sz w:val="20"/>
            </w:rPr>
            <w:t xml:space="preserve">10 </w:t>
          </w:r>
          <w:r>
            <w:rPr>
              <w:rStyle w:val="15"/>
              <w:rFonts w:hint="eastAsia" w:ascii="黑体" w:hAnsi="黑体" w:eastAsia="黑体"/>
              <w:sz w:val="20"/>
            </w:rPr>
            <w:t>消防系统隐患排查表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_Toc11921492 \h </w:instrText>
          </w:r>
          <w:r>
            <w:rPr>
              <w:rFonts w:ascii="黑体" w:hAnsi="黑体" w:eastAsia="黑体"/>
              <w:sz w:val="20"/>
            </w:rPr>
            <w:fldChar w:fldCharType="separate"/>
          </w:r>
          <w:r>
            <w:rPr>
              <w:rFonts w:ascii="黑体" w:hAnsi="黑体" w:eastAsia="黑体"/>
              <w:sz w:val="20"/>
            </w:rPr>
            <w:t>56</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"_Toc11921493" </w:instrText>
          </w:r>
          <w:r>
            <w:fldChar w:fldCharType="separate"/>
          </w:r>
          <w:r>
            <w:rPr>
              <w:rStyle w:val="15"/>
              <w:rFonts w:ascii="黑体" w:hAnsi="黑体" w:eastAsia="黑体"/>
              <w:sz w:val="20"/>
            </w:rPr>
            <w:t>xx</w:t>
          </w:r>
          <w:r>
            <w:rPr>
              <w:rStyle w:val="15"/>
              <w:rFonts w:hint="eastAsia" w:ascii="黑体" w:hAnsi="黑体" w:eastAsia="黑体"/>
              <w:sz w:val="20"/>
            </w:rPr>
            <w:t>有限公司隐患检查登记台帐（附录</w:t>
          </w:r>
          <w:r>
            <w:rPr>
              <w:rStyle w:val="15"/>
              <w:rFonts w:ascii="黑体" w:hAnsi="黑体" w:eastAsia="黑体"/>
              <w:sz w:val="20"/>
            </w:rPr>
            <w:t>A</w:t>
          </w:r>
          <w:r>
            <w:rPr>
              <w:rStyle w:val="15"/>
              <w:rFonts w:hint="eastAsia" w:ascii="黑体" w:hAnsi="黑体" w:eastAsia="黑体"/>
              <w:sz w:val="20"/>
            </w:rPr>
            <w:t>）</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_Toc11921493 \h </w:instrText>
          </w:r>
          <w:r>
            <w:rPr>
              <w:rFonts w:ascii="黑体" w:hAnsi="黑体" w:eastAsia="黑体"/>
              <w:sz w:val="20"/>
            </w:rPr>
            <w:fldChar w:fldCharType="separate"/>
          </w:r>
          <w:r>
            <w:rPr>
              <w:rFonts w:ascii="黑体" w:hAnsi="黑体" w:eastAsia="黑体"/>
              <w:sz w:val="20"/>
            </w:rPr>
            <w:t>57</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"_Toc11921494" </w:instrText>
          </w:r>
          <w:r>
            <w:fldChar w:fldCharType="separate"/>
          </w:r>
          <w:r>
            <w:rPr>
              <w:rStyle w:val="15"/>
              <w:rFonts w:ascii="黑体" w:hAnsi="黑体" w:eastAsia="黑体"/>
              <w:sz w:val="20"/>
            </w:rPr>
            <w:t>xx</w:t>
          </w:r>
          <w:r>
            <w:rPr>
              <w:rStyle w:val="15"/>
              <w:rFonts w:hint="eastAsia" w:ascii="黑体" w:hAnsi="黑体" w:eastAsia="黑体"/>
              <w:sz w:val="20"/>
            </w:rPr>
            <w:t>有限公司重大事故隐患整改台帐（附录</w:t>
          </w:r>
          <w:r>
            <w:rPr>
              <w:rStyle w:val="15"/>
              <w:rFonts w:ascii="黑体" w:hAnsi="黑体" w:eastAsia="黑体"/>
              <w:sz w:val="20"/>
            </w:rPr>
            <w:t>B</w:t>
          </w:r>
          <w:r>
            <w:rPr>
              <w:rStyle w:val="15"/>
              <w:rFonts w:hint="eastAsia" w:ascii="黑体" w:hAnsi="黑体" w:eastAsia="黑体"/>
              <w:sz w:val="20"/>
            </w:rPr>
            <w:t>）</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_Toc11921494 \h </w:instrText>
          </w:r>
          <w:r>
            <w:rPr>
              <w:rFonts w:ascii="黑体" w:hAnsi="黑体" w:eastAsia="黑体"/>
              <w:sz w:val="20"/>
            </w:rPr>
            <w:fldChar w:fldCharType="separate"/>
          </w:r>
          <w:r>
            <w:rPr>
              <w:rFonts w:ascii="黑体" w:hAnsi="黑体" w:eastAsia="黑体"/>
              <w:sz w:val="20"/>
            </w:rPr>
            <w:t>58</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"_Toc11921495" </w:instrText>
          </w:r>
          <w:r>
            <w:fldChar w:fldCharType="separate"/>
          </w:r>
          <w:r>
            <w:rPr>
              <w:rStyle w:val="15"/>
              <w:rFonts w:ascii="黑体" w:hAnsi="黑体" w:eastAsia="黑体"/>
              <w:sz w:val="20"/>
            </w:rPr>
            <w:t>xx</w:t>
          </w:r>
          <w:r>
            <w:rPr>
              <w:rStyle w:val="15"/>
              <w:rFonts w:hint="eastAsia" w:ascii="黑体" w:hAnsi="黑体" w:eastAsia="黑体"/>
              <w:sz w:val="20"/>
            </w:rPr>
            <w:t>有限公司事故隐患整改通知单（附录</w:t>
          </w:r>
          <w:r>
            <w:rPr>
              <w:rStyle w:val="15"/>
              <w:rFonts w:ascii="黑体" w:hAnsi="黑体" w:eastAsia="黑体"/>
              <w:sz w:val="20"/>
            </w:rPr>
            <w:t>C</w:t>
          </w:r>
          <w:r>
            <w:rPr>
              <w:rStyle w:val="15"/>
              <w:rFonts w:hint="eastAsia" w:ascii="黑体" w:hAnsi="黑体" w:eastAsia="黑体"/>
              <w:sz w:val="20"/>
            </w:rPr>
            <w:t>）</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_Toc11921495 \h </w:instrText>
          </w:r>
          <w:r>
            <w:rPr>
              <w:rFonts w:ascii="黑体" w:hAnsi="黑体" w:eastAsia="黑体"/>
              <w:sz w:val="20"/>
            </w:rPr>
            <w:fldChar w:fldCharType="separate"/>
          </w:r>
          <w:r>
            <w:rPr>
              <w:rFonts w:ascii="黑体" w:hAnsi="黑体" w:eastAsia="黑体"/>
              <w:sz w:val="20"/>
            </w:rPr>
            <w:t>59</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"_Toc11921496" </w:instrText>
          </w:r>
          <w:r>
            <w:fldChar w:fldCharType="separate"/>
          </w:r>
          <w:r>
            <w:rPr>
              <w:rStyle w:val="15"/>
              <w:rFonts w:ascii="黑体" w:hAnsi="黑体" w:eastAsia="黑体"/>
              <w:sz w:val="20"/>
            </w:rPr>
            <w:t>xx</w:t>
          </w:r>
          <w:r>
            <w:rPr>
              <w:rStyle w:val="15"/>
              <w:rFonts w:hint="eastAsia" w:ascii="黑体" w:hAnsi="黑体" w:eastAsia="黑体"/>
              <w:sz w:val="20"/>
            </w:rPr>
            <w:t>有限公司隐患分析和现状评估报告（附录</w:t>
          </w:r>
          <w:r>
            <w:rPr>
              <w:rStyle w:val="15"/>
              <w:rFonts w:ascii="黑体" w:hAnsi="黑体" w:eastAsia="黑体"/>
              <w:sz w:val="20"/>
            </w:rPr>
            <w:t>D</w:t>
          </w:r>
          <w:r>
            <w:rPr>
              <w:rStyle w:val="15"/>
              <w:rFonts w:hint="eastAsia" w:ascii="黑体" w:hAnsi="黑体" w:eastAsia="黑体"/>
              <w:sz w:val="20"/>
            </w:rPr>
            <w:t>）</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_Toc11921496 \h </w:instrText>
          </w:r>
          <w:r>
            <w:rPr>
              <w:rFonts w:ascii="黑体" w:hAnsi="黑体" w:eastAsia="黑体"/>
              <w:sz w:val="20"/>
            </w:rPr>
            <w:fldChar w:fldCharType="separate"/>
          </w:r>
          <w:r>
            <w:rPr>
              <w:rFonts w:ascii="黑体" w:hAnsi="黑体" w:eastAsia="黑体"/>
              <w:sz w:val="20"/>
            </w:rPr>
            <w:t>60</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"_Toc11921497" </w:instrText>
          </w:r>
          <w:r>
            <w:fldChar w:fldCharType="separate"/>
          </w:r>
          <w:r>
            <w:rPr>
              <w:rStyle w:val="15"/>
              <w:rFonts w:hint="eastAsia" w:ascii="黑体" w:hAnsi="黑体" w:eastAsia="黑体"/>
              <w:sz w:val="20"/>
            </w:rPr>
            <w:t>设备设施安全隐患排查表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_Toc11921497 \h </w:instrText>
          </w:r>
          <w:r>
            <w:rPr>
              <w:rFonts w:ascii="黑体" w:hAnsi="黑体" w:eastAsia="黑体"/>
              <w:sz w:val="20"/>
            </w:rPr>
            <w:fldChar w:fldCharType="separate"/>
          </w:r>
          <w:r>
            <w:rPr>
              <w:rFonts w:ascii="黑体" w:hAnsi="黑体" w:eastAsia="黑体"/>
              <w:sz w:val="20"/>
            </w:rPr>
            <w:t>61</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"_Toc11921498" </w:instrText>
          </w:r>
          <w:r>
            <w:fldChar w:fldCharType="separate"/>
          </w:r>
          <w:r>
            <w:rPr>
              <w:rStyle w:val="15"/>
              <w:rFonts w:hint="eastAsia" w:ascii="黑体" w:hAnsi="黑体" w:eastAsia="黑体"/>
              <w:sz w:val="20"/>
            </w:rPr>
            <w:t>作业活动安全排查表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_Toc11921498 \h </w:instrText>
          </w:r>
          <w:r>
            <w:rPr>
              <w:rFonts w:ascii="黑体" w:hAnsi="黑体" w:eastAsia="黑体"/>
              <w:sz w:val="20"/>
            </w:rPr>
            <w:fldChar w:fldCharType="separate"/>
          </w:r>
          <w:r>
            <w:rPr>
              <w:rFonts w:ascii="黑体" w:hAnsi="黑体" w:eastAsia="黑体"/>
              <w:sz w:val="20"/>
            </w:rPr>
            <w:t>79</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"_Toc11921499" </w:instrText>
          </w:r>
          <w:r>
            <w:fldChar w:fldCharType="separate"/>
          </w:r>
          <w:r>
            <w:rPr>
              <w:rStyle w:val="15"/>
              <w:rFonts w:hint="eastAsia" w:ascii="黑体" w:hAnsi="黑体" w:eastAsia="黑体"/>
              <w:sz w:val="20"/>
            </w:rPr>
            <w:t>公司级安全检查表</w:t>
          </w:r>
          <w:r>
            <w:rPr>
              <w:rFonts w:ascii="黑体" w:hAnsi="黑体" w:eastAsia="黑体"/>
              <w:sz w:val="20"/>
            </w:rPr>
            <w:tab/>
          </w:r>
          <w:r>
            <w:rPr>
              <w:rFonts w:ascii="黑体" w:hAnsi="黑体" w:eastAsia="黑体"/>
              <w:sz w:val="20"/>
            </w:rPr>
            <w:t>110</w:t>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"_Toc11921500" </w:instrText>
          </w:r>
          <w:r>
            <w:fldChar w:fldCharType="separate"/>
          </w:r>
          <w:r>
            <w:rPr>
              <w:rStyle w:val="15"/>
              <w:rFonts w:hint="eastAsia" w:ascii="黑体" w:hAnsi="黑体" w:eastAsia="黑体"/>
              <w:sz w:val="20"/>
            </w:rPr>
            <w:t>车间级安全检查表</w:t>
          </w:r>
          <w:r>
            <w:rPr>
              <w:rFonts w:ascii="黑体" w:hAnsi="黑体" w:eastAsia="黑体"/>
              <w:sz w:val="20"/>
            </w:rPr>
            <w:tab/>
          </w:r>
          <w:r>
            <w:rPr>
              <w:rFonts w:ascii="黑体" w:hAnsi="黑体" w:eastAsia="黑体"/>
              <w:sz w:val="20"/>
            </w:rPr>
            <w:t>115</w:t>
          </w:r>
          <w:r>
            <w:rPr>
              <w:rFonts w:ascii="黑体" w:hAnsi="黑体" w:eastAsia="黑体"/>
              <w:sz w:val="20"/>
            </w:rPr>
            <w:fldChar w:fldCharType="end"/>
          </w:r>
        </w:p>
        <w:p>
          <w:pPr>
            <w:pStyle w:val="8"/>
            <w:tabs>
              <w:tab w:val="right" w:leader="dot" w:pos="8426"/>
            </w:tabs>
            <w:rPr>
              <w:sz w:val="16"/>
              <w:szCs w:val="22"/>
            </w:rPr>
          </w:pPr>
          <w:r>
            <w:fldChar w:fldCharType="begin"/>
          </w:r>
          <w:r>
            <w:instrText xml:space="preserve"> HYPERLINK \l "_Toc11921501" </w:instrText>
          </w:r>
          <w:r>
            <w:fldChar w:fldCharType="separate"/>
          </w:r>
          <w:r>
            <w:rPr>
              <w:rStyle w:val="15"/>
              <w:rFonts w:hint="eastAsia" w:ascii="黑体" w:hAnsi="黑体" w:eastAsia="黑体"/>
              <w:sz w:val="20"/>
            </w:rPr>
            <w:t>班组级安全检查表</w:t>
          </w:r>
          <w:r>
            <w:rPr>
              <w:rFonts w:ascii="黑体" w:hAnsi="黑体" w:eastAsia="黑体"/>
              <w:sz w:val="20"/>
            </w:rPr>
            <w:tab/>
          </w:r>
          <w:r>
            <w:rPr>
              <w:rFonts w:ascii="黑体" w:hAnsi="黑体" w:eastAsia="黑体"/>
              <w:sz w:val="20"/>
            </w:rPr>
            <w:t>119</w:t>
          </w:r>
          <w:r>
            <w:rPr>
              <w:rFonts w:ascii="黑体" w:hAnsi="黑体" w:eastAsia="黑体"/>
              <w:sz w:val="20"/>
            </w:rPr>
            <w:fldChar w:fldCharType="end"/>
          </w:r>
        </w:p>
        <w:p>
          <w:pPr>
            <w:rPr>
              <w:b/>
              <w:bCs/>
              <w:sz w:val="16"/>
              <w:lang w:val="zh-CN"/>
            </w:rPr>
          </w:pPr>
          <w:r>
            <w:rPr>
              <w:b/>
              <w:bCs/>
              <w:sz w:val="16"/>
              <w:lang w:val="zh-CN"/>
            </w:rPr>
            <w:fldChar w:fldCharType="end"/>
          </w:r>
        </w:p>
      </w:sdtContent>
    </w:sdt>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hint="eastAsia" w:ascii="Times New Roman" w:hAnsi="Times New Roman" w:eastAsia="华文中宋" w:cs="Times New Roman"/>
          <w:b/>
          <w:bCs/>
          <w:color w:val="000000"/>
          <w:sz w:val="22"/>
          <w:szCs w:val="32"/>
        </w:rPr>
      </w:pPr>
    </w:p>
    <w:p>
      <w:pPr>
        <w:rPr>
          <w:rFonts w:hint="eastAsia"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范围</w:t>
      </w:r>
    </w:p>
    <w:p>
      <w:pPr>
        <w:ind w:firstLine="420" w:firstLineChars="200"/>
        <w:rPr>
          <w:rFonts w:ascii="Times New Roman" w:hAnsi="Times New Roman" w:cs="Times New Roman"/>
          <w:szCs w:val="28"/>
        </w:rPr>
      </w:pPr>
      <w:r>
        <w:rPr>
          <w:rFonts w:ascii="Times New Roman" w:hAnsi="Times New Roman" w:cs="Times New Roman"/>
          <w:szCs w:val="28"/>
        </w:rPr>
        <w:t>本指导书规定了</w:t>
      </w:r>
      <w:r>
        <w:rPr>
          <w:rFonts w:hint="eastAsia" w:ascii="Times New Roman" w:hAnsi="Times New Roman" w:cs="Times New Roman"/>
          <w:szCs w:val="28"/>
        </w:rPr>
        <w:t>xx</w:t>
      </w:r>
      <w:r>
        <w:rPr>
          <w:rFonts w:ascii="Times New Roman" w:hAnsi="Times New Roman" w:cs="Times New Roman"/>
          <w:szCs w:val="28"/>
        </w:rPr>
        <w:t>有限公司风险分级管控体系和隐患排查治理体系建设的基本要求。</w:t>
      </w:r>
    </w:p>
    <w:p>
      <w:pPr>
        <w:ind w:firstLine="420" w:firstLineChars="200"/>
        <w:rPr>
          <w:rFonts w:ascii="Times New Roman" w:hAnsi="Times New Roman" w:cs="Times New Roman"/>
          <w:szCs w:val="28"/>
        </w:rPr>
      </w:pPr>
      <w:r>
        <w:rPr>
          <w:rFonts w:ascii="Times New Roman" w:hAnsi="Times New Roman" w:cs="Times New Roman"/>
          <w:szCs w:val="28"/>
        </w:rPr>
        <w:t>本指导书适用于指导</w:t>
      </w:r>
      <w:r>
        <w:rPr>
          <w:rFonts w:hint="eastAsia" w:ascii="Times New Roman" w:hAnsi="Times New Roman" w:cs="Times New Roman"/>
          <w:szCs w:val="28"/>
        </w:rPr>
        <w:t>xx</w:t>
      </w:r>
      <w:r>
        <w:rPr>
          <w:rFonts w:ascii="Times New Roman" w:hAnsi="Times New Roman" w:cs="Times New Roman"/>
          <w:szCs w:val="28"/>
        </w:rPr>
        <w:t>有限公司风险分级管控体系和隐患排查治理体系的开展。</w:t>
      </w:r>
    </w:p>
    <w:p>
      <w:pPr>
        <w:ind w:firstLine="420" w:firstLineChars="200"/>
        <w:rPr>
          <w:rFonts w:ascii="Times New Roman" w:hAnsi="Times New Roman" w:cs="Times New Roman"/>
          <w:szCs w:val="28"/>
        </w:rPr>
      </w:pP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引用文件</w:t>
      </w:r>
    </w:p>
    <w:p>
      <w:pPr>
        <w:rPr>
          <w:rFonts w:ascii="Times New Roman" w:hAnsi="Times New Roman" w:cs="Times New Roman"/>
          <w:szCs w:val="28"/>
        </w:rPr>
      </w:pPr>
      <w:r>
        <w:rPr>
          <w:rFonts w:ascii="Times New Roman" w:hAnsi="Times New Roman" w:cs="Times New Roman"/>
          <w:szCs w:val="28"/>
        </w:rPr>
        <w:t>《安全生产风险分级管控体系通则》</w:t>
      </w:r>
    </w:p>
    <w:p>
      <w:pPr>
        <w:rPr>
          <w:rFonts w:ascii="Times New Roman" w:hAnsi="Times New Roman" w:cs="Times New Roman"/>
          <w:szCs w:val="28"/>
        </w:rPr>
      </w:pPr>
      <w:r>
        <w:rPr>
          <w:rFonts w:ascii="Times New Roman" w:hAnsi="Times New Roman" w:cs="Times New Roman"/>
          <w:szCs w:val="28"/>
        </w:rPr>
        <w:t>《生产安全事故隐患排查治理体系通则</w:t>
      </w:r>
    </w:p>
    <w:p>
      <w:pPr>
        <w:rPr>
          <w:rFonts w:ascii="Times New Roman" w:hAnsi="Times New Roman" w:cs="Times New Roman"/>
          <w:szCs w:val="28"/>
        </w:rPr>
      </w:pPr>
      <w:r>
        <w:rPr>
          <w:rFonts w:ascii="Times New Roman" w:hAnsi="Times New Roman" w:cs="Times New Roman"/>
          <w:szCs w:val="28"/>
        </w:rPr>
        <w:t>《化工企业安全生产风险分级管控体系细则》</w:t>
      </w:r>
    </w:p>
    <w:p>
      <w:pPr>
        <w:rPr>
          <w:rFonts w:ascii="Times New Roman" w:hAnsi="Times New Roman" w:cs="Times New Roman"/>
          <w:szCs w:val="28"/>
        </w:rPr>
      </w:pPr>
      <w:r>
        <w:rPr>
          <w:rFonts w:hint="eastAsia" w:ascii="Times New Roman" w:hAnsi="Times New Roman" w:cs="Times New Roman"/>
          <w:szCs w:val="28"/>
        </w:rPr>
        <w:t>《生产安全事故隐患排查治理导则》</w:t>
      </w:r>
    </w:p>
    <w:p>
      <w:pPr>
        <w:adjustRightInd w:val="0"/>
        <w:snapToGrid w:val="0"/>
        <w:ind w:firstLine="420" w:firstLineChars="200"/>
        <w:rPr>
          <w:rFonts w:ascii="宋体" w:hAnsi="宋体"/>
          <w:szCs w:val="28"/>
        </w:rPr>
      </w:pPr>
      <w:r>
        <w:rPr>
          <w:rFonts w:hint="eastAsia" w:ascii="宋体" w:hAnsi="宋体"/>
          <w:szCs w:val="28"/>
        </w:rPr>
        <w:t>《</w:t>
      </w:r>
      <w:r>
        <w:rPr>
          <w:rFonts w:ascii="宋体" w:hAnsi="宋体"/>
          <w:szCs w:val="28"/>
        </w:rPr>
        <w:t>中华人民共和国安全生产法</w:t>
      </w:r>
      <w:r>
        <w:rPr>
          <w:rFonts w:hint="eastAsia" w:ascii="宋体" w:hAnsi="宋体"/>
          <w:szCs w:val="28"/>
        </w:rPr>
        <w:t>》</w:t>
      </w:r>
    </w:p>
    <w:p>
      <w:pPr>
        <w:adjustRightInd w:val="0"/>
        <w:snapToGrid w:val="0"/>
        <w:ind w:firstLine="420" w:firstLineChars="200"/>
        <w:rPr>
          <w:rFonts w:ascii="宋体" w:hAnsi="宋体"/>
          <w:szCs w:val="28"/>
        </w:rPr>
      </w:pPr>
      <w:r>
        <w:rPr>
          <w:rFonts w:hint="eastAsia" w:ascii="宋体" w:hAnsi="宋体"/>
          <w:szCs w:val="28"/>
        </w:rPr>
        <w:t>《中华人民共和国职业病防治法》</w:t>
      </w:r>
    </w:p>
    <w:p>
      <w:pPr>
        <w:adjustRightInd w:val="0"/>
        <w:snapToGrid w:val="0"/>
        <w:ind w:firstLine="420" w:firstLineChars="200"/>
        <w:rPr>
          <w:rFonts w:ascii="宋体" w:hAnsi="宋体"/>
          <w:szCs w:val="28"/>
        </w:rPr>
      </w:pPr>
      <w:r>
        <w:rPr>
          <w:rFonts w:hint="eastAsia" w:ascii="宋体" w:hAnsi="宋体"/>
          <w:szCs w:val="28"/>
        </w:rPr>
        <w:t>《中华人民共和国消防法》</w:t>
      </w:r>
    </w:p>
    <w:p>
      <w:pPr>
        <w:adjustRightInd w:val="0"/>
        <w:snapToGrid w:val="0"/>
        <w:ind w:firstLine="420" w:firstLineChars="200"/>
        <w:rPr>
          <w:rFonts w:ascii="宋体" w:hAnsi="宋体"/>
          <w:szCs w:val="28"/>
        </w:rPr>
      </w:pPr>
      <w:r>
        <w:rPr>
          <w:rFonts w:hint="eastAsia" w:ascii="宋体" w:hAnsi="宋体"/>
          <w:szCs w:val="28"/>
        </w:rPr>
        <w:t>《xx省安全生产条例》</w:t>
      </w:r>
    </w:p>
    <w:p>
      <w:pPr>
        <w:adjustRightInd w:val="0"/>
        <w:snapToGrid w:val="0"/>
        <w:ind w:firstLine="420" w:firstLineChars="200"/>
        <w:rPr>
          <w:rFonts w:ascii="宋体" w:hAnsi="宋体"/>
          <w:szCs w:val="28"/>
        </w:rPr>
      </w:pPr>
      <w:r>
        <w:rPr>
          <w:rFonts w:hint="eastAsia" w:ascii="宋体" w:hAnsi="宋体"/>
          <w:szCs w:val="28"/>
        </w:rPr>
        <w:t>《中华人民共和国特种设备安全法》</w:t>
      </w:r>
    </w:p>
    <w:p>
      <w:pPr>
        <w:adjustRightInd w:val="0"/>
        <w:snapToGrid w:val="0"/>
        <w:ind w:firstLine="420" w:firstLineChars="200"/>
        <w:rPr>
          <w:rFonts w:ascii="宋体" w:hAnsi="宋体"/>
          <w:szCs w:val="28"/>
        </w:rPr>
      </w:pPr>
      <w:r>
        <w:rPr>
          <w:rFonts w:hint="eastAsia" w:ascii="宋体" w:hAnsi="宋体"/>
          <w:szCs w:val="28"/>
        </w:rPr>
        <w:t>《xx省生产经营单位安全生产主体责任规定》</w:t>
      </w:r>
    </w:p>
    <w:p>
      <w:pPr>
        <w:adjustRightInd w:val="0"/>
        <w:snapToGrid w:val="0"/>
        <w:ind w:firstLine="420" w:firstLineChars="200"/>
        <w:rPr>
          <w:rFonts w:ascii="宋体" w:hAnsi="宋体"/>
          <w:szCs w:val="28"/>
        </w:rPr>
      </w:pPr>
      <w:r>
        <w:rPr>
          <w:rFonts w:hint="eastAsia" w:ascii="宋体" w:hAnsi="宋体"/>
          <w:szCs w:val="28"/>
        </w:rPr>
        <w:t>《xx省工业生产建设项目安全设施监督管理办法》</w:t>
      </w:r>
    </w:p>
    <w:p>
      <w:pPr>
        <w:adjustRightInd w:val="0"/>
        <w:snapToGrid w:val="0"/>
        <w:ind w:firstLine="420" w:firstLineChars="200"/>
        <w:rPr>
          <w:rFonts w:ascii="宋体" w:hAnsi="宋体"/>
          <w:szCs w:val="28"/>
        </w:rPr>
      </w:pPr>
      <w:r>
        <w:rPr>
          <w:rFonts w:hint="eastAsia" w:ascii="宋体" w:hAnsi="宋体"/>
          <w:szCs w:val="28"/>
        </w:rPr>
        <w:t>《企业伤亡事故分类》（GB6441）</w:t>
      </w:r>
    </w:p>
    <w:p>
      <w:pPr>
        <w:adjustRightInd w:val="0"/>
        <w:snapToGrid w:val="0"/>
        <w:ind w:firstLine="420" w:firstLineChars="200"/>
        <w:rPr>
          <w:rFonts w:ascii="宋体" w:hAnsi="宋体"/>
          <w:szCs w:val="28"/>
        </w:rPr>
      </w:pPr>
      <w:r>
        <w:rPr>
          <w:rFonts w:hint="eastAsia" w:ascii="宋体" w:hAnsi="宋体"/>
          <w:szCs w:val="28"/>
        </w:rPr>
        <w:t>《低压配电设计规范》（GB50054）</w:t>
      </w:r>
    </w:p>
    <w:p>
      <w:pPr>
        <w:adjustRightInd w:val="0"/>
        <w:snapToGrid w:val="0"/>
        <w:ind w:firstLine="420" w:firstLineChars="200"/>
        <w:rPr>
          <w:rFonts w:ascii="宋体" w:hAnsi="宋体"/>
          <w:szCs w:val="28"/>
        </w:rPr>
      </w:pPr>
      <w:r>
        <w:rPr>
          <w:rFonts w:hint="eastAsia" w:ascii="宋体" w:hAnsi="宋体"/>
          <w:szCs w:val="28"/>
        </w:rPr>
        <w:t>《生产过程危险和有害因素分类与代码》（GB/T 13861-2009）</w:t>
      </w:r>
    </w:p>
    <w:p>
      <w:pPr>
        <w:adjustRightInd w:val="0"/>
        <w:snapToGrid w:val="0"/>
        <w:ind w:firstLine="420" w:firstLineChars="200"/>
        <w:rPr>
          <w:rFonts w:ascii="宋体" w:hAnsi="宋体"/>
          <w:szCs w:val="28"/>
        </w:rPr>
      </w:pPr>
      <w:r>
        <w:rPr>
          <w:rFonts w:hint="eastAsia" w:ascii="宋体" w:hAnsi="宋体"/>
          <w:szCs w:val="28"/>
        </w:rPr>
        <w:t>《风险管理原则与实施指南》（GB/T 24353-2009）</w:t>
      </w:r>
    </w:p>
    <w:p>
      <w:pPr>
        <w:adjustRightInd w:val="0"/>
        <w:snapToGrid w:val="0"/>
        <w:ind w:firstLine="420" w:firstLineChars="200"/>
        <w:rPr>
          <w:rFonts w:ascii="宋体" w:hAnsi="宋体"/>
          <w:szCs w:val="28"/>
        </w:rPr>
      </w:pPr>
      <w:r>
        <w:rPr>
          <w:rFonts w:hint="eastAsia" w:ascii="宋体" w:hAnsi="宋体"/>
          <w:szCs w:val="28"/>
        </w:rPr>
        <w:t>《风险管理风险评估技术》（GB/T 27921-2011）</w:t>
      </w:r>
    </w:p>
    <w:p>
      <w:pPr>
        <w:adjustRightInd w:val="0"/>
        <w:snapToGrid w:val="0"/>
        <w:ind w:firstLine="420" w:firstLineChars="200"/>
        <w:rPr>
          <w:rFonts w:ascii="宋体" w:hAnsi="宋体"/>
          <w:szCs w:val="28"/>
        </w:rPr>
      </w:pPr>
      <w:r>
        <w:rPr>
          <w:rFonts w:hint="eastAsia" w:ascii="宋体" w:hAnsi="宋体"/>
          <w:szCs w:val="28"/>
        </w:rPr>
        <w:t>《企业安全生产标准化基本规范》（AQ/T 9006）</w:t>
      </w:r>
    </w:p>
    <w:p>
      <w:pPr>
        <w:adjustRightInd w:val="0"/>
        <w:snapToGrid w:val="0"/>
        <w:ind w:firstLine="420" w:firstLineChars="200"/>
        <w:rPr>
          <w:rFonts w:ascii="宋体" w:hAnsi="宋体"/>
          <w:szCs w:val="28"/>
        </w:rPr>
      </w:pPr>
      <w:r>
        <w:rPr>
          <w:rFonts w:hint="eastAsia" w:ascii="宋体" w:hAnsi="宋体"/>
          <w:szCs w:val="28"/>
        </w:rPr>
        <w:t>《生产安全风险分级管控体系通则》（DB/37）</w:t>
      </w:r>
    </w:p>
    <w:p>
      <w:pPr>
        <w:adjustRightInd w:val="0"/>
        <w:snapToGrid w:val="0"/>
        <w:ind w:firstLine="420" w:firstLineChars="200"/>
        <w:rPr>
          <w:rFonts w:ascii="宋体" w:hAnsi="宋体" w:cs="宋体"/>
          <w:szCs w:val="28"/>
        </w:rPr>
      </w:pPr>
      <w:r>
        <w:rPr>
          <w:rFonts w:hint="eastAsia" w:ascii="宋体" w:hAnsi="宋体" w:cs="宋体"/>
          <w:szCs w:val="28"/>
        </w:rPr>
        <w:t>《xx省危险化学品建设项目安全审查要点（试行）》</w:t>
      </w:r>
    </w:p>
    <w:p>
      <w:pPr>
        <w:adjustRightInd w:val="0"/>
        <w:snapToGrid w:val="0"/>
        <w:ind w:firstLine="420" w:firstLineChars="200"/>
        <w:rPr>
          <w:rFonts w:ascii="宋体" w:hAnsi="宋体" w:cs="宋体"/>
          <w:szCs w:val="28"/>
        </w:rPr>
      </w:pPr>
      <w:r>
        <w:rPr>
          <w:rFonts w:hint="eastAsia" w:ascii="宋体" w:hAnsi="宋体" w:cs="宋体"/>
          <w:szCs w:val="28"/>
        </w:rPr>
        <w:t>《危险化学品重大危险源辨识》（GB18218）</w:t>
      </w:r>
    </w:p>
    <w:p>
      <w:pPr>
        <w:adjustRightInd w:val="0"/>
        <w:snapToGrid w:val="0"/>
        <w:ind w:firstLine="420" w:firstLineChars="200"/>
        <w:rPr>
          <w:rFonts w:ascii="Times New Roman" w:hAnsi="Times New Roman" w:cs="Times New Roman"/>
          <w:szCs w:val="28"/>
        </w:rPr>
      </w:pPr>
    </w:p>
    <w:p>
      <w:pPr>
        <w:numPr>
          <w:ilvl w:val="0"/>
          <w:numId w:val="8"/>
        </w:numPr>
        <w:rPr>
          <w:rFonts w:ascii="Times New Roman" w:hAnsi="Times New Roman" w:cs="Times New Roman"/>
          <w:b/>
          <w:bCs/>
          <w:sz w:val="22"/>
          <w:szCs w:val="32"/>
        </w:rPr>
      </w:pPr>
      <w:bookmarkStart w:id="3" w:name="_Toc466564000"/>
      <w:bookmarkStart w:id="4" w:name="_Toc465773974"/>
      <w:bookmarkStart w:id="5" w:name="_Toc465773661"/>
      <w:bookmarkStart w:id="6" w:name="_Toc465773998"/>
      <w:r>
        <w:rPr>
          <w:rFonts w:ascii="Times New Roman" w:hAnsi="Times New Roman" w:cs="Times New Roman"/>
          <w:b/>
          <w:bCs/>
          <w:sz w:val="22"/>
          <w:szCs w:val="32"/>
        </w:rPr>
        <w:t>术语和定义</w:t>
      </w:r>
      <w:bookmarkEnd w:id="3"/>
      <w:bookmarkEnd w:id="4"/>
      <w:bookmarkEnd w:id="5"/>
      <w:bookmarkEnd w:id="6"/>
    </w:p>
    <w:p>
      <w:pPr>
        <w:rPr>
          <w:rFonts w:ascii="Times New Roman" w:hAnsi="Times New Roman" w:cs="Times New Roman"/>
          <w:szCs w:val="28"/>
        </w:rPr>
      </w:pPr>
      <w:r>
        <w:rPr>
          <w:rFonts w:ascii="Times New Roman" w:hAnsi="Times New Roman" w:cs="Times New Roman"/>
          <w:szCs w:val="28"/>
        </w:rPr>
        <w:t>3.1　风险　risk</w:t>
      </w:r>
    </w:p>
    <w:p>
      <w:pPr>
        <w:ind w:firstLine="420" w:firstLineChars="200"/>
        <w:rPr>
          <w:rFonts w:ascii="Times New Roman" w:hAnsi="Times New Roman" w:cs="Times New Roman"/>
          <w:szCs w:val="28"/>
        </w:rPr>
      </w:pPr>
      <w:r>
        <w:rPr>
          <w:rFonts w:ascii="Times New Roman" w:hAnsi="Times New Roman" w:cs="Times New Roman"/>
          <w:szCs w:val="28"/>
        </w:rPr>
        <w:t>生产安全事故或健康损害事件发生的可能性和严重性的组合。可能性，是指事故（事件）发生的概率。严重性，是指事故（事件）一旦发生后，将造成的人员伤害和经济损失的严重程度。风险=可能性×严重性。</w:t>
      </w:r>
    </w:p>
    <w:p>
      <w:pPr>
        <w:rPr>
          <w:rFonts w:ascii="Times New Roman" w:hAnsi="Times New Roman" w:cs="Times New Roman"/>
          <w:szCs w:val="28"/>
        </w:rPr>
      </w:pPr>
      <w:r>
        <w:rPr>
          <w:rFonts w:ascii="Times New Roman" w:hAnsi="Times New Roman" w:cs="Times New Roman"/>
          <w:szCs w:val="28"/>
        </w:rPr>
        <w:t>3.2　可接受风险　acceptable risk</w:t>
      </w:r>
    </w:p>
    <w:p>
      <w:pPr>
        <w:ind w:firstLine="420" w:firstLineChars="200"/>
        <w:rPr>
          <w:rFonts w:ascii="Times New Roman" w:hAnsi="Times New Roman" w:cs="Times New Roman"/>
          <w:szCs w:val="28"/>
        </w:rPr>
      </w:pPr>
      <w:r>
        <w:rPr>
          <w:rFonts w:ascii="Times New Roman" w:hAnsi="Times New Roman" w:cs="Times New Roman"/>
          <w:szCs w:val="28"/>
        </w:rPr>
        <w:t>根据企业法律义务和职业健康安全方针已被企业降至可容许程度的风险。</w:t>
      </w:r>
    </w:p>
    <w:p>
      <w:pPr>
        <w:rPr>
          <w:rFonts w:ascii="Times New Roman" w:hAnsi="Times New Roman" w:cs="Times New Roman"/>
          <w:szCs w:val="28"/>
        </w:rPr>
      </w:pPr>
      <w:r>
        <w:rPr>
          <w:rFonts w:ascii="Times New Roman" w:hAnsi="Times New Roman" w:cs="Times New Roman"/>
          <w:szCs w:val="28"/>
        </w:rPr>
        <w:t>3.3　重大风险　major risk</w:t>
      </w:r>
    </w:p>
    <w:p>
      <w:pPr>
        <w:ind w:firstLine="420" w:firstLineChars="200"/>
        <w:rPr>
          <w:rFonts w:ascii="Times New Roman" w:hAnsi="Times New Roman" w:cs="Times New Roman"/>
          <w:szCs w:val="28"/>
        </w:rPr>
      </w:pPr>
      <w:r>
        <w:rPr>
          <w:rFonts w:ascii="Times New Roman" w:hAnsi="Times New Roman" w:cs="Times New Roman"/>
          <w:szCs w:val="28"/>
        </w:rPr>
        <w:t>发生事故可能性与事故后果二者结合后风险值被认定为重大的风险类型。</w:t>
      </w:r>
    </w:p>
    <w:p>
      <w:pPr>
        <w:rPr>
          <w:rFonts w:ascii="Times New Roman" w:hAnsi="Times New Roman" w:cs="Times New Roman"/>
          <w:szCs w:val="28"/>
        </w:rPr>
      </w:pPr>
      <w:r>
        <w:rPr>
          <w:rFonts w:ascii="Times New Roman" w:hAnsi="Times New Roman" w:cs="Times New Roman"/>
          <w:szCs w:val="28"/>
        </w:rPr>
        <w:t>3.4  危险源　hazard</w:t>
      </w:r>
    </w:p>
    <w:p>
      <w:pPr>
        <w:ind w:firstLine="420" w:firstLineChars="200"/>
        <w:rPr>
          <w:rFonts w:ascii="Times New Roman" w:hAnsi="Times New Roman" w:cs="Times New Roman"/>
          <w:szCs w:val="28"/>
        </w:rPr>
      </w:pPr>
      <w:r>
        <w:rPr>
          <w:rFonts w:ascii="Times New Roman" w:hAnsi="Times New Roman" w:cs="Times New Roman"/>
          <w:szCs w:val="28"/>
        </w:rPr>
        <w:t>可能导致人身伤害和（或）健康损害和（或）财产损失的根源、状态或行为，或它们的组合。</w:t>
      </w:r>
    </w:p>
    <w:p>
      <w:pPr>
        <w:ind w:firstLine="420" w:firstLineChars="200"/>
        <w:rPr>
          <w:rFonts w:ascii="Times New Roman" w:hAnsi="Times New Roman" w:cs="Times New Roman"/>
          <w:szCs w:val="28"/>
        </w:rPr>
      </w:pPr>
      <w:r>
        <w:rPr>
          <w:rFonts w:ascii="Times New Roman" w:hAnsi="Times New Roman" w:cs="Times New Roman"/>
          <w:szCs w:val="28"/>
        </w:rPr>
        <w:t>在分析生产过程中对人造成伤亡、影响人的身体健康甚至导致疾病的因素时，危险源可称为危险有害因素，分为人的因素、物的因素、环境因素和管理因素四类。</w:t>
      </w:r>
    </w:p>
    <w:p>
      <w:pPr>
        <w:rPr>
          <w:rFonts w:ascii="Times New Roman" w:hAnsi="Times New Roman" w:cs="Times New Roman"/>
          <w:szCs w:val="28"/>
        </w:rPr>
      </w:pPr>
      <w:r>
        <w:rPr>
          <w:rFonts w:ascii="Times New Roman" w:hAnsi="Times New Roman" w:cs="Times New Roman"/>
          <w:szCs w:val="28"/>
        </w:rPr>
        <w:t>3.5　风险点　risk site</w:t>
      </w:r>
    </w:p>
    <w:p>
      <w:pPr>
        <w:ind w:firstLine="420" w:firstLineChars="200"/>
        <w:rPr>
          <w:rFonts w:ascii="Times New Roman" w:hAnsi="Times New Roman" w:cs="Times New Roman"/>
          <w:szCs w:val="28"/>
        </w:rPr>
      </w:pPr>
      <w:r>
        <w:rPr>
          <w:rFonts w:ascii="Times New Roman" w:hAnsi="Times New Roman" w:cs="Times New Roman"/>
          <w:szCs w:val="28"/>
        </w:rPr>
        <w:t>风险伴随的设施、部位、场所和区域，以及在设施、部位、场所和区域实施的伴随风险的作业活动，或以上两者的组合。</w:t>
      </w:r>
    </w:p>
    <w:p>
      <w:pPr>
        <w:rPr>
          <w:rFonts w:ascii="Times New Roman" w:hAnsi="Times New Roman" w:cs="Times New Roman"/>
          <w:szCs w:val="28"/>
        </w:rPr>
      </w:pPr>
      <w:r>
        <w:rPr>
          <w:rFonts w:ascii="Times New Roman" w:hAnsi="Times New Roman" w:cs="Times New Roman"/>
          <w:szCs w:val="28"/>
        </w:rPr>
        <w:t>3.6　危险源辨识　hazard identification</w:t>
      </w:r>
    </w:p>
    <w:p>
      <w:pPr>
        <w:ind w:firstLine="420" w:firstLineChars="200"/>
        <w:rPr>
          <w:rFonts w:ascii="Times New Roman" w:hAnsi="Times New Roman" w:cs="Times New Roman"/>
          <w:szCs w:val="28"/>
        </w:rPr>
      </w:pPr>
      <w:r>
        <w:rPr>
          <w:rFonts w:ascii="Times New Roman" w:hAnsi="Times New Roman" w:cs="Times New Roman"/>
          <w:szCs w:val="28"/>
        </w:rPr>
        <w:t>识别危险源的存在并确定其分布和特性的过程。</w:t>
      </w:r>
    </w:p>
    <w:p>
      <w:pPr>
        <w:rPr>
          <w:rFonts w:ascii="Times New Roman" w:hAnsi="Times New Roman" w:cs="Times New Roman"/>
          <w:szCs w:val="28"/>
        </w:rPr>
      </w:pPr>
      <w:r>
        <w:rPr>
          <w:rFonts w:ascii="Times New Roman" w:hAnsi="Times New Roman" w:cs="Times New Roman"/>
          <w:szCs w:val="28"/>
        </w:rPr>
        <w:t>3.7　风险评价　risk assessment</w:t>
      </w:r>
    </w:p>
    <w:p>
      <w:pPr>
        <w:ind w:firstLine="420" w:firstLineChars="200"/>
        <w:rPr>
          <w:rFonts w:ascii="Times New Roman" w:hAnsi="Times New Roman" w:cs="Times New Roman"/>
          <w:szCs w:val="28"/>
        </w:rPr>
      </w:pPr>
      <w:r>
        <w:rPr>
          <w:rFonts w:ascii="Times New Roman" w:hAnsi="Times New Roman" w:cs="Times New Roman"/>
          <w:szCs w:val="28"/>
        </w:rPr>
        <w:t>对危险源导致的风险进行分析、评估、分级，对现有控制措施的充分性加以考虑，以及对风险是否可接受予以确定的过程。</w:t>
      </w:r>
    </w:p>
    <w:p>
      <w:pPr>
        <w:rPr>
          <w:rFonts w:ascii="Times New Roman" w:hAnsi="Times New Roman" w:cs="Times New Roman"/>
          <w:szCs w:val="28"/>
        </w:rPr>
      </w:pPr>
      <w:r>
        <w:rPr>
          <w:rFonts w:ascii="Times New Roman" w:hAnsi="Times New Roman" w:cs="Times New Roman"/>
          <w:szCs w:val="28"/>
        </w:rPr>
        <w:t>3.8　风险分级　risk classification</w:t>
      </w:r>
    </w:p>
    <w:p>
      <w:pPr>
        <w:ind w:firstLine="420" w:firstLineChars="200"/>
        <w:rPr>
          <w:rFonts w:ascii="Times New Roman" w:hAnsi="Times New Roman" w:cs="Times New Roman"/>
          <w:szCs w:val="28"/>
        </w:rPr>
      </w:pPr>
      <w:r>
        <w:rPr>
          <w:rFonts w:ascii="Times New Roman" w:hAnsi="Times New Roman" w:cs="Times New Roman"/>
          <w:szCs w:val="28"/>
        </w:rPr>
        <w:t>通过采用科学、合理方法对危险源所伴随的风险进行定性或定量评价，根据评价结果划分等级。</w:t>
      </w:r>
    </w:p>
    <w:p>
      <w:pPr>
        <w:rPr>
          <w:rFonts w:ascii="Times New Roman" w:hAnsi="Times New Roman" w:cs="Times New Roman"/>
          <w:szCs w:val="28"/>
        </w:rPr>
      </w:pPr>
      <w:r>
        <w:rPr>
          <w:rFonts w:ascii="Times New Roman" w:hAnsi="Times New Roman" w:cs="Times New Roman"/>
          <w:szCs w:val="28"/>
        </w:rPr>
        <w:t>3.9　风险分级管控　risk classification management and control</w:t>
      </w:r>
    </w:p>
    <w:p>
      <w:pPr>
        <w:ind w:firstLine="420" w:firstLineChars="200"/>
        <w:rPr>
          <w:rFonts w:ascii="Times New Roman" w:hAnsi="Times New Roman" w:cs="Times New Roman"/>
          <w:szCs w:val="28"/>
        </w:rPr>
      </w:pPr>
      <w:r>
        <w:rPr>
          <w:rFonts w:ascii="Times New Roman" w:hAnsi="Times New Roman" w:cs="Times New Roman"/>
          <w:szCs w:val="28"/>
        </w:rPr>
        <w:t>按照风险不同级别、所需管控资源、管控能力、管控措施复杂及难易程度等因素而确定不同管控层级的风险管控方式。</w:t>
      </w:r>
    </w:p>
    <w:p>
      <w:pPr>
        <w:rPr>
          <w:rFonts w:ascii="Times New Roman" w:hAnsi="Times New Roman" w:cs="Times New Roman"/>
          <w:szCs w:val="28"/>
        </w:rPr>
      </w:pPr>
      <w:r>
        <w:rPr>
          <w:rFonts w:ascii="Times New Roman" w:hAnsi="Times New Roman" w:cs="Times New Roman"/>
          <w:szCs w:val="28"/>
        </w:rPr>
        <w:t>3.10　风险控制措施　risk control measure</w:t>
      </w:r>
    </w:p>
    <w:p>
      <w:pPr>
        <w:ind w:firstLine="420" w:firstLineChars="200"/>
        <w:rPr>
          <w:rFonts w:ascii="Times New Roman" w:hAnsi="Times New Roman" w:cs="Times New Roman"/>
          <w:szCs w:val="28"/>
        </w:rPr>
      </w:pPr>
      <w:r>
        <w:rPr>
          <w:rFonts w:ascii="Times New Roman" w:hAnsi="Times New Roman" w:cs="Times New Roman"/>
          <w:szCs w:val="28"/>
        </w:rPr>
        <w:t>企业为将风险降低至可接受程度，针对该风险而采取的相应控制方法和手段。</w:t>
      </w:r>
    </w:p>
    <w:p>
      <w:pPr>
        <w:rPr>
          <w:rFonts w:ascii="Times New Roman" w:hAnsi="Times New Roman" w:cs="Times New Roman"/>
          <w:szCs w:val="28"/>
        </w:rPr>
      </w:pPr>
      <w:r>
        <w:rPr>
          <w:rFonts w:ascii="Times New Roman" w:hAnsi="Times New Roman" w:cs="Times New Roman"/>
          <w:szCs w:val="28"/>
        </w:rPr>
        <w:t>3.11　风险信息　risk information</w:t>
      </w:r>
    </w:p>
    <w:p>
      <w:pPr>
        <w:ind w:firstLine="420" w:firstLineChars="200"/>
        <w:rPr>
          <w:rFonts w:ascii="Times New Roman" w:hAnsi="Times New Roman" w:cs="Times New Roman"/>
          <w:szCs w:val="28"/>
        </w:rPr>
      </w:pPr>
      <w:r>
        <w:rPr>
          <w:rFonts w:ascii="Times New Roman" w:hAnsi="Times New Roman" w:cs="Times New Roman"/>
          <w:szCs w:val="28"/>
        </w:rPr>
        <w:t>风险点名称、危险源名称、类型、所在位置、当前状态以及伴随风险大小、等级、所需管控措施、责任单位、责任人等一系列信息的综合。</w:t>
      </w:r>
    </w:p>
    <w:p>
      <w:pPr>
        <w:rPr>
          <w:rFonts w:ascii="Times New Roman" w:hAnsi="Times New Roman" w:cs="Times New Roman"/>
          <w:szCs w:val="28"/>
        </w:rPr>
      </w:pPr>
      <w:r>
        <w:rPr>
          <w:rFonts w:ascii="Times New Roman" w:hAnsi="Times New Roman" w:cs="Times New Roman"/>
          <w:szCs w:val="28"/>
        </w:rPr>
        <w:t>3.12　风险分级管控清单　risk classification control list</w:t>
      </w:r>
    </w:p>
    <w:p>
      <w:pPr>
        <w:ind w:firstLine="420" w:firstLineChars="200"/>
        <w:rPr>
          <w:rFonts w:ascii="Times New Roman" w:hAnsi="Times New Roman" w:cs="Times New Roman"/>
          <w:szCs w:val="28"/>
        </w:rPr>
      </w:pPr>
      <w:r>
        <w:rPr>
          <w:rFonts w:ascii="Times New Roman" w:hAnsi="Times New Roman" w:cs="Times New Roman"/>
          <w:szCs w:val="28"/>
        </w:rPr>
        <w:t>企业各类风险信息（3.11）的集合。</w:t>
      </w:r>
    </w:p>
    <w:p>
      <w:pPr>
        <w:ind w:firstLine="420" w:firstLineChars="200"/>
        <w:rPr>
          <w:rFonts w:ascii="Times New Roman" w:hAnsi="Times New Roman" w:cs="Times New Roman"/>
          <w:szCs w:val="28"/>
        </w:rPr>
      </w:pPr>
    </w:p>
    <w:p>
      <w:pPr>
        <w:numPr>
          <w:ilvl w:val="0"/>
          <w:numId w:val="8"/>
        </w:numPr>
        <w:rPr>
          <w:rFonts w:ascii="Times New Roman" w:hAnsi="Times New Roman" w:cs="Times New Roman"/>
          <w:b/>
          <w:bCs/>
          <w:sz w:val="22"/>
          <w:szCs w:val="32"/>
        </w:rPr>
      </w:pPr>
      <w:bookmarkStart w:id="7" w:name="_Toc2809"/>
      <w:bookmarkEnd w:id="7"/>
      <w:bookmarkStart w:id="8" w:name="_Toc483486531"/>
      <w:bookmarkStart w:id="9" w:name="_Toc483486621"/>
      <w:r>
        <w:rPr>
          <w:rFonts w:ascii="Times New Roman" w:hAnsi="Times New Roman" w:cs="Times New Roman"/>
          <w:b/>
          <w:bCs/>
          <w:sz w:val="22"/>
          <w:szCs w:val="32"/>
        </w:rPr>
        <w:t>成立组织机构</w:t>
      </w:r>
    </w:p>
    <w:p>
      <w:pPr>
        <w:ind w:firstLine="420" w:firstLineChars="200"/>
        <w:rPr>
          <w:rFonts w:ascii="Times New Roman" w:hAnsi="Times New Roman" w:cs="Times New Roman"/>
          <w:szCs w:val="28"/>
        </w:rPr>
      </w:pPr>
      <w:r>
        <w:rPr>
          <w:rFonts w:ascii="Times New Roman" w:hAnsi="Times New Roman" w:cs="Times New Roman"/>
          <w:szCs w:val="28"/>
        </w:rPr>
        <w:t>明确危险源辨识、风险评价和分级管控的主管部门，明确组织及成员职责、目标与任务。主要负责人应全面负责危险源辨识、风险评价和分级管控工作；</w:t>
      </w:r>
      <w:r>
        <w:rPr>
          <w:rFonts w:hint="eastAsia" w:ascii="Times New Roman" w:hAnsi="Times New Roman" w:cs="Times New Roman"/>
          <w:szCs w:val="28"/>
        </w:rPr>
        <w:t>部室</w:t>
      </w:r>
      <w:r>
        <w:rPr>
          <w:rFonts w:ascii="Times New Roman" w:hAnsi="Times New Roman" w:cs="Times New Roman"/>
          <w:szCs w:val="28"/>
        </w:rPr>
        <w:t>负责人应负责组织分管范围内的危险源辨识、风险评价和分级管控工作。组织成员应包括：生产系统各部室、车间单位领导、班组长、各岗位主要操作人员、工艺、设备、电气、仪表、安全、仓储、质检、人资、办公室、营销、采购、财务等专业技术人员组成。</w:t>
      </w:r>
    </w:p>
    <w:p>
      <w:pPr>
        <w:ind w:firstLine="420" w:firstLineChars="200"/>
        <w:rPr>
          <w:rFonts w:ascii="Times New Roman" w:hAnsi="Times New Roman" w:cs="Times New Roman"/>
          <w:szCs w:val="28"/>
        </w:rPr>
      </w:pP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实施全员培训</w:t>
      </w:r>
    </w:p>
    <w:p>
      <w:pPr>
        <w:ind w:firstLine="420" w:firstLineChars="200"/>
        <w:rPr>
          <w:rFonts w:ascii="Times New Roman" w:hAnsi="Times New Roman" w:cs="Times New Roman"/>
          <w:szCs w:val="28"/>
        </w:rPr>
      </w:pPr>
      <w:r>
        <w:rPr>
          <w:rFonts w:ascii="Times New Roman" w:hAnsi="Times New Roman" w:cs="Times New Roman"/>
          <w:szCs w:val="28"/>
        </w:rPr>
        <w:t>制定风险分级管控培训计划，分层次、分阶段培训学习，掌握危险源辨识、风险评价的方法，保留培训记录。</w:t>
      </w:r>
    </w:p>
    <w:p>
      <w:pPr>
        <w:ind w:firstLine="420" w:firstLineChars="200"/>
        <w:rPr>
          <w:rFonts w:ascii="Times New Roman" w:hAnsi="Times New Roman" w:cs="Times New Roman"/>
          <w:szCs w:val="28"/>
        </w:rPr>
      </w:pP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编写体系文件</w:t>
      </w:r>
    </w:p>
    <w:p>
      <w:pPr>
        <w:ind w:firstLine="420" w:firstLineChars="200"/>
        <w:rPr>
          <w:rFonts w:ascii="Times New Roman" w:hAnsi="Times New Roman" w:cs="Times New Roman"/>
          <w:szCs w:val="28"/>
        </w:rPr>
      </w:pPr>
      <w:r>
        <w:rPr>
          <w:rFonts w:ascii="Times New Roman" w:hAnsi="Times New Roman" w:cs="Times New Roman"/>
          <w:szCs w:val="28"/>
        </w:rPr>
        <w:t>建立风险管控制度，编制危险源辨识、风险评价作业指导书、风险点清单、作业活动清单、设备设施清单、工作危害分析（JHA）评价记录、安全检查表分析（SCL）评价记录、风险分级管控清单、危险源统计表等有关记录文件。</w:t>
      </w:r>
    </w:p>
    <w:p>
      <w:pPr>
        <w:ind w:firstLine="420" w:firstLineChars="200"/>
        <w:rPr>
          <w:rFonts w:ascii="Times New Roman" w:hAnsi="Times New Roman" w:cs="Times New Roman"/>
          <w:szCs w:val="28"/>
        </w:rPr>
      </w:pP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风险识别评价</w:t>
      </w:r>
    </w:p>
    <w:p>
      <w:pPr>
        <w:rPr>
          <w:rFonts w:ascii="Times New Roman" w:hAnsi="Times New Roman" w:cs="Times New Roman"/>
          <w:b/>
          <w:bCs/>
          <w:sz w:val="22"/>
          <w:szCs w:val="32"/>
        </w:rPr>
      </w:pPr>
      <w:r>
        <w:rPr>
          <w:rFonts w:hint="eastAsia" w:ascii="Times New Roman" w:hAnsi="Times New Roman" w:cs="Times New Roman"/>
          <w:b/>
          <w:bCs/>
          <w:sz w:val="22"/>
          <w:szCs w:val="32"/>
        </w:rPr>
        <w:t>7</w:t>
      </w:r>
      <w:r>
        <w:rPr>
          <w:rFonts w:ascii="Times New Roman" w:hAnsi="Times New Roman" w:cs="Times New Roman"/>
          <w:b/>
          <w:bCs/>
          <w:sz w:val="22"/>
          <w:szCs w:val="32"/>
        </w:rPr>
        <w:t>.1　风险点确定</w:t>
      </w:r>
    </w:p>
    <w:p>
      <w:pPr>
        <w:rPr>
          <w:rFonts w:ascii="Times New Roman" w:hAnsi="Times New Roman" w:cs="Times New Roman"/>
          <w:b/>
          <w:bCs/>
          <w:sz w:val="22"/>
          <w:szCs w:val="32"/>
        </w:rPr>
      </w:pPr>
      <w:r>
        <w:rPr>
          <w:rFonts w:hint="eastAsia" w:ascii="Times New Roman" w:hAnsi="Times New Roman" w:cs="Times New Roman"/>
          <w:b/>
          <w:bCs/>
          <w:sz w:val="22"/>
          <w:szCs w:val="32"/>
        </w:rPr>
        <w:t>7</w:t>
      </w:r>
      <w:r>
        <w:rPr>
          <w:rFonts w:ascii="Times New Roman" w:hAnsi="Times New Roman" w:cs="Times New Roman"/>
          <w:b/>
          <w:bCs/>
          <w:sz w:val="22"/>
          <w:szCs w:val="32"/>
        </w:rPr>
        <w:t>.1.1　风险点划分原则</w:t>
      </w:r>
    </w:p>
    <w:p>
      <w:pPr>
        <w:ind w:firstLine="420" w:firstLineChars="200"/>
        <w:rPr>
          <w:rFonts w:ascii="Times New Roman" w:hAnsi="Times New Roman" w:cs="Times New Roman"/>
          <w:szCs w:val="28"/>
        </w:rPr>
      </w:pPr>
      <w:r>
        <w:rPr>
          <w:rFonts w:ascii="Times New Roman" w:hAnsi="Times New Roman" w:cs="Times New Roman"/>
          <w:szCs w:val="28"/>
        </w:rPr>
        <w:t>对化工装置风险点的划分，应遵循大小适中、便于分类、功能独立、易于管理、范围清晰的原则，可按照生产装置、储存罐区、装卸站台、作业场所等功能分区进行。</w:t>
      </w:r>
    </w:p>
    <w:p>
      <w:pPr>
        <w:ind w:firstLine="420" w:firstLineChars="200"/>
        <w:rPr>
          <w:rFonts w:ascii="Times New Roman" w:hAnsi="Times New Roman" w:cs="Times New Roman"/>
          <w:szCs w:val="28"/>
        </w:rPr>
      </w:pPr>
      <w:r>
        <w:rPr>
          <w:rFonts w:ascii="Times New Roman" w:hAnsi="Times New Roman" w:cs="Times New Roman"/>
          <w:szCs w:val="28"/>
        </w:rPr>
        <w:t>对操作及作业活动等风险点的划分，应当涵盖生产经营全过程所有常规和非常规状态的作业活动。对于系统或大型机组开、停车，检维修，动火、受限空间等操作难度大、技术含量高、风险等级高、可能导致严重后果的作业活动应进行重点考虑。</w:t>
      </w:r>
    </w:p>
    <w:p>
      <w:pPr>
        <w:rPr>
          <w:rFonts w:ascii="Times New Roman" w:hAnsi="Times New Roman" w:cs="Times New Roman"/>
          <w:b/>
          <w:bCs/>
          <w:sz w:val="22"/>
          <w:szCs w:val="32"/>
        </w:rPr>
      </w:pPr>
      <w:r>
        <w:rPr>
          <w:rFonts w:hint="eastAsia" w:ascii="Times New Roman" w:hAnsi="Times New Roman" w:cs="Times New Roman"/>
          <w:b/>
          <w:bCs/>
          <w:sz w:val="22"/>
          <w:szCs w:val="32"/>
        </w:rPr>
        <w:t>7</w:t>
      </w:r>
      <w:r>
        <w:rPr>
          <w:rFonts w:ascii="Times New Roman" w:hAnsi="Times New Roman" w:cs="Times New Roman"/>
          <w:b/>
          <w:bCs/>
          <w:sz w:val="22"/>
          <w:szCs w:val="32"/>
        </w:rPr>
        <w:t>.1.2　风险点排查</w:t>
      </w:r>
    </w:p>
    <w:p>
      <w:pPr>
        <w:ind w:firstLine="420" w:firstLineChars="200"/>
        <w:rPr>
          <w:rFonts w:ascii="Times New Roman" w:hAnsi="Times New Roman" w:cs="Times New Roman"/>
          <w:szCs w:val="28"/>
        </w:rPr>
      </w:pPr>
      <w:r>
        <w:rPr>
          <w:rFonts w:ascii="Times New Roman" w:hAnsi="Times New Roman" w:cs="Times New Roman"/>
          <w:szCs w:val="28"/>
        </w:rPr>
        <w:t>应组织对</w:t>
      </w:r>
      <w:r>
        <w:rPr>
          <w:rFonts w:hint="eastAsia" w:ascii="Times New Roman" w:hAnsi="Times New Roman" w:cs="Times New Roman"/>
          <w:szCs w:val="28"/>
        </w:rPr>
        <w:t>本单位</w:t>
      </w:r>
      <w:r>
        <w:rPr>
          <w:rFonts w:ascii="Times New Roman" w:hAnsi="Times New Roman" w:cs="Times New Roman"/>
          <w:szCs w:val="28"/>
        </w:rPr>
        <w:t>全过程进行风险点排查，形成包括风险点名称、区域位置、可能导致事故类型等内容的基本信息，并建立《风险点登记台账》（参见附录A.1），为下一步进行风险分析做好准备。</w:t>
      </w:r>
    </w:p>
    <w:p>
      <w:pPr>
        <w:ind w:firstLine="420" w:firstLineChars="200"/>
        <w:rPr>
          <w:rFonts w:ascii="Times New Roman" w:hAnsi="Times New Roman" w:cs="Times New Roman"/>
          <w:szCs w:val="28"/>
        </w:rPr>
      </w:pPr>
      <w:r>
        <w:rPr>
          <w:rFonts w:ascii="Times New Roman" w:hAnsi="Times New Roman" w:cs="Times New Roman"/>
          <w:szCs w:val="28"/>
        </w:rPr>
        <w:t>风险点排查应按生产（工作）流程的阶段、场所、装置、设施、作业活动或上述几种方法的结合等进行。</w:t>
      </w: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危险源辨识分析</w:t>
      </w:r>
    </w:p>
    <w:p>
      <w:pPr>
        <w:rPr>
          <w:rFonts w:ascii="Times New Roman" w:hAnsi="Times New Roman" w:cs="Times New Roman"/>
          <w:b/>
          <w:bCs/>
          <w:sz w:val="22"/>
          <w:szCs w:val="32"/>
        </w:rPr>
      </w:pPr>
      <w:r>
        <w:rPr>
          <w:rFonts w:hint="eastAsia" w:ascii="Times New Roman" w:hAnsi="Times New Roman" w:cs="Times New Roman"/>
          <w:b/>
          <w:bCs/>
          <w:sz w:val="22"/>
          <w:szCs w:val="32"/>
        </w:rPr>
        <w:t>8.</w:t>
      </w:r>
      <w:r>
        <w:rPr>
          <w:rFonts w:ascii="Times New Roman" w:hAnsi="Times New Roman" w:cs="Times New Roman"/>
          <w:b/>
          <w:bCs/>
          <w:sz w:val="22"/>
          <w:szCs w:val="32"/>
        </w:rPr>
        <w:t>1　危险源辨识</w:t>
      </w:r>
    </w:p>
    <w:p>
      <w:pPr>
        <w:ind w:firstLine="420" w:firstLineChars="200"/>
        <w:rPr>
          <w:rFonts w:ascii="Times New Roman" w:hAnsi="Times New Roman" w:cs="Times New Roman"/>
          <w:szCs w:val="28"/>
        </w:rPr>
      </w:pPr>
      <w:r>
        <w:rPr>
          <w:rFonts w:ascii="Times New Roman" w:hAnsi="Times New Roman" w:cs="Times New Roman"/>
          <w:szCs w:val="28"/>
        </w:rPr>
        <w:t>危险源辨识应覆盖风险点内全部设备设施和作业活动，建立《作业活动清单》（参见附录A.2）及《设备设施清单》（参见附录A.3）。宜采用以下几种常用辨识方法：</w:t>
      </w:r>
    </w:p>
    <w:p>
      <w:pPr>
        <w:ind w:firstLine="420" w:firstLineChars="200"/>
        <w:rPr>
          <w:rFonts w:ascii="Times New Roman" w:hAnsi="Times New Roman" w:cs="Times New Roman"/>
          <w:szCs w:val="28"/>
        </w:rPr>
      </w:pPr>
      <w:r>
        <w:rPr>
          <w:rFonts w:ascii="Times New Roman" w:hAnsi="Times New Roman" w:cs="Times New Roman"/>
          <w:szCs w:val="28"/>
        </w:rPr>
        <w:t>——对于作业活动，宜采用工作危害分析法（简称JHA）进行辨识，分析步骤和要求参见附录B；</w:t>
      </w:r>
    </w:p>
    <w:p>
      <w:pPr>
        <w:ind w:firstLine="420" w:firstLineChars="200"/>
        <w:rPr>
          <w:rFonts w:ascii="Times New Roman" w:hAnsi="Times New Roman" w:cs="Times New Roman"/>
          <w:szCs w:val="28"/>
        </w:rPr>
      </w:pPr>
      <w:r>
        <w:rPr>
          <w:rFonts w:ascii="Times New Roman" w:hAnsi="Times New Roman" w:cs="Times New Roman"/>
          <w:szCs w:val="28"/>
        </w:rPr>
        <w:t>——对于设备设施，宜采用安全检查表法（简称SCL）进行辨识，分析步骤和要求参见附录C；</w:t>
      </w:r>
    </w:p>
    <w:p>
      <w:pPr>
        <w:ind w:firstLine="420" w:firstLineChars="200"/>
        <w:rPr>
          <w:rFonts w:ascii="Times New Roman" w:hAnsi="Times New Roman" w:cs="Times New Roman"/>
          <w:szCs w:val="28"/>
        </w:rPr>
      </w:pPr>
      <w:r>
        <w:rPr>
          <w:rFonts w:ascii="Times New Roman" w:hAnsi="Times New Roman" w:cs="Times New Roman"/>
          <w:szCs w:val="28"/>
        </w:rPr>
        <w:t>——对于复杂的化工工艺，应采用危险与可操作性分析法（简称HAZOP）等方法进行辨识。</w:t>
      </w:r>
    </w:p>
    <w:p>
      <w:pPr>
        <w:rPr>
          <w:rFonts w:ascii="Times New Roman" w:hAnsi="Times New Roman" w:cs="Times New Roman"/>
          <w:b/>
          <w:bCs/>
          <w:sz w:val="22"/>
          <w:szCs w:val="32"/>
        </w:rPr>
      </w:pPr>
      <w:r>
        <w:rPr>
          <w:rFonts w:hint="eastAsia" w:ascii="Times New Roman" w:hAnsi="Times New Roman" w:cs="Times New Roman"/>
          <w:b/>
          <w:bCs/>
          <w:sz w:val="22"/>
          <w:szCs w:val="32"/>
        </w:rPr>
        <w:t>8</w:t>
      </w:r>
      <w:r>
        <w:rPr>
          <w:rFonts w:ascii="Times New Roman" w:hAnsi="Times New Roman" w:cs="Times New Roman"/>
          <w:b/>
          <w:bCs/>
          <w:sz w:val="22"/>
          <w:szCs w:val="32"/>
        </w:rPr>
        <w:t>.2　危险源辨识范围</w:t>
      </w:r>
    </w:p>
    <w:p>
      <w:pPr>
        <w:ind w:firstLine="420" w:firstLineChars="200"/>
        <w:rPr>
          <w:rFonts w:ascii="Times New Roman" w:hAnsi="Times New Roman" w:cs="Times New Roman"/>
          <w:szCs w:val="28"/>
        </w:rPr>
      </w:pPr>
      <w:r>
        <w:rPr>
          <w:rFonts w:ascii="Times New Roman" w:hAnsi="Times New Roman" w:cs="Times New Roman"/>
          <w:szCs w:val="28"/>
        </w:rPr>
        <w:t>危险源辨识范围应包括：</w:t>
      </w:r>
    </w:p>
    <w:p>
      <w:pPr>
        <w:ind w:firstLine="420" w:firstLineChars="200"/>
        <w:rPr>
          <w:rFonts w:ascii="Times New Roman" w:hAnsi="Times New Roman" w:cs="Times New Roman"/>
          <w:szCs w:val="28"/>
        </w:rPr>
      </w:pPr>
      <w:r>
        <w:rPr>
          <w:rFonts w:ascii="Times New Roman" w:hAnsi="Times New Roman" w:cs="Times New Roman"/>
          <w:szCs w:val="28"/>
        </w:rPr>
        <w:t>——规划、设计、建设、投产、运行等阶段；</w:t>
      </w:r>
    </w:p>
    <w:p>
      <w:pPr>
        <w:ind w:firstLine="420" w:firstLineChars="200"/>
        <w:rPr>
          <w:rFonts w:ascii="Times New Roman" w:hAnsi="Times New Roman" w:cs="Times New Roman"/>
          <w:szCs w:val="28"/>
        </w:rPr>
      </w:pPr>
      <w:r>
        <w:rPr>
          <w:rFonts w:ascii="Times New Roman" w:hAnsi="Times New Roman" w:cs="Times New Roman"/>
          <w:szCs w:val="28"/>
        </w:rPr>
        <w:t>——常规和非常规作业活动；</w:t>
      </w:r>
    </w:p>
    <w:p>
      <w:pPr>
        <w:ind w:firstLine="420" w:firstLineChars="200"/>
        <w:rPr>
          <w:rFonts w:ascii="Times New Roman" w:hAnsi="Times New Roman" w:cs="Times New Roman"/>
          <w:szCs w:val="28"/>
        </w:rPr>
      </w:pPr>
      <w:r>
        <w:rPr>
          <w:rFonts w:ascii="Times New Roman" w:hAnsi="Times New Roman" w:cs="Times New Roman"/>
          <w:szCs w:val="28"/>
        </w:rPr>
        <w:t>——事故及潜在的紧急情况；</w:t>
      </w:r>
    </w:p>
    <w:p>
      <w:pPr>
        <w:ind w:firstLine="420" w:firstLineChars="200"/>
        <w:rPr>
          <w:rFonts w:ascii="Times New Roman" w:hAnsi="Times New Roman" w:cs="Times New Roman"/>
          <w:szCs w:val="28"/>
        </w:rPr>
      </w:pPr>
      <w:r>
        <w:rPr>
          <w:rFonts w:ascii="Times New Roman" w:hAnsi="Times New Roman" w:cs="Times New Roman"/>
          <w:szCs w:val="28"/>
        </w:rPr>
        <w:t>——所有进入作业场所人员的活动；</w:t>
      </w:r>
    </w:p>
    <w:p>
      <w:pPr>
        <w:ind w:firstLine="420" w:firstLineChars="200"/>
        <w:rPr>
          <w:rFonts w:ascii="Times New Roman" w:hAnsi="Times New Roman" w:cs="Times New Roman"/>
          <w:szCs w:val="28"/>
        </w:rPr>
      </w:pPr>
      <w:r>
        <w:rPr>
          <w:rFonts w:ascii="Times New Roman" w:hAnsi="Times New Roman" w:cs="Times New Roman"/>
          <w:szCs w:val="28"/>
        </w:rPr>
        <w:t>——原材料、产品的运输和使用过程；</w:t>
      </w:r>
    </w:p>
    <w:p>
      <w:pPr>
        <w:ind w:firstLine="420" w:firstLineChars="200"/>
        <w:rPr>
          <w:rFonts w:ascii="Times New Roman" w:hAnsi="Times New Roman" w:cs="Times New Roman"/>
          <w:szCs w:val="28"/>
        </w:rPr>
      </w:pPr>
      <w:r>
        <w:rPr>
          <w:rFonts w:ascii="Times New Roman" w:hAnsi="Times New Roman" w:cs="Times New Roman"/>
          <w:szCs w:val="28"/>
        </w:rPr>
        <w:t>——作业场所的设施、设备、车辆、安全防护用品；</w:t>
      </w:r>
    </w:p>
    <w:p>
      <w:pPr>
        <w:ind w:firstLine="420" w:firstLineChars="200"/>
        <w:rPr>
          <w:rFonts w:ascii="Times New Roman" w:hAnsi="Times New Roman" w:cs="Times New Roman"/>
          <w:szCs w:val="28"/>
        </w:rPr>
      </w:pPr>
      <w:r>
        <w:rPr>
          <w:rFonts w:ascii="Times New Roman" w:hAnsi="Times New Roman" w:cs="Times New Roman"/>
          <w:szCs w:val="28"/>
        </w:rPr>
        <w:t>——工艺、设备、管理、人员等变更；</w:t>
      </w:r>
    </w:p>
    <w:p>
      <w:pPr>
        <w:ind w:firstLine="420" w:firstLineChars="200"/>
        <w:rPr>
          <w:rFonts w:ascii="Times New Roman" w:hAnsi="Times New Roman" w:cs="Times New Roman"/>
          <w:szCs w:val="28"/>
        </w:rPr>
      </w:pPr>
      <w:r>
        <w:rPr>
          <w:rFonts w:ascii="Times New Roman" w:hAnsi="Times New Roman" w:cs="Times New Roman"/>
          <w:szCs w:val="28"/>
        </w:rPr>
        <w:t>——丢弃、废弃、拆除与处置；</w:t>
      </w:r>
    </w:p>
    <w:p>
      <w:pPr>
        <w:ind w:firstLine="420" w:firstLineChars="200"/>
        <w:rPr>
          <w:rFonts w:ascii="Times New Roman" w:hAnsi="Times New Roman" w:cs="Times New Roman"/>
          <w:szCs w:val="28"/>
        </w:rPr>
      </w:pPr>
      <w:r>
        <w:rPr>
          <w:rFonts w:ascii="Times New Roman" w:hAnsi="Times New Roman" w:cs="Times New Roman"/>
          <w:szCs w:val="28"/>
        </w:rPr>
        <w:t>——气候、地质及环境影响等。</w:t>
      </w:r>
    </w:p>
    <w:p>
      <w:pPr>
        <w:rPr>
          <w:rFonts w:ascii="Times New Roman" w:hAnsi="Times New Roman" w:cs="Times New Roman"/>
          <w:b/>
          <w:bCs/>
          <w:sz w:val="22"/>
          <w:szCs w:val="32"/>
        </w:rPr>
      </w:pPr>
      <w:r>
        <w:rPr>
          <w:rFonts w:hint="eastAsia" w:ascii="Times New Roman" w:hAnsi="Times New Roman" w:cs="Times New Roman"/>
          <w:b/>
          <w:bCs/>
          <w:sz w:val="22"/>
          <w:szCs w:val="32"/>
        </w:rPr>
        <w:t>8</w:t>
      </w:r>
      <w:r>
        <w:rPr>
          <w:rFonts w:ascii="Times New Roman" w:hAnsi="Times New Roman" w:cs="Times New Roman"/>
          <w:b/>
          <w:bCs/>
          <w:sz w:val="22"/>
          <w:szCs w:val="32"/>
        </w:rPr>
        <w:t>.3　危险源辨识实施</w:t>
      </w:r>
    </w:p>
    <w:p>
      <w:pPr>
        <w:ind w:firstLine="420" w:firstLineChars="200"/>
        <w:rPr>
          <w:rFonts w:ascii="Times New Roman" w:hAnsi="Times New Roman" w:cs="Times New Roman"/>
          <w:szCs w:val="28"/>
        </w:rPr>
      </w:pPr>
      <w:r>
        <w:rPr>
          <w:rFonts w:ascii="Times New Roman" w:hAnsi="Times New Roman" w:cs="Times New Roman"/>
          <w:szCs w:val="28"/>
        </w:rPr>
        <w:t>对潜在的人的不安全行为、物的不安全状态、环境缺陷和管理缺陷等危害因素进行辨识，充分考虑危害因素的根源和性质。</w:t>
      </w:r>
    </w:p>
    <w:p>
      <w:pPr>
        <w:ind w:firstLine="420" w:firstLineChars="200"/>
        <w:rPr>
          <w:rFonts w:ascii="Times New Roman" w:hAnsi="Times New Roman" w:cs="Times New Roman"/>
          <w:szCs w:val="28"/>
        </w:rPr>
      </w:pPr>
      <w:r>
        <w:rPr>
          <w:rFonts w:ascii="Times New Roman" w:hAnsi="Times New Roman" w:cs="Times New Roman"/>
          <w:szCs w:val="28"/>
        </w:rPr>
        <w:t>辨识危险源也可以从能量和物质的角度进行提示。其中从能量的角度可以考虑机械能、电能、化学能、热能和辐射能等。</w:t>
      </w:r>
    </w:p>
    <w:p>
      <w:pPr>
        <w:ind w:firstLine="420" w:firstLineChars="200"/>
        <w:rPr>
          <w:rFonts w:ascii="Times New Roman" w:hAnsi="Times New Roman" w:cs="Times New Roman"/>
          <w:szCs w:val="28"/>
        </w:rPr>
      </w:pP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风险控制措施</w:t>
      </w:r>
    </w:p>
    <w:p>
      <w:pPr>
        <w:ind w:firstLine="420" w:firstLineChars="200"/>
        <w:rPr>
          <w:rFonts w:ascii="Times New Roman" w:hAnsi="Times New Roman" w:cs="Times New Roman"/>
          <w:szCs w:val="28"/>
        </w:rPr>
      </w:pPr>
      <w:r>
        <w:rPr>
          <w:rFonts w:ascii="Times New Roman" w:hAnsi="Times New Roman" w:cs="Times New Roman"/>
          <w:szCs w:val="28"/>
        </w:rPr>
        <w:t>应依据DB37/T 2882—2016规定的风险控制措施类别和基本原则，并结合化工生产特点分析制定风险控制措施。</w:t>
      </w:r>
    </w:p>
    <w:p>
      <w:pPr>
        <w:ind w:firstLine="420" w:firstLineChars="200"/>
        <w:rPr>
          <w:rFonts w:ascii="Times New Roman" w:hAnsi="Times New Roman" w:cs="Times New Roman"/>
          <w:szCs w:val="28"/>
        </w:rPr>
      </w:pPr>
      <w:r>
        <w:rPr>
          <w:rFonts w:ascii="Times New Roman" w:hAnsi="Times New Roman" w:cs="Times New Roman"/>
          <w:szCs w:val="28"/>
        </w:rPr>
        <w:t>风险控制措施应从工程技术（或工程控制）措施、管理措施、培训教育、个体防护、应急处置等方面识别并评估现有控制措施的有效性。现有控制措施不足以控制此项风险，应提出建议或改进的控制措施。</w:t>
      </w:r>
    </w:p>
    <w:p>
      <w:pPr>
        <w:ind w:firstLine="420" w:firstLineChars="200"/>
        <w:rPr>
          <w:rFonts w:ascii="Times New Roman" w:hAnsi="Times New Roman" w:cs="Times New Roman"/>
          <w:szCs w:val="28"/>
        </w:rPr>
      </w:pPr>
      <w:r>
        <w:rPr>
          <w:rFonts w:ascii="Times New Roman" w:hAnsi="Times New Roman" w:cs="Times New Roman"/>
          <w:szCs w:val="28"/>
        </w:rPr>
        <w:t>风险控制措施应考虑可行性、可靠性、先进性、安全性、经济合理性、经营运行情况及可靠的技术保证。</w:t>
      </w:r>
    </w:p>
    <w:p>
      <w:pPr>
        <w:ind w:firstLine="420" w:firstLineChars="200"/>
        <w:rPr>
          <w:rFonts w:ascii="Times New Roman" w:hAnsi="Times New Roman" w:cs="Times New Roman"/>
          <w:szCs w:val="28"/>
        </w:rPr>
      </w:pPr>
      <w:r>
        <w:rPr>
          <w:rFonts w:ascii="Times New Roman" w:hAnsi="Times New Roman" w:cs="Times New Roman"/>
          <w:szCs w:val="28"/>
        </w:rPr>
        <w:t>设备设施类危险源的控制措施应包括：报警、联锁、安全阀、液位、温度、压力等工艺设备本身带有的控制措施和消防、检查、检验等常规的管理措施。</w:t>
      </w:r>
    </w:p>
    <w:p>
      <w:pPr>
        <w:ind w:firstLine="420" w:firstLineChars="200"/>
        <w:rPr>
          <w:rFonts w:ascii="Times New Roman" w:hAnsi="Times New Roman" w:cs="Times New Roman"/>
          <w:szCs w:val="28"/>
        </w:rPr>
      </w:pPr>
      <w:r>
        <w:rPr>
          <w:rFonts w:ascii="Times New Roman" w:hAnsi="Times New Roman" w:cs="Times New Roman"/>
          <w:szCs w:val="28"/>
        </w:rPr>
        <w:t>作业活动类危险源的控制措施应包括：制度完备性、管理流程合理性、作业环境可控性、作业对象完好状态及作业人员素质等方面。</w:t>
      </w:r>
    </w:p>
    <w:p>
      <w:pPr>
        <w:ind w:firstLine="420" w:firstLineChars="200"/>
        <w:rPr>
          <w:rFonts w:ascii="Times New Roman" w:hAnsi="Times New Roman" w:cs="Times New Roman"/>
          <w:szCs w:val="28"/>
        </w:rPr>
      </w:pPr>
      <w:r>
        <w:rPr>
          <w:rFonts w:ascii="Times New Roman" w:hAnsi="Times New Roman" w:cs="Times New Roman"/>
          <w:szCs w:val="28"/>
        </w:rPr>
        <w:t>重大风险控制措施应符合DB37/T 2882—2016</w:t>
      </w:r>
      <w:r>
        <w:rPr>
          <w:rFonts w:hint="eastAsia" w:ascii="Times New Roman" w:hAnsi="Times New Roman" w:cs="Times New Roman"/>
          <w:szCs w:val="28"/>
        </w:rPr>
        <w:t>中的</w:t>
      </w:r>
      <w:r>
        <w:rPr>
          <w:rFonts w:ascii="Times New Roman" w:hAnsi="Times New Roman" w:cs="Times New Roman"/>
          <w:szCs w:val="28"/>
        </w:rPr>
        <w:t>要求。不同级别的风险要结合实际采取一种或多种措施进行控制，直至风险可以接受。</w:t>
      </w:r>
    </w:p>
    <w:p>
      <w:pPr>
        <w:ind w:firstLine="420" w:firstLineChars="200"/>
        <w:rPr>
          <w:rFonts w:ascii="Times New Roman" w:hAnsi="Times New Roman" w:cs="Times New Roman"/>
          <w:szCs w:val="28"/>
        </w:rPr>
      </w:pPr>
      <w:r>
        <w:rPr>
          <w:rFonts w:ascii="Times New Roman" w:hAnsi="Times New Roman" w:cs="Times New Roman"/>
          <w:szCs w:val="28"/>
        </w:rPr>
        <w:t>风险控制措施在实施前应组织评审。</w:t>
      </w:r>
    </w:p>
    <w:p>
      <w:pPr>
        <w:ind w:firstLine="420" w:firstLineChars="200"/>
        <w:rPr>
          <w:rFonts w:ascii="Times New Roman" w:hAnsi="Times New Roman" w:cs="Times New Roman"/>
          <w:szCs w:val="28"/>
        </w:rPr>
      </w:pPr>
    </w:p>
    <w:p>
      <w:pPr>
        <w:ind w:firstLine="420" w:firstLineChars="200"/>
        <w:rPr>
          <w:rFonts w:ascii="Times New Roman" w:hAnsi="Times New Roman" w:cs="Times New Roman"/>
          <w:szCs w:val="28"/>
        </w:rPr>
      </w:pPr>
    </w:p>
    <w:p>
      <w:pPr>
        <w:ind w:firstLine="420" w:firstLineChars="200"/>
        <w:rPr>
          <w:rFonts w:ascii="Times New Roman" w:hAnsi="Times New Roman" w:cs="Times New Roman"/>
          <w:szCs w:val="28"/>
        </w:rPr>
      </w:pP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风险评价</w:t>
      </w:r>
    </w:p>
    <w:p>
      <w:pPr>
        <w:rPr>
          <w:rFonts w:ascii="Times New Roman" w:hAnsi="Times New Roman" w:cs="Times New Roman"/>
          <w:b/>
          <w:bCs/>
          <w:sz w:val="22"/>
          <w:szCs w:val="32"/>
        </w:rPr>
      </w:pPr>
      <w:r>
        <w:rPr>
          <w:rFonts w:hint="eastAsia" w:ascii="Times New Roman" w:hAnsi="Times New Roman" w:cs="Times New Roman"/>
          <w:b/>
          <w:bCs/>
          <w:sz w:val="22"/>
          <w:szCs w:val="32"/>
        </w:rPr>
        <w:t>10</w:t>
      </w:r>
      <w:r>
        <w:rPr>
          <w:rFonts w:ascii="Times New Roman" w:hAnsi="Times New Roman" w:cs="Times New Roman"/>
          <w:b/>
          <w:bCs/>
          <w:sz w:val="22"/>
          <w:szCs w:val="32"/>
        </w:rPr>
        <w:t>.1　风险评价方法</w:t>
      </w:r>
    </w:p>
    <w:p>
      <w:pPr>
        <w:ind w:firstLine="420" w:firstLineChars="200"/>
        <w:rPr>
          <w:rFonts w:ascii="Times New Roman" w:hAnsi="Times New Roman" w:cs="Times New Roman"/>
          <w:szCs w:val="28"/>
        </w:rPr>
      </w:pPr>
      <w:r>
        <w:rPr>
          <w:rFonts w:ascii="Times New Roman" w:hAnsi="Times New Roman" w:cs="Times New Roman"/>
          <w:szCs w:val="28"/>
        </w:rPr>
        <w:t>选择风险矩阵分析法（LS</w:t>
      </w:r>
      <w:r>
        <w:rPr>
          <w:rFonts w:hint="eastAsia" w:ascii="Times New Roman" w:hAnsi="Times New Roman" w:cs="Times New Roman"/>
          <w:szCs w:val="28"/>
        </w:rPr>
        <w:t>法</w:t>
      </w:r>
      <w:r>
        <w:rPr>
          <w:rFonts w:ascii="Times New Roman" w:hAnsi="Times New Roman" w:cs="Times New Roman"/>
          <w:szCs w:val="28"/>
        </w:rPr>
        <w:t>）（参见附录D），针对辨识的危险源潜在的风险进行定性、定量评价，并填写工作危害分析评价记录（参见附录A.4）和安全检查表分析评价记录（参见附录A中表A5-1或A5-2）</w:t>
      </w:r>
    </w:p>
    <w:p>
      <w:pPr>
        <w:rPr>
          <w:rFonts w:ascii="Times New Roman" w:hAnsi="Times New Roman" w:cs="Times New Roman"/>
          <w:b/>
          <w:bCs/>
          <w:sz w:val="22"/>
          <w:szCs w:val="32"/>
        </w:rPr>
      </w:pPr>
      <w:r>
        <w:rPr>
          <w:rFonts w:hint="eastAsia" w:ascii="Times New Roman" w:hAnsi="Times New Roman" w:cs="Times New Roman"/>
          <w:b/>
          <w:bCs/>
          <w:sz w:val="22"/>
          <w:szCs w:val="32"/>
        </w:rPr>
        <w:t>10</w:t>
      </w:r>
      <w:r>
        <w:rPr>
          <w:rFonts w:ascii="Times New Roman" w:hAnsi="Times New Roman" w:cs="Times New Roman"/>
          <w:b/>
          <w:bCs/>
          <w:sz w:val="22"/>
          <w:szCs w:val="32"/>
        </w:rPr>
        <w:t>.2　风险评价准则</w:t>
      </w:r>
    </w:p>
    <w:p>
      <w:pPr>
        <w:ind w:firstLine="420" w:firstLineChars="200"/>
        <w:rPr>
          <w:rFonts w:ascii="Times New Roman" w:hAnsi="Times New Roman" w:cs="Times New Roman"/>
          <w:szCs w:val="28"/>
        </w:rPr>
      </w:pPr>
      <w:r>
        <w:rPr>
          <w:rFonts w:ascii="Times New Roman" w:hAnsi="Times New Roman" w:cs="Times New Roman"/>
          <w:szCs w:val="28"/>
        </w:rPr>
        <w:t>制定风险评价准则时应结合生产特点，并充分考虑以下要求：</w:t>
      </w:r>
    </w:p>
    <w:p>
      <w:pPr>
        <w:ind w:firstLine="420" w:firstLineChars="200"/>
        <w:rPr>
          <w:rFonts w:ascii="Times New Roman" w:hAnsi="Times New Roman" w:cs="Times New Roman"/>
          <w:szCs w:val="28"/>
        </w:rPr>
      </w:pPr>
      <w:r>
        <w:rPr>
          <w:rFonts w:ascii="Times New Roman" w:hAnsi="Times New Roman" w:cs="Times New Roman"/>
          <w:szCs w:val="28"/>
        </w:rPr>
        <w:t>——有关安全生产法律、法规；</w:t>
      </w:r>
    </w:p>
    <w:p>
      <w:pPr>
        <w:ind w:firstLine="420" w:firstLineChars="200"/>
        <w:rPr>
          <w:rFonts w:ascii="Times New Roman" w:hAnsi="Times New Roman" w:cs="Times New Roman"/>
          <w:szCs w:val="28"/>
        </w:rPr>
      </w:pPr>
      <w:r>
        <w:rPr>
          <w:rFonts w:ascii="Times New Roman" w:hAnsi="Times New Roman" w:cs="Times New Roman"/>
          <w:szCs w:val="28"/>
        </w:rPr>
        <w:t>——设计规范、技术标准；</w:t>
      </w:r>
    </w:p>
    <w:p>
      <w:pPr>
        <w:ind w:firstLine="420" w:firstLineChars="200"/>
        <w:rPr>
          <w:rFonts w:ascii="Times New Roman" w:hAnsi="Times New Roman" w:cs="Times New Roman"/>
          <w:szCs w:val="28"/>
        </w:rPr>
      </w:pPr>
      <w:r>
        <w:rPr>
          <w:rFonts w:ascii="Times New Roman" w:hAnsi="Times New Roman" w:cs="Times New Roman"/>
          <w:szCs w:val="28"/>
        </w:rPr>
        <w:t>——本单位的安全管理、技术标准；</w:t>
      </w:r>
    </w:p>
    <w:p>
      <w:pPr>
        <w:ind w:firstLine="420" w:firstLineChars="200"/>
        <w:rPr>
          <w:rFonts w:ascii="Times New Roman" w:hAnsi="Times New Roman" w:cs="Times New Roman"/>
          <w:szCs w:val="28"/>
        </w:rPr>
      </w:pPr>
      <w:r>
        <w:rPr>
          <w:rFonts w:ascii="Times New Roman" w:hAnsi="Times New Roman" w:cs="Times New Roman"/>
          <w:szCs w:val="28"/>
        </w:rPr>
        <w:t>——本单位的安全生产方针和目标等；</w:t>
      </w:r>
    </w:p>
    <w:p>
      <w:pPr>
        <w:ind w:firstLine="420" w:firstLineChars="200"/>
        <w:rPr>
          <w:rFonts w:ascii="Times New Roman" w:hAnsi="Times New Roman" w:cs="Times New Roman"/>
          <w:szCs w:val="28"/>
        </w:rPr>
      </w:pPr>
      <w:r>
        <w:rPr>
          <w:rFonts w:ascii="Times New Roman" w:hAnsi="Times New Roman" w:cs="Times New Roman"/>
          <w:szCs w:val="28"/>
        </w:rPr>
        <w:t>——相关方的诉求等。</w:t>
      </w:r>
    </w:p>
    <w:p>
      <w:pPr>
        <w:ind w:firstLine="420" w:firstLineChars="200"/>
        <w:rPr>
          <w:rFonts w:ascii="Times New Roman" w:hAnsi="Times New Roman" w:cs="Times New Roman"/>
          <w:szCs w:val="28"/>
        </w:rPr>
      </w:pPr>
      <w:r>
        <w:rPr>
          <w:rFonts w:ascii="Times New Roman" w:hAnsi="Times New Roman" w:cs="Times New Roman"/>
          <w:szCs w:val="28"/>
        </w:rPr>
        <w:t>在对风险点和各类危险源进行风险评价时，应考虑人、财产和环境等三个方面存在的可能性和后果严重程度的影响，并结合生产特点和自身实际，明确事故（事件）发生的可能性、严重性和风险度取值标准，确定风险判定准则（参见附录D），进行风险分析。</w:t>
      </w: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风险分级管控</w:t>
      </w:r>
    </w:p>
    <w:p>
      <w:pPr>
        <w:rPr>
          <w:rFonts w:ascii="Times New Roman" w:hAnsi="Times New Roman" w:cs="Times New Roman"/>
          <w:b/>
          <w:bCs/>
          <w:sz w:val="22"/>
          <w:szCs w:val="32"/>
        </w:rPr>
      </w:pPr>
      <w:r>
        <w:rPr>
          <w:rFonts w:hint="eastAsia" w:ascii="Times New Roman" w:hAnsi="Times New Roman" w:cs="Times New Roman"/>
          <w:b/>
          <w:bCs/>
          <w:sz w:val="22"/>
          <w:szCs w:val="32"/>
        </w:rPr>
        <w:t>11</w:t>
      </w:r>
      <w:r>
        <w:rPr>
          <w:rFonts w:ascii="Times New Roman" w:hAnsi="Times New Roman" w:cs="Times New Roman"/>
          <w:b/>
          <w:bCs/>
          <w:sz w:val="22"/>
          <w:szCs w:val="32"/>
        </w:rPr>
        <w:t>.1　管控原则</w:t>
      </w:r>
    </w:p>
    <w:p>
      <w:pPr>
        <w:ind w:firstLine="420" w:firstLineChars="200"/>
        <w:rPr>
          <w:rFonts w:ascii="Times New Roman" w:hAnsi="Times New Roman" w:cs="Times New Roman"/>
          <w:szCs w:val="28"/>
        </w:rPr>
      </w:pPr>
      <w:r>
        <w:rPr>
          <w:rFonts w:ascii="Times New Roman" w:hAnsi="Times New Roman" w:cs="Times New Roman"/>
          <w:szCs w:val="28"/>
        </w:rPr>
        <w:t>风险分析评价和风险等级判定时，应对每项控制措施进行评审，确定可行性、有效性。</w:t>
      </w:r>
    </w:p>
    <w:p>
      <w:pPr>
        <w:ind w:firstLine="420" w:firstLineChars="200"/>
        <w:rPr>
          <w:rFonts w:ascii="Times New Roman" w:hAnsi="Times New Roman" w:cs="Times New Roman"/>
          <w:szCs w:val="28"/>
        </w:rPr>
      </w:pPr>
      <w:r>
        <w:rPr>
          <w:rFonts w:ascii="Times New Roman" w:hAnsi="Times New Roman" w:cs="Times New Roman"/>
          <w:szCs w:val="28"/>
        </w:rPr>
        <w:t>存在缺失、失效的状况，应制定落实改进措施，降低风险。</w:t>
      </w:r>
    </w:p>
    <w:p>
      <w:pPr>
        <w:ind w:firstLine="420" w:firstLineChars="200"/>
        <w:rPr>
          <w:rFonts w:ascii="Times New Roman" w:hAnsi="Times New Roman" w:cs="Times New Roman"/>
          <w:szCs w:val="28"/>
        </w:rPr>
      </w:pPr>
      <w:r>
        <w:rPr>
          <w:rFonts w:ascii="Times New Roman" w:hAnsi="Times New Roman" w:cs="Times New Roman"/>
          <w:szCs w:val="28"/>
        </w:rPr>
        <w:t>上级负责管控的风险，下级应同时负责管控，逐级落实具体措施。</w:t>
      </w:r>
    </w:p>
    <w:p>
      <w:pPr>
        <w:ind w:firstLine="420" w:firstLineChars="200"/>
        <w:rPr>
          <w:rFonts w:ascii="Times New Roman" w:hAnsi="Times New Roman" w:cs="Times New Roman"/>
          <w:szCs w:val="28"/>
        </w:rPr>
      </w:pPr>
      <w:r>
        <w:rPr>
          <w:rFonts w:ascii="Times New Roman" w:hAnsi="Times New Roman" w:cs="Times New Roman"/>
          <w:szCs w:val="28"/>
        </w:rPr>
        <w:t>应结合本单位机构设置，合理确定风险的管控层级。</w:t>
      </w:r>
    </w:p>
    <w:p>
      <w:pPr>
        <w:rPr>
          <w:rFonts w:ascii="Times New Roman" w:hAnsi="Times New Roman" w:cs="Times New Roman"/>
          <w:b/>
          <w:bCs/>
          <w:sz w:val="22"/>
          <w:szCs w:val="32"/>
        </w:rPr>
      </w:pPr>
      <w:r>
        <w:rPr>
          <w:rFonts w:hint="eastAsia" w:ascii="Times New Roman" w:hAnsi="Times New Roman" w:cs="Times New Roman"/>
          <w:b/>
          <w:bCs/>
          <w:sz w:val="22"/>
          <w:szCs w:val="32"/>
        </w:rPr>
        <w:t>11</w:t>
      </w:r>
      <w:r>
        <w:rPr>
          <w:rFonts w:ascii="Times New Roman" w:hAnsi="Times New Roman" w:cs="Times New Roman"/>
          <w:b/>
          <w:bCs/>
          <w:sz w:val="22"/>
          <w:szCs w:val="32"/>
        </w:rPr>
        <w:t>.2　确定风险等级</w:t>
      </w:r>
    </w:p>
    <w:p>
      <w:pPr>
        <w:ind w:firstLine="420" w:firstLineChars="200"/>
        <w:rPr>
          <w:rFonts w:ascii="Times New Roman" w:hAnsi="Times New Roman" w:cs="Times New Roman"/>
          <w:szCs w:val="28"/>
        </w:rPr>
      </w:pPr>
      <w:r>
        <w:rPr>
          <w:rFonts w:ascii="Times New Roman" w:hAnsi="Times New Roman" w:cs="Times New Roman"/>
          <w:szCs w:val="28"/>
        </w:rPr>
        <w:t>依据风险判定准则确定风险等级，风险等级判定应遵循从严从高的原则。化工企业风险按照从高到低分为5级：1、2、3、4、5或A、B、C、D、E。其中，1级或A级为最高风险，5级或E级为最低风险。具体风险分级及管控要求参照表</w:t>
      </w:r>
      <w:r>
        <w:rPr>
          <w:rFonts w:hint="eastAsia" w:ascii="Times New Roman" w:hAnsi="Times New Roman" w:cs="Times New Roman"/>
          <w:szCs w:val="28"/>
        </w:rPr>
        <w:t>《风险分级及管控要求》</w:t>
      </w:r>
      <w:r>
        <w:rPr>
          <w:rFonts w:ascii="Times New Roman" w:hAnsi="Times New Roman" w:cs="Times New Roman"/>
          <w:szCs w:val="28"/>
        </w:rPr>
        <w:t>。</w:t>
      </w:r>
    </w:p>
    <w:p>
      <w:pPr>
        <w:pStyle w:val="30"/>
        <w:numPr>
          <w:ilvl w:val="0"/>
          <w:numId w:val="0"/>
        </w:numPr>
        <w:rPr>
          <w:szCs w:val="24"/>
        </w:rPr>
      </w:pPr>
      <w:r>
        <w:rPr>
          <w:rFonts w:hint="eastAsia"/>
          <w:szCs w:val="24"/>
        </w:rPr>
        <w:t>风险分级及管控要求</w:t>
      </w:r>
    </w:p>
    <w:tbl>
      <w:tblPr>
        <w:tblStyle w:val="11"/>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1702"/>
        <w:gridCol w:w="6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vAlign w:val="center"/>
          </w:tcPr>
          <w:p>
            <w:pPr>
              <w:jc w:val="center"/>
              <w:rPr>
                <w:rFonts w:ascii="宋体" w:hAnsi="宋体"/>
                <w:sz w:val="13"/>
                <w:szCs w:val="18"/>
              </w:rPr>
            </w:pPr>
            <w:r>
              <w:rPr>
                <w:rFonts w:hint="eastAsia" w:ascii="宋体" w:hAnsi="宋体"/>
                <w:sz w:val="13"/>
                <w:szCs w:val="18"/>
              </w:rPr>
              <w:t>风险等级</w:t>
            </w:r>
          </w:p>
        </w:tc>
        <w:tc>
          <w:tcPr>
            <w:tcW w:w="1702" w:type="dxa"/>
            <w:vAlign w:val="center"/>
          </w:tcPr>
          <w:p>
            <w:pPr>
              <w:jc w:val="center"/>
              <w:rPr>
                <w:rFonts w:ascii="宋体" w:hAnsi="宋体"/>
                <w:sz w:val="13"/>
                <w:szCs w:val="18"/>
              </w:rPr>
            </w:pPr>
            <w:r>
              <w:rPr>
                <w:rFonts w:hint="eastAsia" w:ascii="宋体" w:hAnsi="宋体"/>
                <w:sz w:val="13"/>
                <w:szCs w:val="18"/>
              </w:rPr>
              <w:t>危险程度</w:t>
            </w:r>
          </w:p>
        </w:tc>
        <w:tc>
          <w:tcPr>
            <w:tcW w:w="6910" w:type="dxa"/>
            <w:vAlign w:val="center"/>
          </w:tcPr>
          <w:p>
            <w:pPr>
              <w:jc w:val="center"/>
              <w:rPr>
                <w:rFonts w:ascii="宋体" w:hAnsi="宋体"/>
                <w:sz w:val="13"/>
                <w:szCs w:val="18"/>
              </w:rPr>
            </w:pPr>
            <w:r>
              <w:rPr>
                <w:rFonts w:hint="eastAsia" w:ascii="宋体" w:hAnsi="宋体"/>
                <w:sz w:val="13"/>
                <w:szCs w:val="18"/>
              </w:rPr>
              <w:t>管控要求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vAlign w:val="center"/>
          </w:tcPr>
          <w:p>
            <w:pPr>
              <w:jc w:val="center"/>
              <w:rPr>
                <w:rFonts w:ascii="宋体" w:hAnsi="宋体"/>
                <w:sz w:val="13"/>
                <w:szCs w:val="18"/>
              </w:rPr>
            </w:pPr>
            <w:r>
              <w:rPr>
                <w:rFonts w:hint="eastAsia" w:ascii="宋体" w:hAnsi="宋体"/>
                <w:sz w:val="13"/>
                <w:szCs w:val="18"/>
              </w:rPr>
              <w:t>A级</w:t>
            </w:r>
            <w:r>
              <w:rPr>
                <w:rFonts w:ascii="宋体" w:hAnsi="宋体"/>
                <w:sz w:val="13"/>
                <w:szCs w:val="18"/>
              </w:rPr>
              <w:t>\1</w:t>
            </w:r>
            <w:r>
              <w:rPr>
                <w:rFonts w:hint="eastAsia" w:ascii="宋体" w:hAnsi="宋体"/>
                <w:sz w:val="13"/>
                <w:szCs w:val="18"/>
              </w:rPr>
              <w:t>级</w:t>
            </w:r>
          </w:p>
        </w:tc>
        <w:tc>
          <w:tcPr>
            <w:tcW w:w="1702" w:type="dxa"/>
            <w:vAlign w:val="center"/>
          </w:tcPr>
          <w:p>
            <w:pPr>
              <w:jc w:val="center"/>
              <w:rPr>
                <w:rFonts w:ascii="宋体" w:hAnsi="宋体"/>
                <w:sz w:val="13"/>
                <w:szCs w:val="18"/>
              </w:rPr>
            </w:pPr>
            <w:r>
              <w:rPr>
                <w:rFonts w:hint="eastAsia" w:ascii="宋体" w:hAnsi="宋体"/>
                <w:sz w:val="13"/>
                <w:szCs w:val="18"/>
              </w:rPr>
              <w:t>极其危险</w:t>
            </w:r>
          </w:p>
          <w:p>
            <w:pPr>
              <w:jc w:val="center"/>
              <w:rPr>
                <w:rFonts w:ascii="宋体" w:hAnsi="宋体"/>
                <w:sz w:val="13"/>
                <w:szCs w:val="18"/>
              </w:rPr>
            </w:pPr>
            <w:r>
              <w:rPr>
                <w:rFonts w:hint="eastAsia" w:ascii="宋体" w:hAnsi="宋体"/>
                <w:sz w:val="13"/>
                <w:szCs w:val="18"/>
              </w:rPr>
              <w:t>（不可容许风险）</w:t>
            </w:r>
          </w:p>
        </w:tc>
        <w:tc>
          <w:tcPr>
            <w:tcW w:w="6910" w:type="dxa"/>
            <w:vAlign w:val="center"/>
          </w:tcPr>
          <w:p>
            <w:pPr>
              <w:ind w:firstLine="260" w:firstLineChars="200"/>
              <w:rPr>
                <w:rFonts w:ascii="宋体" w:hAnsi="宋体"/>
                <w:sz w:val="13"/>
                <w:szCs w:val="18"/>
              </w:rPr>
            </w:pPr>
            <w:r>
              <w:rPr>
                <w:rFonts w:hint="eastAsia" w:ascii="宋体" w:hAnsi="宋体"/>
                <w:sz w:val="13"/>
                <w:szCs w:val="18"/>
              </w:rPr>
              <w:t>应立即整改，不能继续作业。只有当风险已降至可接受或可容许程度后，才能开始或继续工作。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vAlign w:val="center"/>
          </w:tcPr>
          <w:p>
            <w:pPr>
              <w:jc w:val="center"/>
              <w:rPr>
                <w:rFonts w:ascii="宋体" w:hAnsi="宋体"/>
                <w:sz w:val="13"/>
                <w:szCs w:val="18"/>
              </w:rPr>
            </w:pPr>
            <w:r>
              <w:rPr>
                <w:rFonts w:hint="eastAsia" w:ascii="宋体" w:hAnsi="宋体"/>
                <w:sz w:val="13"/>
                <w:szCs w:val="18"/>
              </w:rPr>
              <w:t>B级</w:t>
            </w:r>
            <w:r>
              <w:rPr>
                <w:rFonts w:ascii="宋体" w:hAnsi="宋体"/>
                <w:sz w:val="13"/>
                <w:szCs w:val="18"/>
              </w:rPr>
              <w:t>\2</w:t>
            </w:r>
            <w:r>
              <w:rPr>
                <w:rFonts w:hint="eastAsia" w:ascii="宋体" w:hAnsi="宋体"/>
                <w:sz w:val="13"/>
                <w:szCs w:val="18"/>
              </w:rPr>
              <w:t>级</w:t>
            </w:r>
          </w:p>
        </w:tc>
        <w:tc>
          <w:tcPr>
            <w:tcW w:w="1702" w:type="dxa"/>
            <w:vAlign w:val="center"/>
          </w:tcPr>
          <w:p>
            <w:pPr>
              <w:jc w:val="center"/>
              <w:rPr>
                <w:rFonts w:ascii="宋体" w:hAnsi="宋体"/>
                <w:sz w:val="13"/>
                <w:szCs w:val="18"/>
              </w:rPr>
            </w:pPr>
            <w:r>
              <w:rPr>
                <w:rFonts w:hint="eastAsia" w:ascii="宋体" w:hAnsi="宋体"/>
                <w:sz w:val="13"/>
                <w:szCs w:val="18"/>
              </w:rPr>
              <w:t>高度危险</w:t>
            </w:r>
          </w:p>
        </w:tc>
        <w:tc>
          <w:tcPr>
            <w:tcW w:w="6910" w:type="dxa"/>
            <w:vAlign w:val="center"/>
          </w:tcPr>
          <w:p>
            <w:pPr>
              <w:ind w:firstLine="260" w:firstLineChars="200"/>
              <w:rPr>
                <w:rFonts w:ascii="宋体" w:hAnsi="宋体"/>
                <w:sz w:val="13"/>
                <w:szCs w:val="18"/>
              </w:rPr>
            </w:pPr>
            <w:r>
              <w:rPr>
                <w:rFonts w:hint="eastAsia" w:ascii="宋体" w:hAnsi="宋体"/>
                <w:sz w:val="13"/>
                <w:szCs w:val="18"/>
              </w:rPr>
              <w:t>应制定措施进行控制管理。（公司或厂)级应重点控制管理，由各专业职能部门根据职责分工具体落实。当风险涉及正在进行中的工作时，应采取应急措施，并根据需求为降低风险制定目标、指标、管理方案或配给资源、限期治理，直至风险降至可接受或可容许程度后才能开始或继续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vAlign w:val="center"/>
          </w:tcPr>
          <w:p>
            <w:pPr>
              <w:jc w:val="center"/>
              <w:rPr>
                <w:rFonts w:ascii="宋体" w:hAnsi="宋体"/>
                <w:sz w:val="13"/>
                <w:szCs w:val="18"/>
              </w:rPr>
            </w:pPr>
            <w:r>
              <w:rPr>
                <w:rFonts w:ascii="宋体" w:hAnsi="宋体"/>
                <w:sz w:val="13"/>
                <w:szCs w:val="18"/>
              </w:rPr>
              <w:t>C</w:t>
            </w:r>
            <w:r>
              <w:rPr>
                <w:rFonts w:hint="eastAsia" w:ascii="宋体" w:hAnsi="宋体"/>
                <w:sz w:val="13"/>
                <w:szCs w:val="18"/>
              </w:rPr>
              <w:t>级</w:t>
            </w:r>
            <w:r>
              <w:rPr>
                <w:rFonts w:ascii="宋体" w:hAnsi="宋体"/>
                <w:sz w:val="13"/>
                <w:szCs w:val="18"/>
              </w:rPr>
              <w:t>\3</w:t>
            </w:r>
            <w:r>
              <w:rPr>
                <w:rFonts w:hint="eastAsia" w:ascii="宋体" w:hAnsi="宋体"/>
                <w:sz w:val="13"/>
                <w:szCs w:val="18"/>
              </w:rPr>
              <w:t>级</w:t>
            </w:r>
          </w:p>
        </w:tc>
        <w:tc>
          <w:tcPr>
            <w:tcW w:w="1702" w:type="dxa"/>
            <w:vAlign w:val="center"/>
          </w:tcPr>
          <w:p>
            <w:pPr>
              <w:jc w:val="center"/>
              <w:rPr>
                <w:rFonts w:ascii="宋体" w:hAnsi="宋体"/>
                <w:sz w:val="13"/>
                <w:szCs w:val="18"/>
              </w:rPr>
            </w:pPr>
            <w:r>
              <w:rPr>
                <w:rFonts w:hint="eastAsia" w:ascii="宋体" w:hAnsi="宋体"/>
                <w:sz w:val="13"/>
                <w:szCs w:val="18"/>
              </w:rPr>
              <w:t>显著危险</w:t>
            </w:r>
          </w:p>
        </w:tc>
        <w:tc>
          <w:tcPr>
            <w:tcW w:w="6910" w:type="dxa"/>
            <w:vAlign w:val="center"/>
          </w:tcPr>
          <w:p>
            <w:pPr>
              <w:ind w:firstLine="260" w:firstLineChars="200"/>
              <w:rPr>
                <w:rFonts w:ascii="宋体" w:hAnsi="宋体"/>
                <w:sz w:val="13"/>
                <w:szCs w:val="18"/>
              </w:rPr>
            </w:pPr>
            <w:r>
              <w:rPr>
                <w:rFonts w:hint="eastAsia" w:ascii="宋体" w:hAnsi="宋体"/>
                <w:sz w:val="13"/>
                <w:szCs w:val="18"/>
              </w:rPr>
              <w:t>需要控制整改。部（处）室级（车间上级单位）应引起关注，负责危险源的管理，并负责控制管理，所属车间具体落实；应制定管理制度、规定进行控制，努力降低风险；应仔细测定并限定预防成本，在规定期限内实施降低风险措施。在严重伤害后果相关的场合，必须进一步进行评价，确定伤害的可能性和是否需要改进的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vAlign w:val="center"/>
          </w:tcPr>
          <w:p>
            <w:pPr>
              <w:jc w:val="center"/>
              <w:rPr>
                <w:rFonts w:ascii="宋体" w:hAnsi="宋体"/>
                <w:sz w:val="13"/>
                <w:szCs w:val="18"/>
              </w:rPr>
            </w:pPr>
            <w:r>
              <w:rPr>
                <w:rFonts w:hint="eastAsia" w:ascii="宋体" w:hAnsi="宋体"/>
                <w:sz w:val="13"/>
                <w:szCs w:val="18"/>
              </w:rPr>
              <w:t>D级</w:t>
            </w:r>
            <w:r>
              <w:rPr>
                <w:rFonts w:ascii="宋体" w:hAnsi="宋体"/>
                <w:sz w:val="13"/>
                <w:szCs w:val="18"/>
              </w:rPr>
              <w:t>\4</w:t>
            </w:r>
            <w:r>
              <w:rPr>
                <w:rFonts w:hint="eastAsia" w:ascii="宋体" w:hAnsi="宋体"/>
                <w:sz w:val="13"/>
                <w:szCs w:val="18"/>
              </w:rPr>
              <w:t>级</w:t>
            </w:r>
          </w:p>
        </w:tc>
        <w:tc>
          <w:tcPr>
            <w:tcW w:w="1702" w:type="dxa"/>
            <w:vAlign w:val="center"/>
          </w:tcPr>
          <w:p>
            <w:pPr>
              <w:jc w:val="center"/>
              <w:rPr>
                <w:rFonts w:ascii="宋体" w:hAnsi="宋体"/>
                <w:sz w:val="13"/>
                <w:szCs w:val="18"/>
              </w:rPr>
            </w:pPr>
            <w:r>
              <w:rPr>
                <w:rFonts w:hint="eastAsia" w:ascii="宋体" w:hAnsi="宋体"/>
                <w:sz w:val="13"/>
                <w:szCs w:val="18"/>
              </w:rPr>
              <w:t>轻度危险</w:t>
            </w:r>
          </w:p>
        </w:tc>
        <w:tc>
          <w:tcPr>
            <w:tcW w:w="6910" w:type="dxa"/>
            <w:vAlign w:val="center"/>
          </w:tcPr>
          <w:p>
            <w:pPr>
              <w:ind w:firstLine="260" w:firstLineChars="200"/>
              <w:rPr>
                <w:rFonts w:ascii="宋体" w:hAnsi="宋体"/>
                <w:sz w:val="13"/>
                <w:szCs w:val="18"/>
              </w:rPr>
            </w:pPr>
            <w:r>
              <w:rPr>
                <w:rFonts w:hint="eastAsia" w:ascii="宋体" w:hAnsi="宋体"/>
                <w:sz w:val="13"/>
                <w:szCs w:val="18"/>
              </w:rPr>
              <w:t>车间级应引起关注，负责危险源的管理，并负责控制管理，所属工段、班组具体落实；不需要另外的控制措施，应考虑投资效果更佳的解决方案或不增加额外成本的改进措施，需要监视来确保控制措施得以维持现状，保留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vAlign w:val="center"/>
          </w:tcPr>
          <w:p>
            <w:pPr>
              <w:jc w:val="center"/>
              <w:rPr>
                <w:rFonts w:ascii="宋体" w:hAnsi="宋体"/>
                <w:sz w:val="13"/>
                <w:szCs w:val="18"/>
              </w:rPr>
            </w:pPr>
            <w:r>
              <w:rPr>
                <w:rFonts w:ascii="宋体" w:hAnsi="宋体"/>
                <w:sz w:val="13"/>
                <w:szCs w:val="18"/>
              </w:rPr>
              <w:t>E</w:t>
            </w:r>
            <w:r>
              <w:rPr>
                <w:rFonts w:hint="eastAsia" w:ascii="宋体" w:hAnsi="宋体"/>
                <w:sz w:val="13"/>
                <w:szCs w:val="18"/>
              </w:rPr>
              <w:t>级</w:t>
            </w:r>
            <w:r>
              <w:rPr>
                <w:rFonts w:ascii="宋体" w:hAnsi="宋体"/>
                <w:sz w:val="13"/>
                <w:szCs w:val="18"/>
              </w:rPr>
              <w:t>\5</w:t>
            </w:r>
            <w:r>
              <w:rPr>
                <w:rFonts w:hint="eastAsia" w:ascii="宋体" w:hAnsi="宋体"/>
                <w:sz w:val="13"/>
                <w:szCs w:val="18"/>
              </w:rPr>
              <w:t>级</w:t>
            </w:r>
          </w:p>
        </w:tc>
        <w:tc>
          <w:tcPr>
            <w:tcW w:w="1702" w:type="dxa"/>
            <w:vAlign w:val="center"/>
          </w:tcPr>
          <w:p>
            <w:pPr>
              <w:jc w:val="center"/>
              <w:rPr>
                <w:rFonts w:ascii="宋体" w:hAnsi="宋体"/>
                <w:sz w:val="13"/>
                <w:szCs w:val="18"/>
              </w:rPr>
            </w:pPr>
            <w:r>
              <w:rPr>
                <w:rFonts w:hint="eastAsia" w:ascii="宋体" w:hAnsi="宋体"/>
                <w:sz w:val="13"/>
                <w:szCs w:val="18"/>
              </w:rPr>
              <w:t>稍有危险</w:t>
            </w:r>
          </w:p>
          <w:p>
            <w:pPr>
              <w:jc w:val="center"/>
              <w:rPr>
                <w:rFonts w:ascii="宋体" w:hAnsi="宋体"/>
                <w:sz w:val="13"/>
                <w:szCs w:val="18"/>
              </w:rPr>
            </w:pPr>
            <w:r>
              <w:rPr>
                <w:rFonts w:hint="eastAsia" w:ascii="宋体" w:hAnsi="宋体"/>
                <w:sz w:val="13"/>
                <w:szCs w:val="18"/>
              </w:rPr>
              <w:t>（可忽略风险）</w:t>
            </w:r>
          </w:p>
        </w:tc>
        <w:tc>
          <w:tcPr>
            <w:tcW w:w="6910" w:type="dxa"/>
            <w:vAlign w:val="center"/>
          </w:tcPr>
          <w:p>
            <w:pPr>
              <w:ind w:firstLine="260" w:firstLineChars="200"/>
              <w:rPr>
                <w:rFonts w:ascii="宋体" w:hAnsi="宋体"/>
                <w:sz w:val="13"/>
                <w:szCs w:val="18"/>
              </w:rPr>
            </w:pPr>
            <w:r>
              <w:rPr>
                <w:rFonts w:hint="eastAsia" w:ascii="宋体" w:hAnsi="宋体"/>
                <w:sz w:val="13"/>
                <w:szCs w:val="18"/>
              </w:rPr>
              <w:t>员工应引起注意，基层工段、班组负责控制管理，可根据是否在生产场所或实际需要来确定是否制定控制措施及保存记录。需要控制措施的纳入风险监控。</w:t>
            </w:r>
          </w:p>
        </w:tc>
      </w:tr>
    </w:tbl>
    <w:p>
      <w:pPr>
        <w:ind w:firstLine="420" w:firstLineChars="200"/>
        <w:rPr>
          <w:rFonts w:ascii="Times New Roman" w:hAnsi="Times New Roman" w:cs="Times New Roman"/>
          <w:szCs w:val="28"/>
        </w:rPr>
      </w:pPr>
    </w:p>
    <w:p>
      <w:pPr>
        <w:rPr>
          <w:rFonts w:ascii="Times New Roman" w:hAnsi="Times New Roman" w:cs="Times New Roman"/>
          <w:b/>
          <w:bCs/>
          <w:sz w:val="22"/>
          <w:szCs w:val="32"/>
        </w:rPr>
      </w:pPr>
      <w:r>
        <w:rPr>
          <w:rFonts w:hint="eastAsia" w:ascii="Times New Roman" w:hAnsi="Times New Roman" w:cs="Times New Roman"/>
          <w:b/>
          <w:bCs/>
          <w:sz w:val="22"/>
          <w:szCs w:val="32"/>
        </w:rPr>
        <w:t>11</w:t>
      </w:r>
      <w:r>
        <w:rPr>
          <w:rFonts w:ascii="Times New Roman" w:hAnsi="Times New Roman" w:cs="Times New Roman"/>
          <w:b/>
          <w:bCs/>
          <w:sz w:val="22"/>
          <w:szCs w:val="32"/>
        </w:rPr>
        <w:t>.3　重大风险判定</w:t>
      </w:r>
    </w:p>
    <w:p>
      <w:pPr>
        <w:ind w:firstLine="420" w:firstLineChars="200"/>
        <w:rPr>
          <w:rFonts w:ascii="Times New Roman" w:hAnsi="Times New Roman" w:cs="Times New Roman"/>
          <w:szCs w:val="28"/>
        </w:rPr>
      </w:pPr>
      <w:r>
        <w:rPr>
          <w:rFonts w:ascii="Times New Roman" w:hAnsi="Times New Roman" w:cs="Times New Roman"/>
          <w:szCs w:val="28"/>
        </w:rPr>
        <w:t>根据生产特点，除</w:t>
      </w:r>
      <w:r>
        <w:rPr>
          <w:rFonts w:hint="eastAsia" w:ascii="Times New Roman" w:hAnsi="Times New Roman" w:cs="Times New Roman"/>
          <w:szCs w:val="28"/>
        </w:rPr>
        <w:t>11</w:t>
      </w:r>
      <w:r>
        <w:rPr>
          <w:rFonts w:ascii="Times New Roman" w:hAnsi="Times New Roman" w:cs="Times New Roman"/>
          <w:szCs w:val="28"/>
        </w:rPr>
        <w:t>.2中分析判定的风险外，属于以下情况之一的，直接判定为重大风险：</w:t>
      </w:r>
    </w:p>
    <w:p>
      <w:pPr>
        <w:ind w:firstLine="420" w:firstLineChars="200"/>
        <w:rPr>
          <w:rFonts w:ascii="Times New Roman" w:hAnsi="Times New Roman" w:cs="Times New Roman"/>
          <w:szCs w:val="28"/>
        </w:rPr>
      </w:pPr>
      <w:r>
        <w:rPr>
          <w:rFonts w:ascii="Times New Roman" w:hAnsi="Times New Roman" w:cs="Times New Roman"/>
          <w:szCs w:val="28"/>
        </w:rPr>
        <w:t>——违反法律、法规及国家标准中强制性条款的；</w:t>
      </w:r>
    </w:p>
    <w:p>
      <w:pPr>
        <w:ind w:firstLine="420" w:firstLineChars="200"/>
        <w:rPr>
          <w:rFonts w:ascii="Times New Roman" w:hAnsi="Times New Roman" w:cs="Times New Roman"/>
          <w:szCs w:val="28"/>
        </w:rPr>
      </w:pPr>
      <w:r>
        <w:rPr>
          <w:rFonts w:ascii="Times New Roman" w:hAnsi="Times New Roman" w:cs="Times New Roman"/>
          <w:szCs w:val="28"/>
        </w:rPr>
        <w:t>——发生过死亡、重伤、重大财产损失的事故，且现在发生事故的条件依然存在的；</w:t>
      </w:r>
    </w:p>
    <w:p>
      <w:pPr>
        <w:ind w:firstLine="420" w:firstLineChars="200"/>
        <w:rPr>
          <w:rFonts w:ascii="Times New Roman" w:hAnsi="Times New Roman" w:cs="Times New Roman"/>
          <w:szCs w:val="28"/>
        </w:rPr>
      </w:pPr>
      <w:r>
        <w:rPr>
          <w:rFonts w:ascii="Times New Roman" w:hAnsi="Times New Roman" w:cs="Times New Roman"/>
          <w:szCs w:val="28"/>
        </w:rPr>
        <w:t>——根据GB 18218评估为重大危险源的储存场所；</w:t>
      </w:r>
    </w:p>
    <w:p>
      <w:pPr>
        <w:ind w:firstLine="420" w:firstLineChars="200"/>
        <w:rPr>
          <w:rFonts w:ascii="Times New Roman" w:hAnsi="Times New Roman" w:cs="Times New Roman"/>
          <w:szCs w:val="28"/>
        </w:rPr>
      </w:pPr>
      <w:r>
        <w:rPr>
          <w:rFonts w:ascii="Times New Roman" w:hAnsi="Times New Roman" w:cs="Times New Roman"/>
          <w:szCs w:val="28"/>
        </w:rPr>
        <w:t>——运行装置界区内涉及抢修作业等作业现场10人及以上的；</w:t>
      </w:r>
    </w:p>
    <w:p>
      <w:pPr>
        <w:rPr>
          <w:rFonts w:ascii="Times New Roman" w:hAnsi="Times New Roman" w:cs="Times New Roman"/>
          <w:b/>
          <w:bCs/>
          <w:sz w:val="22"/>
          <w:szCs w:val="32"/>
        </w:rPr>
      </w:pPr>
      <w:r>
        <w:rPr>
          <w:rFonts w:hint="eastAsia" w:ascii="Times New Roman" w:hAnsi="Times New Roman" w:cs="Times New Roman"/>
          <w:b/>
          <w:bCs/>
          <w:sz w:val="22"/>
          <w:szCs w:val="32"/>
        </w:rPr>
        <w:t>11</w:t>
      </w:r>
      <w:r>
        <w:rPr>
          <w:rFonts w:ascii="Times New Roman" w:hAnsi="Times New Roman" w:cs="Times New Roman"/>
          <w:b/>
          <w:bCs/>
          <w:sz w:val="22"/>
          <w:szCs w:val="32"/>
        </w:rPr>
        <w:t>.4　风险分级管控实施</w:t>
      </w:r>
    </w:p>
    <w:p>
      <w:pPr>
        <w:ind w:firstLine="420" w:firstLineChars="200"/>
        <w:rPr>
          <w:rFonts w:ascii="Times New Roman" w:hAnsi="Times New Roman" w:cs="Times New Roman"/>
          <w:szCs w:val="28"/>
        </w:rPr>
      </w:pPr>
      <w:r>
        <w:rPr>
          <w:rFonts w:ascii="Times New Roman" w:hAnsi="Times New Roman" w:cs="Times New Roman"/>
          <w:szCs w:val="28"/>
        </w:rPr>
        <w:t>选择适当的评价方法进行风险评价分级后，按照附录A.</w:t>
      </w:r>
      <w:r>
        <w:rPr>
          <w:rFonts w:hint="eastAsia" w:ascii="Times New Roman" w:hAnsi="Times New Roman" w:cs="Times New Roman"/>
          <w:szCs w:val="28"/>
        </w:rPr>
        <w:t>4</w:t>
      </w:r>
      <w:r>
        <w:rPr>
          <w:rFonts w:ascii="Times New Roman" w:hAnsi="Times New Roman" w:cs="Times New Roman"/>
          <w:szCs w:val="28"/>
        </w:rPr>
        <w:t>风险等级对照表规定的对应原则，划分为重大风险、较大风险、一般风险和低风险，分别用“红橙黄蓝”四种颜色标识，实施分级管控。</w:t>
      </w:r>
    </w:p>
    <w:p>
      <w:pPr>
        <w:rPr>
          <w:rFonts w:ascii="Times New Roman" w:hAnsi="Times New Roman" w:cs="Times New Roman"/>
          <w:b/>
          <w:bCs/>
          <w:sz w:val="22"/>
          <w:szCs w:val="32"/>
        </w:rPr>
      </w:pPr>
      <w:r>
        <w:rPr>
          <w:rFonts w:hint="eastAsia" w:ascii="Times New Roman" w:hAnsi="Times New Roman" w:cs="Times New Roman"/>
          <w:b/>
          <w:bCs/>
          <w:sz w:val="22"/>
          <w:szCs w:val="32"/>
        </w:rPr>
        <w:t>11</w:t>
      </w:r>
      <w:r>
        <w:rPr>
          <w:rFonts w:ascii="Times New Roman" w:hAnsi="Times New Roman" w:cs="Times New Roman"/>
          <w:b/>
          <w:bCs/>
          <w:sz w:val="22"/>
          <w:szCs w:val="32"/>
        </w:rPr>
        <w:t>.5　编制风险分级管控清单</w:t>
      </w:r>
    </w:p>
    <w:p>
      <w:pPr>
        <w:ind w:firstLine="420" w:firstLineChars="200"/>
        <w:rPr>
          <w:rFonts w:ascii="Times New Roman" w:hAnsi="Times New Roman" w:cs="Times New Roman"/>
          <w:szCs w:val="28"/>
        </w:rPr>
      </w:pPr>
      <w:r>
        <w:rPr>
          <w:rFonts w:ascii="Times New Roman" w:hAnsi="Times New Roman" w:cs="Times New Roman"/>
          <w:szCs w:val="28"/>
        </w:rPr>
        <w:t>危险源辨识和风险评价后，应编制风险分级管控清单（参见附录</w:t>
      </w:r>
      <w:r>
        <w:rPr>
          <w:rFonts w:hint="eastAsia" w:ascii="Times New Roman" w:hAnsi="Times New Roman" w:cs="Times New Roman"/>
          <w:szCs w:val="28"/>
        </w:rPr>
        <w:t>表6</w:t>
      </w:r>
      <w:r>
        <w:rPr>
          <w:rFonts w:ascii="Times New Roman" w:hAnsi="Times New Roman" w:cs="Times New Roman"/>
          <w:szCs w:val="28"/>
        </w:rPr>
        <w:t>，包括全部风险点和风险信息），逐级汇总、评审、修订、审核、发布、培训、实现信息有效传递。</w:t>
      </w: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成果与应用</w:t>
      </w:r>
    </w:p>
    <w:p>
      <w:pPr>
        <w:rPr>
          <w:rFonts w:ascii="Times New Roman" w:hAnsi="Times New Roman" w:cs="Times New Roman"/>
          <w:b/>
          <w:bCs/>
          <w:sz w:val="22"/>
          <w:szCs w:val="32"/>
        </w:rPr>
      </w:pPr>
      <w:r>
        <w:rPr>
          <w:rFonts w:hint="eastAsia" w:ascii="Times New Roman" w:hAnsi="Times New Roman" w:cs="Times New Roman"/>
          <w:b/>
          <w:bCs/>
          <w:sz w:val="22"/>
          <w:szCs w:val="32"/>
        </w:rPr>
        <w:t>12</w:t>
      </w:r>
      <w:r>
        <w:rPr>
          <w:rFonts w:ascii="Times New Roman" w:hAnsi="Times New Roman" w:cs="Times New Roman"/>
          <w:b/>
          <w:bCs/>
          <w:sz w:val="22"/>
          <w:szCs w:val="32"/>
        </w:rPr>
        <w:t>.1　档案记录</w:t>
      </w:r>
    </w:p>
    <w:p>
      <w:pPr>
        <w:ind w:firstLine="420" w:firstLineChars="200"/>
        <w:rPr>
          <w:rFonts w:ascii="Times New Roman" w:hAnsi="Times New Roman" w:cs="Times New Roman"/>
          <w:szCs w:val="28"/>
        </w:rPr>
      </w:pPr>
      <w:r>
        <w:rPr>
          <w:rFonts w:ascii="Times New Roman" w:hAnsi="Times New Roman" w:cs="Times New Roman"/>
          <w:szCs w:val="28"/>
        </w:rPr>
        <w:t>完整保存体现风险管控过程的记录资料，并分类建档管理。至少应包括风险管控制度、风险点登记台账、危险源辨识与风险评价记录，以及风险分级管控清单、危险源登记台账等内容的文件化成果；涉及红色、橙色风险时，其辨识、评价过程记录，风险控制措施及其实施和改进记录等，应单独建档管理。</w:t>
      </w:r>
    </w:p>
    <w:p>
      <w:pPr>
        <w:rPr>
          <w:rFonts w:ascii="Times New Roman" w:hAnsi="Times New Roman" w:cs="Times New Roman"/>
          <w:b/>
          <w:bCs/>
          <w:sz w:val="22"/>
          <w:szCs w:val="32"/>
        </w:rPr>
      </w:pPr>
      <w:r>
        <w:rPr>
          <w:rFonts w:hint="eastAsia" w:ascii="Times New Roman" w:hAnsi="Times New Roman" w:cs="Times New Roman"/>
          <w:b/>
          <w:bCs/>
          <w:sz w:val="22"/>
          <w:szCs w:val="32"/>
        </w:rPr>
        <w:t>12</w:t>
      </w:r>
      <w:r>
        <w:rPr>
          <w:rFonts w:ascii="Times New Roman" w:hAnsi="Times New Roman" w:cs="Times New Roman"/>
          <w:b/>
          <w:bCs/>
          <w:sz w:val="22"/>
          <w:szCs w:val="32"/>
        </w:rPr>
        <w:t>.2　风险信息应用</w:t>
      </w:r>
    </w:p>
    <w:p>
      <w:pPr>
        <w:ind w:firstLine="420" w:firstLineChars="200"/>
        <w:rPr>
          <w:rFonts w:ascii="Times New Roman" w:hAnsi="Times New Roman" w:cs="Times New Roman"/>
          <w:szCs w:val="28"/>
        </w:rPr>
      </w:pPr>
      <w:r>
        <w:rPr>
          <w:rFonts w:ascii="Times New Roman" w:hAnsi="Times New Roman" w:cs="Times New Roman"/>
          <w:szCs w:val="28"/>
        </w:rPr>
        <w:t>结合风险评价的结果将制定的风险控制措施告知内部员工和相关方。对企业内员工应进行风险分析结果记录和管控措施的培训，掌握本岗位的风险点包含危险源的风险等级、所需管控措施、责任部门、责任人等信息；对相关方的培训应包括风险点位置、风险等级和管控措施等。</w:t>
      </w:r>
    </w:p>
    <w:p>
      <w:pPr>
        <w:rPr>
          <w:rFonts w:ascii="Times New Roman" w:hAnsi="Times New Roman" w:cs="Times New Roman"/>
          <w:b/>
          <w:bCs/>
          <w:sz w:val="22"/>
          <w:szCs w:val="32"/>
        </w:rPr>
      </w:pPr>
      <w:r>
        <w:rPr>
          <w:rFonts w:hint="eastAsia" w:ascii="Times New Roman" w:hAnsi="Times New Roman" w:cs="Times New Roman"/>
          <w:b/>
          <w:bCs/>
          <w:sz w:val="22"/>
          <w:szCs w:val="32"/>
        </w:rPr>
        <w:t>12.3</w:t>
      </w:r>
      <w:r>
        <w:rPr>
          <w:rFonts w:ascii="Times New Roman" w:hAnsi="Times New Roman" w:cs="Times New Roman"/>
          <w:b/>
          <w:bCs/>
          <w:sz w:val="22"/>
          <w:szCs w:val="32"/>
        </w:rPr>
        <w:t>　分级管控的效果</w:t>
      </w:r>
    </w:p>
    <w:p>
      <w:pPr>
        <w:ind w:firstLine="420" w:firstLineChars="200"/>
        <w:rPr>
          <w:rFonts w:ascii="Times New Roman" w:hAnsi="Times New Roman" w:cs="Times New Roman"/>
          <w:szCs w:val="28"/>
        </w:rPr>
      </w:pPr>
      <w:r>
        <w:rPr>
          <w:rFonts w:ascii="Times New Roman" w:hAnsi="Times New Roman" w:cs="Times New Roman"/>
          <w:szCs w:val="28"/>
        </w:rPr>
        <w:t>通过风险分级管控体系建设，应至少在以下方面有所改进：</w:t>
      </w:r>
    </w:p>
    <w:p>
      <w:pPr>
        <w:ind w:firstLine="420" w:firstLineChars="200"/>
        <w:rPr>
          <w:rFonts w:ascii="Times New Roman" w:hAnsi="Times New Roman" w:cs="Times New Roman"/>
          <w:szCs w:val="28"/>
        </w:rPr>
      </w:pPr>
      <w:r>
        <w:rPr>
          <w:rFonts w:ascii="Times New Roman" w:hAnsi="Times New Roman" w:cs="Times New Roman"/>
          <w:szCs w:val="28"/>
        </w:rPr>
        <w:t>——每一轮风险辨识和评价后，应使原有管控措施得到改进，或者通过增加新的管控措施提高安全可靠性；</w:t>
      </w:r>
    </w:p>
    <w:p>
      <w:pPr>
        <w:ind w:firstLine="420" w:firstLineChars="200"/>
        <w:rPr>
          <w:rFonts w:ascii="Times New Roman" w:hAnsi="Times New Roman" w:cs="Times New Roman"/>
          <w:szCs w:val="28"/>
        </w:rPr>
      </w:pPr>
      <w:r>
        <w:rPr>
          <w:rFonts w:ascii="Times New Roman" w:hAnsi="Times New Roman" w:cs="Times New Roman"/>
          <w:szCs w:val="28"/>
        </w:rPr>
        <w:t>——完善重大风险场所、部位的警示标识；</w:t>
      </w:r>
    </w:p>
    <w:p>
      <w:pPr>
        <w:ind w:firstLine="420" w:firstLineChars="200"/>
        <w:rPr>
          <w:rFonts w:ascii="Times New Roman" w:hAnsi="Times New Roman" w:cs="Times New Roman"/>
          <w:szCs w:val="28"/>
        </w:rPr>
      </w:pPr>
      <w:r>
        <w:rPr>
          <w:rFonts w:ascii="Times New Roman" w:hAnsi="Times New Roman" w:cs="Times New Roman"/>
          <w:szCs w:val="28"/>
        </w:rPr>
        <w:t>——涉及重大风险部位的作业、属于重大风险的作业建立了专人监护制度；</w:t>
      </w:r>
    </w:p>
    <w:p>
      <w:pPr>
        <w:ind w:firstLine="420" w:firstLineChars="200"/>
        <w:rPr>
          <w:rFonts w:ascii="Times New Roman" w:hAnsi="Times New Roman" w:cs="Times New Roman"/>
          <w:szCs w:val="28"/>
        </w:rPr>
      </w:pPr>
      <w:r>
        <w:rPr>
          <w:rFonts w:ascii="Times New Roman" w:hAnsi="Times New Roman" w:cs="Times New Roman"/>
          <w:szCs w:val="28"/>
        </w:rPr>
        <w:t>——员工对所从事岗位的风险有更充分的认识，安全技能和应急处置能力进一步提高；</w:t>
      </w:r>
    </w:p>
    <w:p>
      <w:pPr>
        <w:ind w:firstLine="420" w:firstLineChars="200"/>
        <w:rPr>
          <w:rFonts w:ascii="Times New Roman" w:hAnsi="Times New Roman" w:cs="Times New Roman"/>
          <w:szCs w:val="28"/>
        </w:rPr>
      </w:pPr>
      <w:r>
        <w:rPr>
          <w:rFonts w:ascii="Times New Roman" w:hAnsi="Times New Roman" w:cs="Times New Roman"/>
          <w:szCs w:val="28"/>
        </w:rPr>
        <w:t>——保证风险控制措施持续有效的制度得到改进和完善，风险管控能力得到加强；</w:t>
      </w:r>
    </w:p>
    <w:p>
      <w:pPr>
        <w:ind w:firstLine="420" w:firstLineChars="200"/>
        <w:rPr>
          <w:rFonts w:ascii="Times New Roman" w:hAnsi="Times New Roman" w:cs="Times New Roman"/>
          <w:szCs w:val="28"/>
        </w:rPr>
      </w:pPr>
      <w:r>
        <w:rPr>
          <w:rFonts w:ascii="Times New Roman" w:hAnsi="Times New Roman" w:cs="Times New Roman"/>
          <w:szCs w:val="28"/>
        </w:rPr>
        <w:t>——根据改进的风险控制措施，完善隐患排查项目清单，使隐患排查工作更有针对性。</w:t>
      </w: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持续改进</w:t>
      </w:r>
    </w:p>
    <w:p>
      <w:pPr>
        <w:rPr>
          <w:rFonts w:ascii="Times New Roman" w:hAnsi="Times New Roman" w:cs="Times New Roman"/>
          <w:b/>
          <w:bCs/>
          <w:sz w:val="22"/>
          <w:szCs w:val="32"/>
        </w:rPr>
      </w:pPr>
      <w:r>
        <w:rPr>
          <w:rFonts w:hint="eastAsia" w:ascii="Times New Roman" w:hAnsi="Times New Roman" w:cs="Times New Roman"/>
          <w:b/>
          <w:bCs/>
          <w:sz w:val="22"/>
          <w:szCs w:val="32"/>
        </w:rPr>
        <w:t>13.1</w:t>
      </w:r>
      <w:r>
        <w:rPr>
          <w:rFonts w:ascii="Times New Roman" w:hAnsi="Times New Roman" w:cs="Times New Roman"/>
          <w:b/>
          <w:bCs/>
          <w:sz w:val="22"/>
          <w:szCs w:val="32"/>
        </w:rPr>
        <w:t xml:space="preserve"> 评审</w:t>
      </w:r>
    </w:p>
    <w:p>
      <w:pPr>
        <w:ind w:firstLine="436" w:firstLineChars="200"/>
        <w:rPr>
          <w:rFonts w:ascii="Times New Roman" w:hAnsi="Times New Roman" w:cs="Times New Roman"/>
          <w:spacing w:val="4"/>
          <w:szCs w:val="28"/>
        </w:rPr>
      </w:pPr>
      <w:r>
        <w:rPr>
          <w:rFonts w:ascii="Times New Roman" w:hAnsi="Times New Roman" w:cs="Times New Roman"/>
          <w:spacing w:val="4"/>
          <w:szCs w:val="28"/>
        </w:rPr>
        <w:t>每年至少对风险分级管控体系进行一次系统性评审或更新。根据非常规作业活动、新增功能性区域、装置或设施等适时开展危险源辨识和风险评价。</w:t>
      </w:r>
    </w:p>
    <w:p>
      <w:pPr>
        <w:rPr>
          <w:rFonts w:ascii="Times New Roman" w:hAnsi="Times New Roman" w:cs="Times New Roman"/>
          <w:b/>
          <w:bCs/>
          <w:sz w:val="22"/>
          <w:szCs w:val="32"/>
        </w:rPr>
      </w:pPr>
      <w:r>
        <w:rPr>
          <w:rFonts w:hint="eastAsia" w:ascii="Times New Roman" w:hAnsi="Times New Roman" w:cs="Times New Roman"/>
          <w:b/>
          <w:bCs/>
          <w:sz w:val="22"/>
          <w:szCs w:val="32"/>
        </w:rPr>
        <w:t xml:space="preserve">13.2 </w:t>
      </w:r>
      <w:r>
        <w:rPr>
          <w:rFonts w:ascii="Times New Roman" w:hAnsi="Times New Roman" w:cs="Times New Roman"/>
          <w:b/>
          <w:bCs/>
          <w:sz w:val="22"/>
          <w:szCs w:val="32"/>
        </w:rPr>
        <w:t>更新</w:t>
      </w:r>
    </w:p>
    <w:p>
      <w:pPr>
        <w:ind w:firstLine="436" w:firstLineChars="200"/>
        <w:rPr>
          <w:rFonts w:ascii="Times New Roman" w:hAnsi="Times New Roman" w:cs="Times New Roman"/>
          <w:spacing w:val="4"/>
          <w:szCs w:val="28"/>
        </w:rPr>
      </w:pPr>
      <w:r>
        <w:rPr>
          <w:rFonts w:ascii="Times New Roman" w:hAnsi="Times New Roman" w:cs="Times New Roman"/>
          <w:spacing w:val="4"/>
          <w:szCs w:val="28"/>
        </w:rPr>
        <w:t>主动根据以下情况变化对风险管控的影响，及时针对变化范围开展风险分析，及时更新风险信息：</w:t>
      </w:r>
    </w:p>
    <w:p>
      <w:pPr>
        <w:ind w:firstLine="436" w:firstLineChars="200"/>
        <w:rPr>
          <w:rFonts w:ascii="Times New Roman" w:hAnsi="Times New Roman" w:cs="Times New Roman"/>
          <w:spacing w:val="4"/>
          <w:szCs w:val="28"/>
        </w:rPr>
      </w:pPr>
      <w:r>
        <w:rPr>
          <w:rFonts w:ascii="Times New Roman" w:hAnsi="Times New Roman" w:cs="Times New Roman"/>
          <w:spacing w:val="4"/>
          <w:szCs w:val="28"/>
        </w:rPr>
        <w:t>法规、标准等增减、修订变化所引起风险程度的改变；</w:t>
      </w:r>
    </w:p>
    <w:p>
      <w:pPr>
        <w:rPr>
          <w:rFonts w:ascii="Times New Roman" w:hAnsi="Times New Roman" w:cs="Times New Roman"/>
          <w:spacing w:val="4"/>
          <w:szCs w:val="28"/>
        </w:rPr>
      </w:pPr>
      <w:r>
        <w:rPr>
          <w:rFonts w:ascii="Times New Roman" w:hAnsi="Times New Roman" w:cs="Times New Roman"/>
          <w:spacing w:val="4"/>
          <w:szCs w:val="28"/>
        </w:rPr>
        <w:t xml:space="preserve">    发生事故后，有对事故、事件或其他信息的新认识，对相关危险源的再评价；</w:t>
      </w:r>
    </w:p>
    <w:p>
      <w:pPr>
        <w:rPr>
          <w:rFonts w:ascii="Times New Roman" w:hAnsi="Times New Roman" w:cs="Times New Roman"/>
          <w:spacing w:val="4"/>
          <w:szCs w:val="28"/>
        </w:rPr>
      </w:pPr>
      <w:r>
        <w:rPr>
          <w:rFonts w:ascii="Times New Roman" w:hAnsi="Times New Roman" w:cs="Times New Roman"/>
          <w:spacing w:val="4"/>
          <w:szCs w:val="28"/>
        </w:rPr>
        <w:t xml:space="preserve">    组织机构发生重大调整；</w:t>
      </w:r>
    </w:p>
    <w:p>
      <w:pPr>
        <w:rPr>
          <w:rFonts w:ascii="Times New Roman" w:hAnsi="Times New Roman" w:cs="Times New Roman"/>
          <w:spacing w:val="4"/>
          <w:szCs w:val="28"/>
        </w:rPr>
      </w:pPr>
      <w:r>
        <w:rPr>
          <w:rFonts w:ascii="Times New Roman" w:hAnsi="Times New Roman" w:cs="Times New Roman"/>
          <w:spacing w:val="4"/>
          <w:szCs w:val="28"/>
        </w:rPr>
        <w:t xml:space="preserve">    补充新辨识出的危险源评价；</w:t>
      </w:r>
    </w:p>
    <w:p>
      <w:pPr>
        <w:rPr>
          <w:rFonts w:ascii="Times New Roman" w:hAnsi="Times New Roman" w:cs="Times New Roman"/>
          <w:spacing w:val="4"/>
          <w:szCs w:val="28"/>
        </w:rPr>
      </w:pPr>
      <w:r>
        <w:rPr>
          <w:rFonts w:ascii="Times New Roman" w:hAnsi="Times New Roman" w:cs="Times New Roman"/>
          <w:spacing w:val="4"/>
          <w:szCs w:val="28"/>
        </w:rPr>
        <w:t xml:space="preserve">    风险程度变化后，需要对风险控制措施的调整。</w:t>
      </w:r>
    </w:p>
    <w:p>
      <w:pPr>
        <w:rPr>
          <w:rFonts w:ascii="Times New Roman" w:hAnsi="Times New Roman" w:cs="Times New Roman"/>
          <w:b/>
          <w:bCs/>
          <w:sz w:val="22"/>
          <w:szCs w:val="32"/>
        </w:rPr>
      </w:pPr>
      <w:r>
        <w:rPr>
          <w:rFonts w:hint="eastAsia" w:ascii="Times New Roman" w:hAnsi="Times New Roman" w:cs="Times New Roman"/>
          <w:b/>
          <w:bCs/>
          <w:sz w:val="22"/>
          <w:szCs w:val="32"/>
        </w:rPr>
        <w:t>13.3</w:t>
      </w:r>
      <w:r>
        <w:rPr>
          <w:rFonts w:ascii="Times New Roman" w:hAnsi="Times New Roman" w:cs="Times New Roman"/>
          <w:b/>
          <w:bCs/>
          <w:sz w:val="22"/>
          <w:szCs w:val="32"/>
        </w:rPr>
        <w:t xml:space="preserve"> 沟通</w:t>
      </w:r>
    </w:p>
    <w:p>
      <w:pPr>
        <w:ind w:firstLine="436" w:firstLineChars="200"/>
        <w:rPr>
          <w:rFonts w:ascii="Times New Roman" w:hAnsi="Times New Roman" w:cs="Times New Roman"/>
          <w:spacing w:val="4"/>
          <w:szCs w:val="28"/>
        </w:rPr>
      </w:pPr>
      <w:r>
        <w:rPr>
          <w:rFonts w:ascii="Times New Roman" w:hAnsi="Times New Roman" w:cs="Times New Roman"/>
          <w:spacing w:val="4"/>
          <w:szCs w:val="28"/>
        </w:rPr>
        <w:t>建立不同职能和层级间的内部沟通和用于与相关方的外部风险管控沟通机制，及时有效传递风险信息，树立内外部风险管控信心，提高风险管控效果和效率。重大风险信息更新后应及时组织相关人员进行培训。</w:t>
      </w:r>
    </w:p>
    <w:p>
      <w:pPr>
        <w:rPr>
          <w:rFonts w:ascii="Times New Roman" w:hAnsi="Times New Roman" w:cs="Times New Roman"/>
          <w:spacing w:val="4"/>
          <w:szCs w:val="28"/>
        </w:rPr>
      </w:pPr>
    </w:p>
    <w:p>
      <w:pPr>
        <w:ind w:firstLine="436" w:firstLineChars="200"/>
        <w:rPr>
          <w:rFonts w:ascii="Times New Roman" w:hAnsi="Times New Roman" w:cs="Times New Roman"/>
          <w:spacing w:val="4"/>
          <w:szCs w:val="28"/>
        </w:rPr>
      </w:pPr>
    </w:p>
    <w:p>
      <w:pPr>
        <w:ind w:firstLine="436" w:firstLineChars="200"/>
        <w:rPr>
          <w:rFonts w:ascii="Times New Roman" w:hAnsi="Times New Roman" w:cs="Times New Roman"/>
          <w:spacing w:val="4"/>
          <w:szCs w:val="28"/>
        </w:rPr>
      </w:pPr>
    </w:p>
    <w:p>
      <w:pPr>
        <w:ind w:firstLine="436" w:firstLineChars="200"/>
        <w:rPr>
          <w:rFonts w:ascii="Times New Roman" w:hAnsi="Times New Roman" w:cs="Times New Roman"/>
          <w:spacing w:val="4"/>
          <w:szCs w:val="28"/>
        </w:rPr>
      </w:pPr>
    </w:p>
    <w:p>
      <w:pPr>
        <w:ind w:firstLine="436" w:firstLineChars="200"/>
        <w:rPr>
          <w:rFonts w:ascii="Times New Roman" w:hAnsi="Times New Roman" w:cs="Times New Roman"/>
          <w:spacing w:val="4"/>
          <w:szCs w:val="28"/>
        </w:rPr>
      </w:pPr>
    </w:p>
    <w:bookmarkEnd w:id="8"/>
    <w:bookmarkEnd w:id="9"/>
    <w:p>
      <w:pPr>
        <w:ind w:firstLine="320" w:firstLineChars="200"/>
        <w:jc w:val="center"/>
        <w:rPr>
          <w:szCs w:val="36"/>
        </w:rPr>
      </w:pPr>
      <w:r>
        <w:rPr>
          <w:sz w:val="16"/>
        </w:rPr>
        <w:br w:type="textWrapping"/>
      </w:r>
      <w:r>
        <w:rPr>
          <w:rFonts w:hint="eastAsia"/>
          <w:b/>
          <w:bCs/>
          <w:sz w:val="22"/>
          <w:szCs w:val="40"/>
        </w:rPr>
        <w:t>（资料性附录）</w:t>
      </w:r>
      <w:r>
        <w:rPr>
          <w:b/>
          <w:bCs/>
          <w:sz w:val="22"/>
          <w:szCs w:val="40"/>
        </w:rPr>
        <w:br w:type="textWrapping"/>
      </w:r>
      <w:r>
        <w:rPr>
          <w:rFonts w:hint="eastAsia"/>
          <w:szCs w:val="36"/>
        </w:rPr>
        <w:t>分析记录表</w:t>
      </w:r>
    </w:p>
    <w:p>
      <w:pPr>
        <w:pStyle w:val="25"/>
        <w:numPr>
          <w:ilvl w:val="1"/>
          <w:numId w:val="0"/>
        </w:numPr>
        <w:tabs>
          <w:tab w:val="clear" w:pos="1440"/>
        </w:tabs>
        <w:spacing w:before="312" w:after="312"/>
        <w:rPr>
          <w:sz w:val="16"/>
        </w:rPr>
      </w:pPr>
      <w:bookmarkStart w:id="10" w:name="_Toc479257300"/>
      <w:bookmarkStart w:id="11" w:name="_Toc11921449"/>
      <w:bookmarkStart w:id="12" w:name="_Toc479175342"/>
      <w:bookmarkStart w:id="13" w:name="_Toc479171755"/>
      <w:r>
        <w:rPr>
          <w:rFonts w:hint="eastAsia"/>
          <w:sz w:val="16"/>
        </w:rPr>
        <w:t>风险点登记台账</w:t>
      </w:r>
      <w:bookmarkEnd w:id="10"/>
      <w:bookmarkEnd w:id="11"/>
      <w:bookmarkEnd w:id="12"/>
      <w:bookmarkEnd w:id="13"/>
    </w:p>
    <w:p>
      <w:pPr>
        <w:tabs>
          <w:tab w:val="left" w:pos="3119"/>
          <w:tab w:val="left" w:pos="7088"/>
        </w:tabs>
        <w:ind w:firstLine="325" w:firstLineChars="250"/>
        <w:rPr>
          <w:rFonts w:ascii="宋体" w:hAnsi="宋体"/>
          <w:sz w:val="13"/>
          <w:szCs w:val="18"/>
        </w:rPr>
      </w:pPr>
      <w:r>
        <w:rPr>
          <w:rFonts w:hint="eastAsia" w:ascii="宋体" w:hAnsi="宋体" w:cs="仿宋_GB2312"/>
          <w:sz w:val="13"/>
          <w:szCs w:val="18"/>
        </w:rPr>
        <w:t>（记录受控号）单位</w:t>
      </w:r>
      <w:r>
        <w:rPr>
          <w:rFonts w:ascii="宋体" w:hAnsi="宋体" w:cs="仿宋_GB2312"/>
          <w:sz w:val="13"/>
          <w:szCs w:val="18"/>
        </w:rPr>
        <w:t>:</w:t>
      </w:r>
      <w:r>
        <w:rPr>
          <w:rFonts w:hint="eastAsia" w:ascii="宋体" w:hAnsi="宋体" w:cs="仿宋_GB2312"/>
          <w:sz w:val="13"/>
          <w:szCs w:val="18"/>
        </w:rPr>
        <w:t xml:space="preserve">                                                     No：</w:t>
      </w:r>
    </w:p>
    <w:tbl>
      <w:tblPr>
        <w:tblStyle w:val="11"/>
        <w:tblW w:w="8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1385"/>
        <w:gridCol w:w="657"/>
        <w:gridCol w:w="1910"/>
        <w:gridCol w:w="1547"/>
        <w:gridCol w:w="1943"/>
        <w:gridCol w:w="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8" w:hRule="atLeast"/>
          <w:jc w:val="center"/>
        </w:trPr>
        <w:tc>
          <w:tcPr>
            <w:tcW w:w="612" w:type="dxa"/>
            <w:vAlign w:val="center"/>
          </w:tcPr>
          <w:p>
            <w:pPr>
              <w:tabs>
                <w:tab w:val="left" w:pos="3119"/>
              </w:tabs>
              <w:jc w:val="center"/>
              <w:rPr>
                <w:rFonts w:ascii="宋体" w:hAnsi="宋体" w:cs="仿宋_GB2312"/>
                <w:sz w:val="13"/>
                <w:szCs w:val="18"/>
              </w:rPr>
            </w:pPr>
            <w:r>
              <w:rPr>
                <w:rFonts w:hint="eastAsia" w:ascii="宋体" w:hAnsi="宋体" w:cs="仿宋_GB2312"/>
                <w:sz w:val="13"/>
                <w:szCs w:val="18"/>
              </w:rPr>
              <w:t>序号</w:t>
            </w:r>
          </w:p>
        </w:tc>
        <w:tc>
          <w:tcPr>
            <w:tcW w:w="1385" w:type="dxa"/>
            <w:vAlign w:val="center"/>
          </w:tcPr>
          <w:p>
            <w:pPr>
              <w:tabs>
                <w:tab w:val="left" w:pos="3119"/>
              </w:tabs>
              <w:jc w:val="center"/>
              <w:rPr>
                <w:rFonts w:ascii="宋体" w:hAnsi="宋体" w:cs="仿宋_GB2312"/>
                <w:sz w:val="13"/>
                <w:szCs w:val="18"/>
              </w:rPr>
            </w:pPr>
            <w:r>
              <w:rPr>
                <w:rFonts w:hint="eastAsia" w:ascii="宋体" w:hAnsi="宋体" w:cs="仿宋_GB2312"/>
                <w:sz w:val="13"/>
                <w:szCs w:val="18"/>
              </w:rPr>
              <w:t>风险点名称</w:t>
            </w:r>
          </w:p>
        </w:tc>
        <w:tc>
          <w:tcPr>
            <w:tcW w:w="657" w:type="dxa"/>
            <w:vAlign w:val="center"/>
          </w:tcPr>
          <w:p>
            <w:pPr>
              <w:tabs>
                <w:tab w:val="left" w:pos="3119"/>
              </w:tabs>
              <w:jc w:val="center"/>
              <w:rPr>
                <w:rFonts w:ascii="宋体" w:hAnsi="宋体" w:cs="仿宋_GB2312"/>
                <w:sz w:val="13"/>
                <w:szCs w:val="18"/>
              </w:rPr>
            </w:pPr>
            <w:r>
              <w:rPr>
                <w:rFonts w:hint="eastAsia" w:ascii="宋体" w:hAnsi="宋体" w:cs="仿宋_GB2312"/>
                <w:sz w:val="13"/>
                <w:szCs w:val="18"/>
              </w:rPr>
              <w:t>类型</w:t>
            </w:r>
          </w:p>
        </w:tc>
        <w:tc>
          <w:tcPr>
            <w:tcW w:w="1910" w:type="dxa"/>
            <w:vAlign w:val="center"/>
          </w:tcPr>
          <w:p>
            <w:pPr>
              <w:tabs>
                <w:tab w:val="left" w:pos="3119"/>
              </w:tabs>
              <w:jc w:val="center"/>
              <w:rPr>
                <w:rFonts w:ascii="宋体" w:hAnsi="宋体" w:cs="仿宋_GB2312"/>
                <w:sz w:val="13"/>
                <w:szCs w:val="18"/>
              </w:rPr>
            </w:pPr>
            <w:r>
              <w:rPr>
                <w:rFonts w:hint="eastAsia" w:ascii="宋体" w:hAnsi="宋体" w:cs="仿宋_GB2312"/>
                <w:sz w:val="13"/>
                <w:szCs w:val="18"/>
              </w:rPr>
              <w:t>可能导致的</w:t>
            </w:r>
          </w:p>
          <w:p>
            <w:pPr>
              <w:tabs>
                <w:tab w:val="left" w:pos="3119"/>
              </w:tabs>
              <w:jc w:val="center"/>
              <w:rPr>
                <w:rFonts w:ascii="宋体" w:hAnsi="宋体" w:cs="仿宋_GB2312"/>
                <w:sz w:val="13"/>
                <w:szCs w:val="18"/>
              </w:rPr>
            </w:pPr>
            <w:r>
              <w:rPr>
                <w:rFonts w:hint="eastAsia" w:ascii="宋体" w:hAnsi="宋体" w:cs="仿宋_GB2312"/>
                <w:sz w:val="13"/>
                <w:szCs w:val="18"/>
              </w:rPr>
              <w:t>主要事故类型</w:t>
            </w:r>
          </w:p>
        </w:tc>
        <w:tc>
          <w:tcPr>
            <w:tcW w:w="1547" w:type="dxa"/>
            <w:vAlign w:val="center"/>
          </w:tcPr>
          <w:p>
            <w:pPr>
              <w:tabs>
                <w:tab w:val="left" w:pos="3119"/>
              </w:tabs>
              <w:jc w:val="center"/>
              <w:rPr>
                <w:rFonts w:ascii="宋体" w:hAnsi="宋体" w:cs="仿宋_GB2312"/>
                <w:sz w:val="13"/>
                <w:szCs w:val="18"/>
              </w:rPr>
            </w:pPr>
            <w:r>
              <w:rPr>
                <w:rFonts w:hint="eastAsia" w:ascii="宋体" w:hAnsi="宋体" w:cs="仿宋_GB2312"/>
                <w:sz w:val="13"/>
                <w:szCs w:val="18"/>
              </w:rPr>
              <w:t>区域位置</w:t>
            </w:r>
          </w:p>
        </w:tc>
        <w:tc>
          <w:tcPr>
            <w:tcW w:w="1943" w:type="dxa"/>
            <w:vAlign w:val="center"/>
          </w:tcPr>
          <w:p>
            <w:pPr>
              <w:tabs>
                <w:tab w:val="left" w:pos="3119"/>
              </w:tabs>
              <w:jc w:val="center"/>
              <w:rPr>
                <w:rFonts w:ascii="宋体" w:hAnsi="宋体" w:cs="仿宋_GB2312"/>
                <w:sz w:val="13"/>
                <w:szCs w:val="18"/>
              </w:rPr>
            </w:pPr>
            <w:r>
              <w:rPr>
                <w:rFonts w:hint="eastAsia" w:ascii="宋体" w:hAnsi="宋体" w:cs="仿宋_GB2312"/>
                <w:sz w:val="13"/>
                <w:szCs w:val="18"/>
              </w:rPr>
              <w:t>所属单位</w:t>
            </w:r>
          </w:p>
        </w:tc>
        <w:tc>
          <w:tcPr>
            <w:tcW w:w="763" w:type="dxa"/>
            <w:vAlign w:val="center"/>
          </w:tcPr>
          <w:p>
            <w:pPr>
              <w:tabs>
                <w:tab w:val="left" w:pos="3119"/>
              </w:tabs>
              <w:jc w:val="center"/>
              <w:rPr>
                <w:rFonts w:ascii="宋体" w:hAnsi="宋体" w:cs="仿宋_GB2312"/>
                <w:sz w:val="13"/>
                <w:szCs w:val="18"/>
              </w:rPr>
            </w:pPr>
            <w:r>
              <w:rPr>
                <w:rFonts w:hint="eastAsia" w:ascii="宋体" w:hAnsi="宋体" w:cs="仿宋_GB2312"/>
                <w:sz w:val="13"/>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612" w:type="dxa"/>
            <w:vAlign w:val="center"/>
          </w:tcPr>
          <w:p>
            <w:pPr>
              <w:jc w:val="center"/>
              <w:rPr>
                <w:rFonts w:ascii="宋体" w:hAnsi="宋体" w:cs="仿宋_GB2312"/>
                <w:sz w:val="13"/>
                <w:szCs w:val="18"/>
              </w:rPr>
            </w:pPr>
          </w:p>
        </w:tc>
        <w:tc>
          <w:tcPr>
            <w:tcW w:w="1385" w:type="dxa"/>
            <w:vAlign w:val="center"/>
          </w:tcPr>
          <w:p>
            <w:pPr>
              <w:jc w:val="center"/>
              <w:rPr>
                <w:rFonts w:ascii="宋体" w:hAnsi="宋体" w:cs="仿宋_GB2312"/>
                <w:sz w:val="13"/>
                <w:szCs w:val="18"/>
              </w:rPr>
            </w:pPr>
          </w:p>
        </w:tc>
        <w:tc>
          <w:tcPr>
            <w:tcW w:w="657" w:type="dxa"/>
          </w:tcPr>
          <w:p>
            <w:pPr>
              <w:jc w:val="center"/>
              <w:rPr>
                <w:rFonts w:ascii="宋体" w:hAnsi="宋体" w:cs="仿宋_GB2312"/>
                <w:sz w:val="13"/>
                <w:szCs w:val="18"/>
              </w:rPr>
            </w:pPr>
          </w:p>
        </w:tc>
        <w:tc>
          <w:tcPr>
            <w:tcW w:w="1910" w:type="dxa"/>
            <w:vAlign w:val="center"/>
          </w:tcPr>
          <w:p>
            <w:pPr>
              <w:jc w:val="center"/>
              <w:rPr>
                <w:rFonts w:ascii="宋体" w:hAnsi="宋体" w:cs="仿宋_GB2312"/>
                <w:sz w:val="13"/>
                <w:szCs w:val="18"/>
              </w:rPr>
            </w:pPr>
          </w:p>
        </w:tc>
        <w:tc>
          <w:tcPr>
            <w:tcW w:w="1547" w:type="dxa"/>
            <w:vAlign w:val="center"/>
          </w:tcPr>
          <w:p>
            <w:pPr>
              <w:jc w:val="center"/>
              <w:rPr>
                <w:rFonts w:ascii="宋体" w:hAnsi="宋体" w:cs="仿宋_GB2312"/>
                <w:sz w:val="13"/>
                <w:szCs w:val="18"/>
              </w:rPr>
            </w:pPr>
          </w:p>
        </w:tc>
        <w:tc>
          <w:tcPr>
            <w:tcW w:w="1943" w:type="dxa"/>
          </w:tcPr>
          <w:p>
            <w:pPr>
              <w:jc w:val="center"/>
              <w:rPr>
                <w:rFonts w:ascii="宋体" w:hAnsi="宋体" w:cs="仿宋_GB2312"/>
                <w:sz w:val="13"/>
                <w:szCs w:val="18"/>
              </w:rPr>
            </w:pPr>
          </w:p>
        </w:tc>
        <w:tc>
          <w:tcPr>
            <w:tcW w:w="763" w:type="dxa"/>
            <w:vAlign w:val="center"/>
          </w:tcPr>
          <w:p>
            <w:pPr>
              <w:jc w:val="center"/>
              <w:rPr>
                <w:rFonts w:ascii="宋体" w:hAnsi="宋体" w:cs="仿宋_GB2312"/>
                <w:sz w:val="13"/>
                <w:szCs w:val="18"/>
              </w:rPr>
            </w:pPr>
          </w:p>
        </w:tc>
      </w:tr>
    </w:tbl>
    <w:p>
      <w:pPr>
        <w:tabs>
          <w:tab w:val="left" w:pos="1985"/>
        </w:tabs>
        <w:ind w:firstLine="390" w:firstLineChars="300"/>
        <w:rPr>
          <w:rFonts w:ascii="宋体" w:hAnsi="宋体" w:cs="仿宋_GB2312"/>
          <w:sz w:val="13"/>
          <w:szCs w:val="18"/>
        </w:rPr>
      </w:pPr>
      <w:r>
        <w:rPr>
          <w:rFonts w:hint="eastAsia" w:ascii="宋体" w:hAnsi="宋体" w:cs="仿宋_GB2312"/>
          <w:sz w:val="13"/>
          <w:szCs w:val="18"/>
        </w:rPr>
        <w:t>填表人：                                         审核人：        审核日期：      年   月   日</w:t>
      </w:r>
    </w:p>
    <w:p>
      <w:pPr>
        <w:tabs>
          <w:tab w:val="left" w:pos="3119"/>
        </w:tabs>
        <w:ind w:firstLine="325" w:firstLineChars="250"/>
        <w:rPr>
          <w:sz w:val="16"/>
        </w:rPr>
      </w:pPr>
      <w:r>
        <w:rPr>
          <w:rFonts w:hint="eastAsia" w:ascii="宋体" w:hAnsi="宋体" w:cs="仿宋_GB2312"/>
          <w:sz w:val="13"/>
          <w:szCs w:val="18"/>
        </w:rPr>
        <w:t>（此表是初步划分风险点时的记录表格。可能导致事故类型：参照GB6441</w:t>
      </w:r>
      <w:r>
        <w:rPr>
          <w:rFonts w:ascii="宋体" w:hAnsi="宋体" w:cs="仿宋_GB2312"/>
          <w:sz w:val="13"/>
          <w:szCs w:val="18"/>
        </w:rPr>
        <w:t>《企业职工伤亡事故分类标准》</w:t>
      </w:r>
      <w:r>
        <w:rPr>
          <w:rFonts w:hint="eastAsia" w:ascii="宋体" w:hAnsi="宋体" w:cs="仿宋_GB2312"/>
          <w:sz w:val="13"/>
          <w:szCs w:val="18"/>
        </w:rPr>
        <w:t>填写。）</w:t>
      </w:r>
    </w:p>
    <w:p>
      <w:pPr>
        <w:pStyle w:val="25"/>
        <w:numPr>
          <w:ilvl w:val="1"/>
          <w:numId w:val="0"/>
        </w:numPr>
        <w:tabs>
          <w:tab w:val="clear" w:pos="1440"/>
        </w:tabs>
        <w:spacing w:before="312" w:after="312"/>
        <w:rPr>
          <w:sz w:val="16"/>
        </w:rPr>
      </w:pPr>
      <w:bookmarkStart w:id="14" w:name="_Toc479257301"/>
      <w:bookmarkStart w:id="15" w:name="_Toc479171756"/>
      <w:bookmarkStart w:id="16" w:name="_Toc11921450"/>
      <w:bookmarkStart w:id="17" w:name="_Toc479175343"/>
      <w:r>
        <w:rPr>
          <w:rFonts w:hint="eastAsia"/>
          <w:sz w:val="16"/>
        </w:rPr>
        <w:t>作业活动清单</w:t>
      </w:r>
      <w:bookmarkEnd w:id="14"/>
      <w:bookmarkEnd w:id="15"/>
      <w:bookmarkEnd w:id="16"/>
      <w:bookmarkEnd w:id="17"/>
    </w:p>
    <w:p>
      <w:pPr>
        <w:tabs>
          <w:tab w:val="left" w:pos="3119"/>
        </w:tabs>
        <w:ind w:firstLine="325" w:firstLineChars="250"/>
        <w:rPr>
          <w:rFonts w:ascii="宋体" w:hAnsi="宋体"/>
          <w:sz w:val="13"/>
          <w:szCs w:val="18"/>
        </w:rPr>
      </w:pPr>
      <w:r>
        <w:rPr>
          <w:rFonts w:hint="eastAsia" w:ascii="宋体" w:hAnsi="宋体" w:cs="仿宋_GB2312"/>
          <w:sz w:val="13"/>
          <w:szCs w:val="18"/>
        </w:rPr>
        <w:t>（记录受控号）单位</w:t>
      </w:r>
      <w:r>
        <w:rPr>
          <w:rFonts w:ascii="宋体" w:hAnsi="宋体" w:cs="仿宋_GB2312"/>
          <w:sz w:val="13"/>
          <w:szCs w:val="18"/>
        </w:rPr>
        <w:t>:</w:t>
      </w:r>
      <w:r>
        <w:rPr>
          <w:rFonts w:hint="eastAsia" w:ascii="宋体" w:hAnsi="宋体" w:cs="仿宋_GB2312"/>
          <w:sz w:val="13"/>
          <w:szCs w:val="18"/>
        </w:rPr>
        <w:t xml:space="preserve">                                                     No：</w:t>
      </w:r>
    </w:p>
    <w:tbl>
      <w:tblPr>
        <w:tblStyle w:val="11"/>
        <w:tblW w:w="8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
        <w:gridCol w:w="1377"/>
        <w:gridCol w:w="1826"/>
        <w:gridCol w:w="1658"/>
        <w:gridCol w:w="1238"/>
        <w:gridCol w:w="1493"/>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09" w:type="dxa"/>
            <w:vAlign w:val="center"/>
          </w:tcPr>
          <w:p>
            <w:pPr>
              <w:jc w:val="center"/>
              <w:rPr>
                <w:rFonts w:ascii="宋体" w:hAnsi="宋体"/>
                <w:bCs/>
                <w:sz w:val="13"/>
                <w:szCs w:val="18"/>
              </w:rPr>
            </w:pPr>
            <w:r>
              <w:rPr>
                <w:rFonts w:hint="eastAsia" w:ascii="宋体" w:hAnsi="宋体" w:cs="仿宋_GB2312"/>
                <w:bCs/>
                <w:sz w:val="13"/>
                <w:szCs w:val="18"/>
              </w:rPr>
              <w:t>序号</w:t>
            </w:r>
          </w:p>
        </w:tc>
        <w:tc>
          <w:tcPr>
            <w:tcW w:w="1377" w:type="dxa"/>
            <w:vAlign w:val="center"/>
          </w:tcPr>
          <w:p>
            <w:pPr>
              <w:jc w:val="center"/>
              <w:rPr>
                <w:rFonts w:ascii="宋体" w:hAnsi="宋体" w:cs="仿宋_GB2312"/>
                <w:bCs/>
                <w:sz w:val="13"/>
                <w:szCs w:val="18"/>
              </w:rPr>
            </w:pPr>
            <w:r>
              <w:rPr>
                <w:rFonts w:hint="eastAsia" w:ascii="宋体" w:hAnsi="宋体" w:cs="仿宋_GB2312"/>
                <w:bCs/>
                <w:sz w:val="13"/>
                <w:szCs w:val="18"/>
              </w:rPr>
              <w:t>作业活动名称</w:t>
            </w:r>
          </w:p>
        </w:tc>
        <w:tc>
          <w:tcPr>
            <w:tcW w:w="1826" w:type="dxa"/>
            <w:vAlign w:val="center"/>
          </w:tcPr>
          <w:p>
            <w:pPr>
              <w:jc w:val="center"/>
              <w:rPr>
                <w:rFonts w:ascii="宋体" w:hAnsi="宋体"/>
                <w:bCs/>
                <w:sz w:val="13"/>
                <w:szCs w:val="18"/>
              </w:rPr>
            </w:pPr>
            <w:r>
              <w:rPr>
                <w:rFonts w:hint="eastAsia" w:ascii="宋体" w:hAnsi="宋体" w:cs="仿宋_GB2312"/>
                <w:bCs/>
                <w:sz w:val="13"/>
                <w:szCs w:val="18"/>
              </w:rPr>
              <w:t>作业活动内容</w:t>
            </w:r>
          </w:p>
        </w:tc>
        <w:tc>
          <w:tcPr>
            <w:tcW w:w="1658" w:type="dxa"/>
            <w:vAlign w:val="center"/>
          </w:tcPr>
          <w:p>
            <w:pPr>
              <w:jc w:val="center"/>
              <w:rPr>
                <w:rFonts w:ascii="宋体" w:hAnsi="宋体" w:cs="仿宋_GB2312"/>
                <w:bCs/>
                <w:sz w:val="13"/>
                <w:szCs w:val="18"/>
              </w:rPr>
            </w:pPr>
            <w:r>
              <w:rPr>
                <w:rFonts w:hint="eastAsia" w:ascii="宋体" w:hAnsi="宋体" w:cs="仿宋_GB2312"/>
                <w:bCs/>
                <w:sz w:val="13"/>
                <w:szCs w:val="18"/>
              </w:rPr>
              <w:t>岗位</w:t>
            </w:r>
            <w:r>
              <w:rPr>
                <w:rFonts w:ascii="宋体" w:hAnsi="宋体" w:cs="仿宋_GB2312"/>
                <w:bCs/>
                <w:sz w:val="13"/>
                <w:szCs w:val="18"/>
              </w:rPr>
              <w:t>/</w:t>
            </w:r>
            <w:r>
              <w:rPr>
                <w:rFonts w:hint="eastAsia" w:ascii="宋体" w:hAnsi="宋体" w:cs="仿宋_GB2312"/>
                <w:bCs/>
                <w:sz w:val="13"/>
                <w:szCs w:val="18"/>
              </w:rPr>
              <w:t>地点</w:t>
            </w:r>
          </w:p>
        </w:tc>
        <w:tc>
          <w:tcPr>
            <w:tcW w:w="1238" w:type="dxa"/>
            <w:vAlign w:val="center"/>
          </w:tcPr>
          <w:p>
            <w:pPr>
              <w:jc w:val="center"/>
              <w:rPr>
                <w:rFonts w:ascii="宋体" w:hAnsi="宋体"/>
                <w:bCs/>
                <w:sz w:val="13"/>
                <w:szCs w:val="18"/>
              </w:rPr>
            </w:pPr>
            <w:r>
              <w:rPr>
                <w:rFonts w:hint="eastAsia" w:ascii="宋体" w:hAnsi="宋体"/>
                <w:bCs/>
                <w:sz w:val="13"/>
                <w:szCs w:val="18"/>
              </w:rPr>
              <w:t>实施单位</w:t>
            </w:r>
          </w:p>
        </w:tc>
        <w:tc>
          <w:tcPr>
            <w:tcW w:w="1493" w:type="dxa"/>
            <w:vAlign w:val="center"/>
          </w:tcPr>
          <w:p>
            <w:pPr>
              <w:jc w:val="center"/>
              <w:rPr>
                <w:rFonts w:ascii="宋体" w:hAnsi="宋体"/>
                <w:bCs/>
                <w:sz w:val="13"/>
                <w:szCs w:val="18"/>
              </w:rPr>
            </w:pPr>
            <w:r>
              <w:rPr>
                <w:rFonts w:hint="eastAsia" w:ascii="宋体" w:hAnsi="宋体" w:cs="仿宋_GB2312"/>
                <w:bCs/>
                <w:sz w:val="13"/>
                <w:szCs w:val="18"/>
              </w:rPr>
              <w:t>活动频率</w:t>
            </w:r>
          </w:p>
        </w:tc>
        <w:tc>
          <w:tcPr>
            <w:tcW w:w="669" w:type="dxa"/>
            <w:vAlign w:val="center"/>
          </w:tcPr>
          <w:p>
            <w:pPr>
              <w:jc w:val="center"/>
              <w:rPr>
                <w:rFonts w:ascii="宋体" w:hAnsi="宋体"/>
                <w:bCs/>
                <w:sz w:val="13"/>
                <w:szCs w:val="18"/>
              </w:rPr>
            </w:pPr>
            <w:r>
              <w:rPr>
                <w:rFonts w:hint="eastAsia" w:ascii="宋体" w:hAnsi="宋体" w:cs="仿宋_GB2312"/>
                <w:bCs/>
                <w:sz w:val="13"/>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09" w:type="dxa"/>
            <w:vAlign w:val="center"/>
          </w:tcPr>
          <w:p>
            <w:pPr>
              <w:jc w:val="center"/>
              <w:rPr>
                <w:rFonts w:ascii="宋体" w:hAnsi="宋体" w:cs="仿宋_GB2312"/>
                <w:sz w:val="13"/>
                <w:szCs w:val="18"/>
              </w:rPr>
            </w:pPr>
          </w:p>
        </w:tc>
        <w:tc>
          <w:tcPr>
            <w:tcW w:w="1377" w:type="dxa"/>
            <w:vAlign w:val="center"/>
          </w:tcPr>
          <w:p>
            <w:pPr>
              <w:jc w:val="center"/>
              <w:rPr>
                <w:rFonts w:ascii="宋体" w:hAnsi="宋体" w:cs="仿宋_GB2312"/>
                <w:sz w:val="13"/>
                <w:szCs w:val="18"/>
              </w:rPr>
            </w:pPr>
          </w:p>
        </w:tc>
        <w:tc>
          <w:tcPr>
            <w:tcW w:w="1826" w:type="dxa"/>
            <w:vAlign w:val="center"/>
          </w:tcPr>
          <w:p>
            <w:pPr>
              <w:jc w:val="center"/>
              <w:rPr>
                <w:rFonts w:ascii="宋体" w:hAnsi="宋体" w:cs="仿宋_GB2312"/>
                <w:sz w:val="13"/>
                <w:szCs w:val="18"/>
              </w:rPr>
            </w:pPr>
          </w:p>
        </w:tc>
        <w:tc>
          <w:tcPr>
            <w:tcW w:w="1658" w:type="dxa"/>
          </w:tcPr>
          <w:p>
            <w:pPr>
              <w:jc w:val="center"/>
              <w:rPr>
                <w:rFonts w:ascii="宋体" w:hAnsi="宋体" w:cs="仿宋_GB2312"/>
                <w:sz w:val="13"/>
                <w:szCs w:val="18"/>
              </w:rPr>
            </w:pPr>
          </w:p>
        </w:tc>
        <w:tc>
          <w:tcPr>
            <w:tcW w:w="1238" w:type="dxa"/>
            <w:vAlign w:val="center"/>
          </w:tcPr>
          <w:p>
            <w:pPr>
              <w:jc w:val="center"/>
              <w:rPr>
                <w:rFonts w:ascii="宋体" w:hAnsi="宋体" w:cs="仿宋_GB2312"/>
                <w:sz w:val="13"/>
                <w:szCs w:val="18"/>
              </w:rPr>
            </w:pPr>
          </w:p>
        </w:tc>
        <w:tc>
          <w:tcPr>
            <w:tcW w:w="1493" w:type="dxa"/>
            <w:vAlign w:val="center"/>
          </w:tcPr>
          <w:p>
            <w:pPr>
              <w:jc w:val="center"/>
              <w:rPr>
                <w:rFonts w:ascii="宋体" w:hAnsi="宋体" w:cs="仿宋_GB2312"/>
                <w:sz w:val="13"/>
                <w:szCs w:val="18"/>
              </w:rPr>
            </w:pPr>
          </w:p>
        </w:tc>
        <w:tc>
          <w:tcPr>
            <w:tcW w:w="669" w:type="dxa"/>
            <w:vAlign w:val="center"/>
          </w:tcPr>
          <w:p>
            <w:pPr>
              <w:jc w:val="center"/>
              <w:rPr>
                <w:rFonts w:ascii="宋体" w:hAnsi="宋体" w:cs="仿宋_GB2312"/>
                <w:sz w:val="13"/>
                <w:szCs w:val="18"/>
              </w:rPr>
            </w:pPr>
          </w:p>
        </w:tc>
      </w:tr>
    </w:tbl>
    <w:p>
      <w:pPr>
        <w:tabs>
          <w:tab w:val="left" w:pos="-1985"/>
          <w:tab w:val="center" w:pos="5245"/>
          <w:tab w:val="center" w:pos="6804"/>
        </w:tabs>
        <w:ind w:firstLine="390" w:firstLineChars="300"/>
        <w:rPr>
          <w:rFonts w:ascii="宋体" w:hAnsi="宋体" w:cs="仿宋_GB2312"/>
          <w:sz w:val="13"/>
          <w:szCs w:val="18"/>
        </w:rPr>
      </w:pPr>
      <w:r>
        <w:rPr>
          <w:rFonts w:hint="eastAsia" w:ascii="宋体" w:hAnsi="宋体" w:cs="仿宋_GB2312"/>
          <w:sz w:val="13"/>
          <w:szCs w:val="18"/>
        </w:rPr>
        <w:t>填表人：        填表日期：      年   月   日     审核人：        审核日期：      年   月   日</w:t>
      </w:r>
    </w:p>
    <w:p>
      <w:pPr>
        <w:ind w:firstLine="390" w:firstLineChars="300"/>
        <w:rPr>
          <w:rFonts w:ascii="宋体" w:hAnsi="宋体"/>
          <w:sz w:val="13"/>
          <w:szCs w:val="18"/>
        </w:rPr>
      </w:pPr>
      <w:r>
        <w:rPr>
          <w:rFonts w:hint="eastAsia" w:ascii="宋体" w:hAnsi="宋体" w:cs="仿宋_GB2312"/>
          <w:sz w:val="13"/>
          <w:szCs w:val="18"/>
        </w:rPr>
        <w:t>（活动频率：频繁进行、特定时间进行、定期进行。）</w:t>
      </w:r>
    </w:p>
    <w:p>
      <w:pPr>
        <w:pStyle w:val="25"/>
        <w:numPr>
          <w:ilvl w:val="1"/>
          <w:numId w:val="0"/>
        </w:numPr>
        <w:tabs>
          <w:tab w:val="clear" w:pos="1440"/>
        </w:tabs>
        <w:spacing w:before="312" w:after="312"/>
        <w:rPr>
          <w:sz w:val="16"/>
        </w:rPr>
      </w:pPr>
      <w:bookmarkStart w:id="18" w:name="_Toc479171757"/>
      <w:bookmarkStart w:id="19" w:name="_Toc479175344"/>
      <w:bookmarkStart w:id="20" w:name="_Toc479257302"/>
      <w:bookmarkStart w:id="21" w:name="_Toc11921451"/>
      <w:r>
        <w:rPr>
          <w:rFonts w:hint="eastAsia"/>
          <w:sz w:val="16"/>
        </w:rPr>
        <w:t>设备设施清单</w:t>
      </w:r>
      <w:bookmarkEnd w:id="18"/>
      <w:bookmarkEnd w:id="19"/>
      <w:bookmarkEnd w:id="20"/>
      <w:bookmarkEnd w:id="21"/>
    </w:p>
    <w:p>
      <w:pPr>
        <w:ind w:firstLine="500" w:firstLineChars="250"/>
        <w:rPr>
          <w:rFonts w:ascii="宋体" w:hAnsi="宋体" w:cs="仿宋_GB2312"/>
          <w:sz w:val="13"/>
          <w:szCs w:val="18"/>
        </w:rPr>
      </w:pPr>
      <w:r>
        <w:rPr>
          <w:rFonts w:hint="eastAsia" w:ascii="宋体" w:hAnsi="宋体" w:cs="仿宋_GB2312"/>
          <w:sz w:val="20"/>
        </w:rPr>
        <w:t>（</w:t>
      </w:r>
      <w:r>
        <w:rPr>
          <w:rFonts w:hint="eastAsia" w:ascii="宋体" w:hAnsi="宋体" w:cs="仿宋_GB2312"/>
          <w:sz w:val="13"/>
          <w:szCs w:val="18"/>
        </w:rPr>
        <w:t>记录受控号）单位</w:t>
      </w:r>
      <w:r>
        <w:rPr>
          <w:rFonts w:ascii="宋体" w:hAnsi="宋体" w:cs="仿宋_GB2312"/>
          <w:sz w:val="13"/>
          <w:szCs w:val="18"/>
        </w:rPr>
        <w:t>:</w:t>
      </w:r>
      <w:r>
        <w:rPr>
          <w:rFonts w:hint="eastAsia" w:ascii="宋体" w:hAnsi="宋体" w:cs="仿宋_GB2312"/>
          <w:sz w:val="13"/>
          <w:szCs w:val="18"/>
        </w:rPr>
        <w:t xml:space="preserve">                                                   No：</w:t>
      </w:r>
    </w:p>
    <w:tbl>
      <w:tblPr>
        <w:tblStyle w:val="11"/>
        <w:tblW w:w="9126" w:type="dxa"/>
        <w:jc w:val="center"/>
        <w:tblLayout w:type="fixed"/>
        <w:tblCellMar>
          <w:top w:w="0" w:type="dxa"/>
          <w:left w:w="0" w:type="dxa"/>
          <w:bottom w:w="0" w:type="dxa"/>
          <w:right w:w="0" w:type="dxa"/>
        </w:tblCellMar>
      </w:tblPr>
      <w:tblGrid>
        <w:gridCol w:w="751"/>
        <w:gridCol w:w="1970"/>
        <w:gridCol w:w="1985"/>
        <w:gridCol w:w="1559"/>
        <w:gridCol w:w="992"/>
        <w:gridCol w:w="947"/>
        <w:gridCol w:w="922"/>
      </w:tblGrid>
      <w:tr>
        <w:tblPrEx>
          <w:tblCellMar>
            <w:top w:w="0" w:type="dxa"/>
            <w:left w:w="0" w:type="dxa"/>
            <w:bottom w:w="0" w:type="dxa"/>
            <w:right w:w="0" w:type="dxa"/>
          </w:tblCellMar>
        </w:tblPrEx>
        <w:trPr>
          <w:trHeight w:val="323" w:hRule="atLeast"/>
          <w:jc w:val="center"/>
        </w:trPr>
        <w:tc>
          <w:tcPr>
            <w:tcW w:w="751" w:type="dxa"/>
            <w:tcBorders>
              <w:top w:val="single" w:color="auto" w:sz="4" w:space="0"/>
              <w:left w:val="single" w:color="auto" w:sz="4" w:space="0"/>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序号</w:t>
            </w:r>
          </w:p>
        </w:tc>
        <w:tc>
          <w:tcPr>
            <w:tcW w:w="1970"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设备名称</w:t>
            </w:r>
          </w:p>
        </w:tc>
        <w:tc>
          <w:tcPr>
            <w:tcW w:w="1985"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类别</w:t>
            </w:r>
          </w:p>
        </w:tc>
        <w:tc>
          <w:tcPr>
            <w:tcW w:w="1559"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位号</w:t>
            </w:r>
            <w:r>
              <w:rPr>
                <w:rFonts w:ascii="宋体" w:hAnsi="宋体" w:cs="仿宋_GB2312"/>
                <w:sz w:val="13"/>
                <w:szCs w:val="18"/>
              </w:rPr>
              <w:t>/</w:t>
            </w:r>
            <w:r>
              <w:rPr>
                <w:rFonts w:hint="eastAsia" w:ascii="宋体" w:hAnsi="宋体" w:cs="仿宋_GB2312"/>
                <w:sz w:val="13"/>
                <w:szCs w:val="18"/>
              </w:rPr>
              <w:t>所在部位</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仿宋_GB2312"/>
                <w:sz w:val="13"/>
                <w:szCs w:val="18"/>
              </w:rPr>
            </w:pPr>
            <w:r>
              <w:rPr>
                <w:rFonts w:hint="eastAsia" w:ascii="宋体" w:hAnsi="宋体" w:cs="仿宋_GB2312"/>
                <w:sz w:val="13"/>
                <w:szCs w:val="18"/>
              </w:rPr>
              <w:t>所属单位</w:t>
            </w:r>
          </w:p>
        </w:tc>
        <w:tc>
          <w:tcPr>
            <w:tcW w:w="9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仿宋_GB2312"/>
                <w:sz w:val="13"/>
                <w:szCs w:val="18"/>
              </w:rPr>
            </w:pPr>
            <w:r>
              <w:rPr>
                <w:rFonts w:hint="eastAsia" w:ascii="宋体" w:hAnsi="宋体" w:cs="仿宋_GB2312"/>
                <w:sz w:val="13"/>
                <w:szCs w:val="18"/>
              </w:rPr>
              <w:t>是否特种设备</w:t>
            </w:r>
          </w:p>
        </w:tc>
        <w:tc>
          <w:tcPr>
            <w:tcW w:w="922" w:type="dxa"/>
            <w:tcBorders>
              <w:top w:val="single" w:color="auto" w:sz="4" w:space="0"/>
              <w:left w:val="single" w:color="auto" w:sz="4" w:space="0"/>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备注</w:t>
            </w:r>
          </w:p>
        </w:tc>
      </w:tr>
      <w:tr>
        <w:tblPrEx>
          <w:tblCellMar>
            <w:top w:w="0" w:type="dxa"/>
            <w:left w:w="0" w:type="dxa"/>
            <w:bottom w:w="0" w:type="dxa"/>
            <w:right w:w="0" w:type="dxa"/>
          </w:tblCellMar>
        </w:tblPrEx>
        <w:trPr>
          <w:trHeight w:val="420" w:hRule="atLeast"/>
          <w:jc w:val="center"/>
        </w:trPr>
        <w:tc>
          <w:tcPr>
            <w:tcW w:w="751" w:type="dxa"/>
            <w:tcBorders>
              <w:top w:val="single" w:color="auto" w:sz="4" w:space="0"/>
              <w:left w:val="single" w:color="auto" w:sz="4" w:space="0"/>
              <w:bottom w:val="single" w:color="auto" w:sz="4" w:space="0"/>
              <w:right w:val="single" w:color="auto" w:sz="4" w:space="0"/>
            </w:tcBorders>
            <w:tcMar>
              <w:top w:w="19" w:type="dxa"/>
              <w:left w:w="19" w:type="dxa"/>
              <w:bottom w:w="0" w:type="dxa"/>
              <w:right w:w="19" w:type="dxa"/>
            </w:tcMar>
            <w:vAlign w:val="center"/>
          </w:tcPr>
          <w:p>
            <w:pPr>
              <w:ind w:firstLine="325" w:firstLineChars="250"/>
              <w:rPr>
                <w:rFonts w:ascii="宋体" w:hAnsi="宋体" w:cs="仿宋_GB2312"/>
                <w:sz w:val="13"/>
                <w:szCs w:val="18"/>
              </w:rPr>
            </w:pPr>
          </w:p>
        </w:tc>
        <w:tc>
          <w:tcPr>
            <w:tcW w:w="1970"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ind w:firstLine="325" w:firstLineChars="250"/>
              <w:rPr>
                <w:rFonts w:ascii="宋体" w:hAnsi="宋体" w:cs="仿宋_GB2312"/>
                <w:sz w:val="13"/>
                <w:szCs w:val="18"/>
              </w:rPr>
            </w:pPr>
          </w:p>
        </w:tc>
        <w:tc>
          <w:tcPr>
            <w:tcW w:w="1985"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ind w:firstLine="325" w:firstLineChars="250"/>
              <w:rPr>
                <w:rFonts w:ascii="宋体" w:hAnsi="宋体" w:cs="仿宋_GB2312"/>
                <w:sz w:val="13"/>
                <w:szCs w:val="18"/>
              </w:rPr>
            </w:pPr>
          </w:p>
        </w:tc>
        <w:tc>
          <w:tcPr>
            <w:tcW w:w="1559"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ind w:firstLine="325" w:firstLineChars="250"/>
              <w:jc w:val="center"/>
              <w:rPr>
                <w:rFonts w:ascii="宋体" w:hAnsi="宋体" w:cs="仿宋_GB2312"/>
                <w:sz w:val="13"/>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ind w:firstLine="325" w:firstLineChars="250"/>
              <w:jc w:val="center"/>
              <w:rPr>
                <w:rFonts w:ascii="宋体" w:hAnsi="宋体" w:cs="仿宋_GB2312"/>
                <w:sz w:val="13"/>
                <w:szCs w:val="18"/>
              </w:rPr>
            </w:pPr>
          </w:p>
        </w:tc>
        <w:tc>
          <w:tcPr>
            <w:tcW w:w="947" w:type="dxa"/>
            <w:tcBorders>
              <w:top w:val="single" w:color="auto" w:sz="4" w:space="0"/>
              <w:left w:val="single" w:color="auto" w:sz="4" w:space="0"/>
              <w:bottom w:val="single" w:color="auto" w:sz="4" w:space="0"/>
              <w:right w:val="single" w:color="auto" w:sz="4" w:space="0"/>
            </w:tcBorders>
            <w:vAlign w:val="center"/>
          </w:tcPr>
          <w:p>
            <w:pPr>
              <w:ind w:firstLine="325" w:firstLineChars="250"/>
              <w:jc w:val="center"/>
              <w:rPr>
                <w:rFonts w:ascii="宋体" w:hAnsi="宋体" w:cs="仿宋_GB2312"/>
                <w:sz w:val="13"/>
                <w:szCs w:val="18"/>
              </w:rPr>
            </w:pPr>
          </w:p>
        </w:tc>
        <w:tc>
          <w:tcPr>
            <w:tcW w:w="922" w:type="dxa"/>
            <w:tcBorders>
              <w:top w:val="single" w:color="auto" w:sz="4" w:space="0"/>
              <w:left w:val="single" w:color="auto" w:sz="4" w:space="0"/>
              <w:bottom w:val="single" w:color="auto" w:sz="4" w:space="0"/>
              <w:right w:val="single" w:color="auto" w:sz="4" w:space="0"/>
            </w:tcBorders>
            <w:tcMar>
              <w:top w:w="19" w:type="dxa"/>
              <w:left w:w="19" w:type="dxa"/>
              <w:bottom w:w="0" w:type="dxa"/>
              <w:right w:w="19" w:type="dxa"/>
            </w:tcMar>
            <w:vAlign w:val="center"/>
          </w:tcPr>
          <w:p>
            <w:pPr>
              <w:ind w:firstLine="325" w:firstLineChars="250"/>
              <w:jc w:val="center"/>
              <w:rPr>
                <w:rFonts w:ascii="宋体" w:hAnsi="宋体" w:cs="仿宋_GB2312"/>
                <w:sz w:val="13"/>
                <w:szCs w:val="18"/>
              </w:rPr>
            </w:pPr>
          </w:p>
        </w:tc>
      </w:tr>
    </w:tbl>
    <w:p>
      <w:pPr>
        <w:ind w:left="424" w:leftChars="202" w:right="565" w:rightChars="269" w:firstLine="146" w:firstLineChars="113"/>
        <w:rPr>
          <w:rFonts w:ascii="宋体" w:hAnsi="宋体" w:cs="仿宋_GB2312"/>
          <w:sz w:val="13"/>
          <w:szCs w:val="18"/>
        </w:rPr>
      </w:pPr>
      <w:r>
        <w:rPr>
          <w:rFonts w:hint="eastAsia" w:ascii="宋体" w:hAnsi="宋体" w:cs="仿宋_GB2312"/>
          <w:sz w:val="13"/>
          <w:szCs w:val="18"/>
        </w:rPr>
        <w:t>填表人：        填表日期：      年   月   日       审核人：        审核日期：    年   月   日（填表说明：</w:t>
      </w:r>
      <w:r>
        <w:rPr>
          <w:rFonts w:ascii="宋体" w:hAnsi="宋体" w:cs="仿宋_GB2312"/>
          <w:sz w:val="13"/>
          <w:szCs w:val="18"/>
        </w:rPr>
        <w:t>1.</w:t>
      </w:r>
      <w:r>
        <w:rPr>
          <w:rFonts w:hint="eastAsia" w:ascii="宋体" w:hAnsi="宋体" w:cs="仿宋_GB2312"/>
          <w:sz w:val="13"/>
          <w:szCs w:val="18"/>
        </w:rPr>
        <w:t>设备十大类别</w:t>
      </w:r>
      <w:r>
        <w:rPr>
          <w:rFonts w:ascii="宋体" w:hAnsi="宋体" w:cs="仿宋_GB2312"/>
          <w:sz w:val="13"/>
          <w:szCs w:val="18"/>
        </w:rPr>
        <w:t>:</w:t>
      </w:r>
      <w:r>
        <w:rPr>
          <w:rFonts w:hint="eastAsia" w:ascii="宋体" w:hAnsi="宋体" w:cs="仿宋_GB2312"/>
          <w:sz w:val="13"/>
          <w:szCs w:val="18"/>
        </w:rPr>
        <w:t>炉类、塔类、反应器类、储罐及容器类、冷换设备类、通用机械类、动力类、化工机械类、起重运输类、其他设备类。</w:t>
      </w:r>
      <w:r>
        <w:rPr>
          <w:rFonts w:ascii="宋体" w:hAnsi="宋体" w:cs="仿宋_GB2312"/>
          <w:sz w:val="13"/>
          <w:szCs w:val="18"/>
        </w:rPr>
        <w:t>2.</w:t>
      </w:r>
      <w:r>
        <w:rPr>
          <w:rFonts w:hint="eastAsia" w:ascii="宋体" w:hAnsi="宋体" w:cs="仿宋_GB2312"/>
          <w:sz w:val="13"/>
          <w:szCs w:val="18"/>
        </w:rPr>
        <w:t>参照设备设施台帐，按照十大类别归类，按照单元或装置进行划分，同一单元或装置内介质、型号相同的设备设施可合并，在备注内写明数量。</w:t>
      </w:r>
      <w:r>
        <w:rPr>
          <w:rFonts w:ascii="宋体" w:hAnsi="宋体" w:cs="仿宋_GB2312"/>
          <w:sz w:val="13"/>
          <w:szCs w:val="18"/>
        </w:rPr>
        <w:t>3.</w:t>
      </w:r>
      <w:r>
        <w:rPr>
          <w:rFonts w:hint="eastAsia" w:ascii="宋体" w:hAnsi="宋体" w:cs="仿宋_GB2312"/>
          <w:sz w:val="13"/>
          <w:szCs w:val="18"/>
        </w:rPr>
        <w:t>厂房、管廊、手持电动工具、办公楼等可以放在表的最后列出。）</w:t>
      </w:r>
    </w:p>
    <w:p>
      <w:pPr>
        <w:pStyle w:val="23"/>
        <w:ind w:firstLine="320"/>
        <w:rPr>
          <w:sz w:val="16"/>
        </w:rPr>
      </w:pPr>
    </w:p>
    <w:p>
      <w:pPr>
        <w:pStyle w:val="23"/>
        <w:ind w:firstLine="320"/>
        <w:rPr>
          <w:sz w:val="16"/>
        </w:rPr>
      </w:pPr>
    </w:p>
    <w:p>
      <w:pPr>
        <w:pStyle w:val="23"/>
        <w:ind w:firstLine="320"/>
        <w:rPr>
          <w:sz w:val="16"/>
        </w:rPr>
      </w:pPr>
    </w:p>
    <w:p>
      <w:pPr>
        <w:pStyle w:val="23"/>
        <w:ind w:firstLine="320"/>
        <w:rPr>
          <w:sz w:val="16"/>
        </w:rPr>
      </w:pPr>
    </w:p>
    <w:p>
      <w:pPr>
        <w:pStyle w:val="23"/>
        <w:ind w:firstLine="0" w:firstLineChars="0"/>
        <w:rPr>
          <w:sz w:val="16"/>
        </w:rPr>
      </w:pPr>
    </w:p>
    <w:p>
      <w:pPr>
        <w:pStyle w:val="24"/>
        <w:numPr>
          <w:ilvl w:val="0"/>
          <w:numId w:val="0"/>
        </w:numPr>
        <w:spacing w:before="156" w:after="156"/>
        <w:rPr>
          <w:rFonts w:ascii="宋体" w:hAnsi="宋体" w:eastAsia="宋体" w:cs="仿宋_GB2312"/>
          <w:sz w:val="13"/>
          <w:szCs w:val="18"/>
        </w:rPr>
      </w:pPr>
      <w:r>
        <w:rPr>
          <w:rFonts w:hint="eastAsia"/>
          <w:sz w:val="16"/>
        </w:rPr>
        <w:t>表4工作危害分析（</w:t>
      </w:r>
      <w:r>
        <w:rPr>
          <w:sz w:val="16"/>
        </w:rPr>
        <w:t>JHA</w:t>
      </w:r>
      <w:r>
        <w:rPr>
          <w:rFonts w:hint="eastAsia"/>
          <w:sz w:val="16"/>
        </w:rPr>
        <w:t xml:space="preserve">+LS）评价记录 </w:t>
      </w:r>
    </w:p>
    <w:p>
      <w:pPr>
        <w:ind w:firstLine="325" w:firstLineChars="250"/>
        <w:rPr>
          <w:rFonts w:ascii="宋体" w:hAnsi="宋体" w:cs="仿宋_GB2312"/>
          <w:sz w:val="13"/>
          <w:szCs w:val="18"/>
        </w:rPr>
      </w:pPr>
      <w:r>
        <w:rPr>
          <w:rFonts w:hint="eastAsia" w:ascii="宋体" w:hAnsi="宋体" w:cs="仿宋_GB2312"/>
          <w:sz w:val="13"/>
          <w:szCs w:val="18"/>
        </w:rPr>
        <w:t>（记录受控号）单位：              岗位：             风险点（作业活动）名称：                No：</w:t>
      </w:r>
    </w:p>
    <w:tbl>
      <w:tblPr>
        <w:tblStyle w:val="11"/>
        <w:tblW w:w="9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
        <w:gridCol w:w="654"/>
        <w:gridCol w:w="1276"/>
        <w:gridCol w:w="709"/>
        <w:gridCol w:w="567"/>
        <w:gridCol w:w="425"/>
        <w:gridCol w:w="567"/>
        <w:gridCol w:w="425"/>
        <w:gridCol w:w="425"/>
        <w:gridCol w:w="284"/>
        <w:gridCol w:w="283"/>
        <w:gridCol w:w="284"/>
        <w:gridCol w:w="567"/>
        <w:gridCol w:w="567"/>
        <w:gridCol w:w="2023"/>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314" w:type="dxa"/>
            <w:vMerge w:val="restart"/>
            <w:vAlign w:val="center"/>
          </w:tcPr>
          <w:p>
            <w:pPr>
              <w:jc w:val="center"/>
              <w:rPr>
                <w:rFonts w:ascii="宋体" w:hAnsi="宋体" w:cs="仿宋_GB2312"/>
                <w:sz w:val="13"/>
                <w:szCs w:val="18"/>
              </w:rPr>
            </w:pPr>
            <w:r>
              <w:rPr>
                <w:rFonts w:hint="eastAsia" w:ascii="宋体" w:hAnsi="宋体" w:cs="仿宋_GB2312"/>
                <w:sz w:val="13"/>
                <w:szCs w:val="18"/>
              </w:rPr>
              <w:t>序号</w:t>
            </w:r>
          </w:p>
        </w:tc>
        <w:tc>
          <w:tcPr>
            <w:tcW w:w="654" w:type="dxa"/>
            <w:vMerge w:val="restart"/>
            <w:vAlign w:val="center"/>
          </w:tcPr>
          <w:p>
            <w:pPr>
              <w:jc w:val="center"/>
              <w:rPr>
                <w:rFonts w:ascii="宋体" w:hAnsi="宋体" w:cs="仿宋_GB2312"/>
                <w:sz w:val="13"/>
                <w:szCs w:val="18"/>
              </w:rPr>
            </w:pPr>
            <w:r>
              <w:rPr>
                <w:rFonts w:hint="eastAsia" w:ascii="宋体" w:hAnsi="宋体" w:cs="仿宋_GB2312"/>
                <w:sz w:val="13"/>
                <w:szCs w:val="18"/>
              </w:rPr>
              <w:t>作业</w:t>
            </w:r>
          </w:p>
          <w:p>
            <w:pPr>
              <w:jc w:val="center"/>
              <w:rPr>
                <w:rFonts w:ascii="宋体" w:hAnsi="宋体" w:cs="仿宋_GB2312"/>
                <w:sz w:val="13"/>
                <w:szCs w:val="18"/>
              </w:rPr>
            </w:pPr>
            <w:r>
              <w:rPr>
                <w:rFonts w:hint="eastAsia" w:ascii="宋体" w:hAnsi="宋体" w:cs="仿宋_GB2312"/>
                <w:sz w:val="13"/>
                <w:szCs w:val="18"/>
              </w:rPr>
              <w:t>步骤</w:t>
            </w:r>
          </w:p>
        </w:tc>
        <w:tc>
          <w:tcPr>
            <w:tcW w:w="1276" w:type="dxa"/>
            <w:vMerge w:val="restart"/>
            <w:vAlign w:val="center"/>
          </w:tcPr>
          <w:p>
            <w:pPr>
              <w:jc w:val="center"/>
              <w:rPr>
                <w:rFonts w:ascii="宋体" w:hAnsi="宋体" w:cs="仿宋_GB2312"/>
                <w:sz w:val="13"/>
                <w:szCs w:val="18"/>
              </w:rPr>
            </w:pPr>
            <w:r>
              <w:rPr>
                <w:rFonts w:hint="eastAsia" w:ascii="宋体" w:hAnsi="宋体" w:cs="仿宋_GB2312"/>
                <w:sz w:val="13"/>
                <w:szCs w:val="18"/>
              </w:rPr>
              <w:t>危险源或潜在事件（人、物、作业环境、管理）</w:t>
            </w:r>
          </w:p>
        </w:tc>
        <w:tc>
          <w:tcPr>
            <w:tcW w:w="709" w:type="dxa"/>
            <w:vMerge w:val="restart"/>
            <w:vAlign w:val="center"/>
          </w:tcPr>
          <w:p>
            <w:pPr>
              <w:jc w:val="center"/>
              <w:rPr>
                <w:rFonts w:ascii="宋体" w:hAnsi="宋体" w:cs="仿宋_GB2312"/>
                <w:sz w:val="13"/>
                <w:szCs w:val="18"/>
              </w:rPr>
            </w:pPr>
            <w:r>
              <w:rPr>
                <w:rFonts w:hint="eastAsia" w:ascii="宋体" w:hAnsi="宋体" w:cs="仿宋_GB2312"/>
                <w:sz w:val="13"/>
                <w:szCs w:val="18"/>
              </w:rPr>
              <w:t>主要</w:t>
            </w:r>
          </w:p>
          <w:p>
            <w:pPr>
              <w:jc w:val="center"/>
              <w:rPr>
                <w:rFonts w:ascii="宋体" w:hAnsi="宋体" w:cs="仿宋_GB2312"/>
                <w:sz w:val="13"/>
                <w:szCs w:val="18"/>
              </w:rPr>
            </w:pPr>
            <w:r>
              <w:rPr>
                <w:rFonts w:hint="eastAsia" w:ascii="宋体" w:hAnsi="宋体" w:cs="仿宋_GB2312"/>
                <w:sz w:val="13"/>
                <w:szCs w:val="18"/>
              </w:rPr>
              <w:t>后果</w:t>
            </w:r>
          </w:p>
        </w:tc>
        <w:tc>
          <w:tcPr>
            <w:tcW w:w="2409" w:type="dxa"/>
            <w:gridSpan w:val="5"/>
            <w:vAlign w:val="center"/>
          </w:tcPr>
          <w:p>
            <w:pPr>
              <w:jc w:val="center"/>
              <w:rPr>
                <w:rFonts w:ascii="宋体" w:hAnsi="宋体" w:cs="仿宋_GB2312"/>
                <w:sz w:val="13"/>
                <w:szCs w:val="18"/>
              </w:rPr>
            </w:pPr>
            <w:r>
              <w:rPr>
                <w:rFonts w:hint="eastAsia" w:ascii="宋体" w:hAnsi="宋体" w:cs="仿宋_GB2312"/>
                <w:sz w:val="13"/>
                <w:szCs w:val="18"/>
              </w:rPr>
              <w:t>现有控制措施</w:t>
            </w:r>
          </w:p>
        </w:tc>
        <w:tc>
          <w:tcPr>
            <w:tcW w:w="284" w:type="dxa"/>
            <w:vMerge w:val="restart"/>
            <w:vAlign w:val="center"/>
          </w:tcPr>
          <w:p>
            <w:pPr>
              <w:jc w:val="center"/>
              <w:rPr>
                <w:rFonts w:ascii="宋体" w:hAnsi="宋体" w:cs="仿宋_GB2312"/>
                <w:sz w:val="13"/>
                <w:szCs w:val="18"/>
              </w:rPr>
            </w:pPr>
            <w:r>
              <w:rPr>
                <w:rFonts w:ascii="宋体" w:hAnsi="宋体" w:cs="仿宋_GB2312"/>
                <w:sz w:val="13"/>
                <w:szCs w:val="18"/>
              </w:rPr>
              <w:t>L</w:t>
            </w:r>
          </w:p>
        </w:tc>
        <w:tc>
          <w:tcPr>
            <w:tcW w:w="283" w:type="dxa"/>
            <w:vMerge w:val="restart"/>
            <w:vAlign w:val="center"/>
          </w:tcPr>
          <w:p>
            <w:pPr>
              <w:jc w:val="center"/>
              <w:rPr>
                <w:rFonts w:ascii="宋体" w:hAnsi="宋体" w:cs="仿宋_GB2312"/>
                <w:sz w:val="13"/>
                <w:szCs w:val="18"/>
              </w:rPr>
            </w:pPr>
            <w:r>
              <w:rPr>
                <w:rFonts w:ascii="宋体" w:hAnsi="宋体" w:cs="仿宋_GB2312"/>
                <w:sz w:val="13"/>
                <w:szCs w:val="18"/>
              </w:rPr>
              <w:t>S</w:t>
            </w:r>
          </w:p>
        </w:tc>
        <w:tc>
          <w:tcPr>
            <w:tcW w:w="284" w:type="dxa"/>
            <w:vMerge w:val="restart"/>
            <w:vAlign w:val="center"/>
          </w:tcPr>
          <w:p>
            <w:pPr>
              <w:jc w:val="center"/>
              <w:rPr>
                <w:rFonts w:ascii="宋体" w:hAnsi="宋体" w:cs="仿宋_GB2312"/>
                <w:sz w:val="13"/>
                <w:szCs w:val="18"/>
              </w:rPr>
            </w:pPr>
            <w:r>
              <w:rPr>
                <w:rFonts w:ascii="宋体" w:hAnsi="宋体" w:cs="仿宋_GB2312"/>
                <w:sz w:val="13"/>
                <w:szCs w:val="18"/>
              </w:rPr>
              <w:t>R</w:t>
            </w:r>
          </w:p>
        </w:tc>
        <w:tc>
          <w:tcPr>
            <w:tcW w:w="567" w:type="dxa"/>
            <w:vMerge w:val="restart"/>
            <w:vAlign w:val="center"/>
          </w:tcPr>
          <w:p>
            <w:pPr>
              <w:jc w:val="center"/>
              <w:rPr>
                <w:rFonts w:ascii="宋体" w:hAnsi="宋体" w:cs="仿宋_GB2312"/>
                <w:sz w:val="13"/>
                <w:szCs w:val="18"/>
              </w:rPr>
            </w:pPr>
            <w:r>
              <w:rPr>
                <w:rFonts w:hint="eastAsia" w:ascii="宋体" w:hAnsi="宋体" w:cs="仿宋_GB2312"/>
                <w:sz w:val="13"/>
                <w:szCs w:val="18"/>
              </w:rPr>
              <w:t>评价级别</w:t>
            </w:r>
          </w:p>
        </w:tc>
        <w:tc>
          <w:tcPr>
            <w:tcW w:w="567" w:type="dxa"/>
            <w:vMerge w:val="restart"/>
            <w:vAlign w:val="center"/>
          </w:tcPr>
          <w:p>
            <w:pPr>
              <w:jc w:val="center"/>
              <w:rPr>
                <w:rFonts w:ascii="宋体" w:hAnsi="宋体" w:cs="仿宋_GB2312"/>
                <w:sz w:val="13"/>
                <w:szCs w:val="18"/>
              </w:rPr>
            </w:pPr>
            <w:r>
              <w:rPr>
                <w:rFonts w:hint="eastAsia" w:ascii="宋体" w:hAnsi="宋体" w:cs="仿宋_GB2312"/>
                <w:sz w:val="13"/>
                <w:szCs w:val="18"/>
              </w:rPr>
              <w:t>管控级别</w:t>
            </w:r>
          </w:p>
        </w:tc>
        <w:tc>
          <w:tcPr>
            <w:tcW w:w="2023" w:type="dxa"/>
            <w:vMerge w:val="restart"/>
            <w:vAlign w:val="center"/>
          </w:tcPr>
          <w:p>
            <w:pPr>
              <w:jc w:val="center"/>
              <w:rPr>
                <w:rFonts w:ascii="宋体" w:hAnsi="宋体" w:cs="仿宋_GB2312"/>
                <w:sz w:val="13"/>
                <w:szCs w:val="18"/>
              </w:rPr>
            </w:pPr>
            <w:r>
              <w:rPr>
                <w:rFonts w:hint="eastAsia" w:ascii="宋体" w:hAnsi="宋体" w:cs="仿宋_GB2312"/>
                <w:sz w:val="13"/>
                <w:szCs w:val="18"/>
              </w:rPr>
              <w:t>建议新增（改进）措施</w:t>
            </w:r>
          </w:p>
        </w:tc>
        <w:tc>
          <w:tcPr>
            <w:tcW w:w="611" w:type="dxa"/>
            <w:vMerge w:val="restart"/>
            <w:vAlign w:val="center"/>
          </w:tcPr>
          <w:p>
            <w:pPr>
              <w:jc w:val="center"/>
              <w:rPr>
                <w:rFonts w:ascii="宋体" w:hAnsi="宋体" w:cs="仿宋_GB2312"/>
                <w:sz w:val="13"/>
                <w:szCs w:val="18"/>
              </w:rPr>
            </w:pPr>
            <w:r>
              <w:rPr>
                <w:rFonts w:hint="eastAsia" w:ascii="宋体" w:hAnsi="宋体" w:cs="仿宋_GB2312"/>
                <w:sz w:val="13"/>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314" w:type="dxa"/>
            <w:vMerge w:val="continue"/>
            <w:vAlign w:val="center"/>
          </w:tcPr>
          <w:p>
            <w:pPr>
              <w:jc w:val="center"/>
              <w:rPr>
                <w:rFonts w:ascii="宋体" w:hAnsi="宋体" w:cs="仿宋_GB2312"/>
                <w:sz w:val="13"/>
                <w:szCs w:val="18"/>
              </w:rPr>
            </w:pPr>
          </w:p>
        </w:tc>
        <w:tc>
          <w:tcPr>
            <w:tcW w:w="654" w:type="dxa"/>
            <w:vMerge w:val="continue"/>
            <w:vAlign w:val="center"/>
          </w:tcPr>
          <w:p>
            <w:pPr>
              <w:jc w:val="center"/>
              <w:rPr>
                <w:rFonts w:ascii="宋体" w:hAnsi="宋体" w:cs="仿宋_GB2312"/>
                <w:sz w:val="13"/>
                <w:szCs w:val="18"/>
              </w:rPr>
            </w:pPr>
          </w:p>
        </w:tc>
        <w:tc>
          <w:tcPr>
            <w:tcW w:w="1276" w:type="dxa"/>
            <w:vMerge w:val="continue"/>
            <w:vAlign w:val="center"/>
          </w:tcPr>
          <w:p>
            <w:pPr>
              <w:jc w:val="center"/>
              <w:rPr>
                <w:rFonts w:ascii="宋体" w:hAnsi="宋体" w:cs="仿宋_GB2312"/>
                <w:sz w:val="13"/>
                <w:szCs w:val="18"/>
              </w:rPr>
            </w:pPr>
          </w:p>
        </w:tc>
        <w:tc>
          <w:tcPr>
            <w:tcW w:w="709" w:type="dxa"/>
            <w:vMerge w:val="continue"/>
            <w:vAlign w:val="center"/>
          </w:tcPr>
          <w:p>
            <w:pPr>
              <w:jc w:val="center"/>
              <w:rPr>
                <w:rFonts w:ascii="宋体" w:hAnsi="宋体" w:cs="仿宋_GB2312"/>
                <w:sz w:val="13"/>
                <w:szCs w:val="18"/>
              </w:rPr>
            </w:pPr>
          </w:p>
        </w:tc>
        <w:tc>
          <w:tcPr>
            <w:tcW w:w="567" w:type="dxa"/>
            <w:vAlign w:val="center"/>
          </w:tcPr>
          <w:p>
            <w:pPr>
              <w:jc w:val="center"/>
              <w:rPr>
                <w:rFonts w:ascii="宋体" w:hAnsi="宋体" w:cs="仿宋_GB2312"/>
                <w:sz w:val="13"/>
                <w:szCs w:val="18"/>
              </w:rPr>
            </w:pPr>
            <w:r>
              <w:rPr>
                <w:rFonts w:hint="eastAsia" w:ascii="宋体" w:hAnsi="宋体" w:cs="仿宋_GB2312"/>
                <w:sz w:val="13"/>
                <w:szCs w:val="18"/>
              </w:rPr>
              <w:t>工程技术</w:t>
            </w:r>
          </w:p>
        </w:tc>
        <w:tc>
          <w:tcPr>
            <w:tcW w:w="425" w:type="dxa"/>
            <w:vAlign w:val="center"/>
          </w:tcPr>
          <w:p>
            <w:pPr>
              <w:jc w:val="center"/>
              <w:rPr>
                <w:rFonts w:ascii="宋体" w:hAnsi="宋体" w:cs="仿宋_GB2312"/>
                <w:sz w:val="13"/>
                <w:szCs w:val="18"/>
              </w:rPr>
            </w:pPr>
            <w:r>
              <w:rPr>
                <w:rFonts w:hint="eastAsia" w:ascii="宋体" w:hAnsi="宋体" w:cs="仿宋_GB2312"/>
                <w:sz w:val="13"/>
                <w:szCs w:val="18"/>
              </w:rPr>
              <w:t>管理措施</w:t>
            </w:r>
          </w:p>
        </w:tc>
        <w:tc>
          <w:tcPr>
            <w:tcW w:w="567" w:type="dxa"/>
          </w:tcPr>
          <w:p>
            <w:pPr>
              <w:jc w:val="center"/>
              <w:rPr>
                <w:rFonts w:ascii="宋体" w:hAnsi="宋体" w:cs="仿宋_GB2312"/>
                <w:sz w:val="13"/>
                <w:szCs w:val="18"/>
              </w:rPr>
            </w:pPr>
            <w:r>
              <w:rPr>
                <w:rFonts w:hint="eastAsia" w:ascii="宋体" w:hAnsi="宋体" w:cs="仿宋_GB2312"/>
                <w:sz w:val="13"/>
                <w:szCs w:val="18"/>
              </w:rPr>
              <w:t>培训教育</w:t>
            </w:r>
          </w:p>
        </w:tc>
        <w:tc>
          <w:tcPr>
            <w:tcW w:w="425" w:type="dxa"/>
            <w:vAlign w:val="center"/>
          </w:tcPr>
          <w:p>
            <w:pPr>
              <w:jc w:val="center"/>
              <w:rPr>
                <w:rFonts w:ascii="宋体" w:hAnsi="宋体" w:cs="仿宋_GB2312"/>
                <w:sz w:val="13"/>
                <w:szCs w:val="18"/>
              </w:rPr>
            </w:pPr>
            <w:r>
              <w:rPr>
                <w:rFonts w:hint="eastAsia" w:ascii="宋体" w:hAnsi="宋体" w:cs="仿宋_GB2312"/>
                <w:sz w:val="13"/>
                <w:szCs w:val="18"/>
              </w:rPr>
              <w:t>个体防护</w:t>
            </w:r>
          </w:p>
        </w:tc>
        <w:tc>
          <w:tcPr>
            <w:tcW w:w="425" w:type="dxa"/>
            <w:vAlign w:val="center"/>
          </w:tcPr>
          <w:p>
            <w:pPr>
              <w:jc w:val="center"/>
              <w:rPr>
                <w:rFonts w:ascii="宋体" w:hAnsi="宋体" w:cs="仿宋_GB2312"/>
                <w:sz w:val="13"/>
                <w:szCs w:val="18"/>
              </w:rPr>
            </w:pPr>
            <w:r>
              <w:rPr>
                <w:rFonts w:hint="eastAsia" w:ascii="宋体" w:hAnsi="宋体" w:cs="仿宋_GB2312"/>
                <w:sz w:val="13"/>
                <w:szCs w:val="18"/>
              </w:rPr>
              <w:t>应急</w:t>
            </w:r>
          </w:p>
          <w:p>
            <w:pPr>
              <w:jc w:val="center"/>
              <w:rPr>
                <w:rFonts w:ascii="宋体" w:hAnsi="宋体" w:cs="仿宋_GB2312"/>
                <w:sz w:val="13"/>
                <w:szCs w:val="18"/>
              </w:rPr>
            </w:pPr>
            <w:r>
              <w:rPr>
                <w:rFonts w:hint="eastAsia" w:ascii="宋体" w:hAnsi="宋体" w:cs="仿宋_GB2312"/>
                <w:sz w:val="13"/>
                <w:szCs w:val="18"/>
              </w:rPr>
              <w:t>处置</w:t>
            </w:r>
          </w:p>
        </w:tc>
        <w:tc>
          <w:tcPr>
            <w:tcW w:w="284" w:type="dxa"/>
            <w:vMerge w:val="continue"/>
            <w:vAlign w:val="center"/>
          </w:tcPr>
          <w:p>
            <w:pPr>
              <w:rPr>
                <w:rFonts w:ascii="宋体" w:hAnsi="宋体" w:cs="仿宋_GB2312"/>
                <w:sz w:val="13"/>
                <w:szCs w:val="18"/>
              </w:rPr>
            </w:pPr>
          </w:p>
        </w:tc>
        <w:tc>
          <w:tcPr>
            <w:tcW w:w="283" w:type="dxa"/>
            <w:vMerge w:val="continue"/>
            <w:vAlign w:val="center"/>
          </w:tcPr>
          <w:p>
            <w:pPr>
              <w:rPr>
                <w:rFonts w:ascii="宋体" w:hAnsi="宋体" w:cs="仿宋_GB2312"/>
                <w:sz w:val="13"/>
                <w:szCs w:val="18"/>
              </w:rPr>
            </w:pPr>
          </w:p>
        </w:tc>
        <w:tc>
          <w:tcPr>
            <w:tcW w:w="284" w:type="dxa"/>
            <w:vMerge w:val="continue"/>
            <w:vAlign w:val="center"/>
          </w:tcPr>
          <w:p>
            <w:pPr>
              <w:rPr>
                <w:rFonts w:ascii="宋体" w:hAnsi="宋体" w:cs="仿宋_GB2312"/>
                <w:sz w:val="13"/>
                <w:szCs w:val="18"/>
              </w:rPr>
            </w:pPr>
          </w:p>
        </w:tc>
        <w:tc>
          <w:tcPr>
            <w:tcW w:w="567" w:type="dxa"/>
            <w:vMerge w:val="continue"/>
            <w:vAlign w:val="center"/>
          </w:tcPr>
          <w:p>
            <w:pPr>
              <w:jc w:val="center"/>
              <w:rPr>
                <w:rFonts w:ascii="宋体" w:hAnsi="宋体" w:cs="仿宋_GB2312"/>
                <w:sz w:val="13"/>
                <w:szCs w:val="18"/>
              </w:rPr>
            </w:pPr>
          </w:p>
        </w:tc>
        <w:tc>
          <w:tcPr>
            <w:tcW w:w="567" w:type="dxa"/>
            <w:vMerge w:val="continue"/>
            <w:vAlign w:val="center"/>
          </w:tcPr>
          <w:p>
            <w:pPr>
              <w:jc w:val="center"/>
              <w:rPr>
                <w:rFonts w:ascii="宋体" w:hAnsi="宋体" w:cs="仿宋_GB2312"/>
                <w:sz w:val="13"/>
                <w:szCs w:val="18"/>
              </w:rPr>
            </w:pPr>
          </w:p>
        </w:tc>
        <w:tc>
          <w:tcPr>
            <w:tcW w:w="2023" w:type="dxa"/>
            <w:vMerge w:val="continue"/>
            <w:vAlign w:val="center"/>
          </w:tcPr>
          <w:p>
            <w:pPr>
              <w:jc w:val="center"/>
              <w:rPr>
                <w:rFonts w:ascii="宋体" w:hAnsi="宋体" w:cs="仿宋_GB2312"/>
                <w:sz w:val="13"/>
                <w:szCs w:val="18"/>
              </w:rPr>
            </w:pPr>
          </w:p>
        </w:tc>
        <w:tc>
          <w:tcPr>
            <w:tcW w:w="611" w:type="dxa"/>
            <w:vMerge w:val="continue"/>
          </w:tcPr>
          <w:p>
            <w:pPr>
              <w:jc w:val="center"/>
              <w:rPr>
                <w:rFonts w:ascii="宋体" w:hAnsi="宋体" w:cs="仿宋_GB2312"/>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314" w:type="dxa"/>
            <w:vAlign w:val="center"/>
          </w:tcPr>
          <w:p>
            <w:pPr>
              <w:ind w:firstLine="325" w:firstLineChars="250"/>
              <w:rPr>
                <w:rFonts w:ascii="宋体" w:hAnsi="宋体" w:cs="仿宋_GB2312"/>
                <w:sz w:val="13"/>
                <w:szCs w:val="18"/>
              </w:rPr>
            </w:pPr>
          </w:p>
        </w:tc>
        <w:tc>
          <w:tcPr>
            <w:tcW w:w="654" w:type="dxa"/>
            <w:vAlign w:val="center"/>
          </w:tcPr>
          <w:p>
            <w:pPr>
              <w:ind w:firstLine="325" w:firstLineChars="250"/>
              <w:rPr>
                <w:rFonts w:ascii="宋体" w:hAnsi="宋体" w:cs="仿宋_GB2312"/>
                <w:sz w:val="13"/>
                <w:szCs w:val="18"/>
              </w:rPr>
            </w:pPr>
          </w:p>
        </w:tc>
        <w:tc>
          <w:tcPr>
            <w:tcW w:w="1276" w:type="dxa"/>
            <w:vAlign w:val="center"/>
          </w:tcPr>
          <w:p>
            <w:pPr>
              <w:ind w:firstLine="325" w:firstLineChars="250"/>
              <w:rPr>
                <w:rFonts w:ascii="宋体" w:hAnsi="宋体" w:cs="仿宋_GB2312"/>
                <w:sz w:val="13"/>
                <w:szCs w:val="18"/>
              </w:rPr>
            </w:pPr>
          </w:p>
        </w:tc>
        <w:tc>
          <w:tcPr>
            <w:tcW w:w="709" w:type="dxa"/>
            <w:vAlign w:val="center"/>
          </w:tcPr>
          <w:p>
            <w:pPr>
              <w:ind w:firstLine="325" w:firstLineChars="250"/>
              <w:rPr>
                <w:rFonts w:ascii="宋体" w:hAnsi="宋体" w:cs="仿宋_GB2312"/>
                <w:sz w:val="13"/>
                <w:szCs w:val="18"/>
              </w:rPr>
            </w:pPr>
          </w:p>
        </w:tc>
        <w:tc>
          <w:tcPr>
            <w:tcW w:w="567" w:type="dxa"/>
            <w:vAlign w:val="center"/>
          </w:tcPr>
          <w:p>
            <w:pPr>
              <w:ind w:firstLine="325" w:firstLineChars="250"/>
              <w:rPr>
                <w:rFonts w:ascii="宋体" w:hAnsi="宋体" w:cs="仿宋_GB2312"/>
                <w:sz w:val="13"/>
                <w:szCs w:val="18"/>
              </w:rPr>
            </w:pPr>
          </w:p>
        </w:tc>
        <w:tc>
          <w:tcPr>
            <w:tcW w:w="425" w:type="dxa"/>
            <w:vAlign w:val="center"/>
          </w:tcPr>
          <w:p>
            <w:pPr>
              <w:ind w:firstLine="325" w:firstLineChars="250"/>
              <w:rPr>
                <w:rFonts w:ascii="宋体" w:hAnsi="宋体" w:cs="仿宋_GB2312"/>
                <w:sz w:val="13"/>
                <w:szCs w:val="18"/>
              </w:rPr>
            </w:pPr>
          </w:p>
        </w:tc>
        <w:tc>
          <w:tcPr>
            <w:tcW w:w="567" w:type="dxa"/>
          </w:tcPr>
          <w:p>
            <w:pPr>
              <w:ind w:firstLine="325" w:firstLineChars="250"/>
              <w:rPr>
                <w:rFonts w:ascii="宋体" w:hAnsi="宋体" w:cs="仿宋_GB2312"/>
                <w:sz w:val="13"/>
                <w:szCs w:val="18"/>
              </w:rPr>
            </w:pPr>
          </w:p>
        </w:tc>
        <w:tc>
          <w:tcPr>
            <w:tcW w:w="425" w:type="dxa"/>
            <w:vAlign w:val="center"/>
          </w:tcPr>
          <w:p>
            <w:pPr>
              <w:ind w:firstLine="325" w:firstLineChars="250"/>
              <w:rPr>
                <w:rFonts w:ascii="宋体" w:hAnsi="宋体" w:cs="仿宋_GB2312"/>
                <w:sz w:val="13"/>
                <w:szCs w:val="18"/>
              </w:rPr>
            </w:pPr>
          </w:p>
        </w:tc>
        <w:tc>
          <w:tcPr>
            <w:tcW w:w="425" w:type="dxa"/>
            <w:vAlign w:val="center"/>
          </w:tcPr>
          <w:p>
            <w:pPr>
              <w:ind w:firstLine="325" w:firstLineChars="250"/>
              <w:rPr>
                <w:rFonts w:ascii="宋体" w:hAnsi="宋体" w:cs="仿宋_GB2312"/>
                <w:sz w:val="13"/>
                <w:szCs w:val="18"/>
              </w:rPr>
            </w:pPr>
          </w:p>
        </w:tc>
        <w:tc>
          <w:tcPr>
            <w:tcW w:w="284" w:type="dxa"/>
            <w:vAlign w:val="center"/>
          </w:tcPr>
          <w:p>
            <w:pPr>
              <w:ind w:firstLine="325" w:firstLineChars="250"/>
              <w:rPr>
                <w:rFonts w:ascii="宋体" w:hAnsi="宋体" w:cs="仿宋_GB2312"/>
                <w:sz w:val="13"/>
                <w:szCs w:val="18"/>
              </w:rPr>
            </w:pPr>
          </w:p>
        </w:tc>
        <w:tc>
          <w:tcPr>
            <w:tcW w:w="283" w:type="dxa"/>
            <w:vAlign w:val="center"/>
          </w:tcPr>
          <w:p>
            <w:pPr>
              <w:ind w:firstLine="325" w:firstLineChars="250"/>
              <w:rPr>
                <w:rFonts w:ascii="宋体" w:hAnsi="宋体" w:cs="仿宋_GB2312"/>
                <w:sz w:val="13"/>
                <w:szCs w:val="18"/>
              </w:rPr>
            </w:pPr>
          </w:p>
        </w:tc>
        <w:tc>
          <w:tcPr>
            <w:tcW w:w="284" w:type="dxa"/>
            <w:vAlign w:val="center"/>
          </w:tcPr>
          <w:p>
            <w:pPr>
              <w:ind w:firstLine="325" w:firstLineChars="250"/>
              <w:rPr>
                <w:rFonts w:ascii="宋体" w:hAnsi="宋体" w:cs="仿宋_GB2312"/>
                <w:sz w:val="13"/>
                <w:szCs w:val="18"/>
              </w:rPr>
            </w:pPr>
          </w:p>
        </w:tc>
        <w:tc>
          <w:tcPr>
            <w:tcW w:w="567" w:type="dxa"/>
            <w:vAlign w:val="center"/>
          </w:tcPr>
          <w:p>
            <w:pPr>
              <w:ind w:firstLine="325" w:firstLineChars="250"/>
              <w:rPr>
                <w:rFonts w:ascii="宋体" w:hAnsi="宋体" w:cs="仿宋_GB2312"/>
                <w:sz w:val="13"/>
                <w:szCs w:val="18"/>
              </w:rPr>
            </w:pPr>
          </w:p>
        </w:tc>
        <w:tc>
          <w:tcPr>
            <w:tcW w:w="567" w:type="dxa"/>
            <w:vAlign w:val="center"/>
          </w:tcPr>
          <w:p>
            <w:pPr>
              <w:ind w:firstLine="325" w:firstLineChars="250"/>
              <w:rPr>
                <w:rFonts w:ascii="宋体" w:hAnsi="宋体" w:cs="仿宋_GB2312"/>
                <w:sz w:val="13"/>
                <w:szCs w:val="18"/>
              </w:rPr>
            </w:pPr>
          </w:p>
        </w:tc>
        <w:tc>
          <w:tcPr>
            <w:tcW w:w="2023" w:type="dxa"/>
            <w:vAlign w:val="center"/>
          </w:tcPr>
          <w:p>
            <w:pPr>
              <w:ind w:firstLine="325" w:firstLineChars="250"/>
              <w:rPr>
                <w:rFonts w:ascii="宋体" w:hAnsi="宋体" w:cs="仿宋_GB2312"/>
                <w:sz w:val="13"/>
                <w:szCs w:val="18"/>
              </w:rPr>
            </w:pPr>
          </w:p>
        </w:tc>
        <w:tc>
          <w:tcPr>
            <w:tcW w:w="611" w:type="dxa"/>
          </w:tcPr>
          <w:p>
            <w:pPr>
              <w:ind w:firstLine="325" w:firstLineChars="250"/>
              <w:rPr>
                <w:rFonts w:ascii="宋体" w:hAnsi="宋体" w:cs="仿宋_GB2312"/>
                <w:sz w:val="13"/>
                <w:szCs w:val="18"/>
              </w:rPr>
            </w:pPr>
          </w:p>
        </w:tc>
      </w:tr>
    </w:tbl>
    <w:p>
      <w:pPr>
        <w:ind w:firstLine="325" w:firstLineChars="250"/>
        <w:rPr>
          <w:rFonts w:ascii="宋体" w:hAnsi="宋体" w:cs="仿宋_GB2312"/>
          <w:sz w:val="13"/>
          <w:szCs w:val="18"/>
        </w:rPr>
      </w:pPr>
      <w:r>
        <w:rPr>
          <w:rFonts w:hint="eastAsia" w:ascii="宋体" w:hAnsi="宋体" w:cs="仿宋_GB2312"/>
          <w:sz w:val="13"/>
          <w:szCs w:val="18"/>
        </w:rPr>
        <w:t xml:space="preserve">分析人：         日期：         审核人：         日期：           审定人：        日期：  </w:t>
      </w:r>
    </w:p>
    <w:p>
      <w:pPr>
        <w:ind w:firstLine="260" w:firstLineChars="200"/>
        <w:rPr>
          <w:rFonts w:ascii="宋体" w:hAnsi="宋体" w:cs="仿宋_GB2312"/>
          <w:bCs/>
          <w:sz w:val="13"/>
          <w:szCs w:val="18"/>
        </w:rPr>
      </w:pPr>
      <w:r>
        <w:rPr>
          <w:rFonts w:hint="eastAsia" w:ascii="宋体" w:hAnsi="宋体" w:cs="仿宋_GB2312"/>
          <w:sz w:val="13"/>
          <w:szCs w:val="18"/>
        </w:rPr>
        <w:t>填表说明：1、审核人为所在岗位</w:t>
      </w:r>
      <w:r>
        <w:rPr>
          <w:rFonts w:ascii="宋体" w:hAnsi="宋体" w:cs="仿宋_GB2312"/>
          <w:sz w:val="13"/>
          <w:szCs w:val="18"/>
        </w:rPr>
        <w:t>/</w:t>
      </w:r>
      <w:r>
        <w:rPr>
          <w:rFonts w:hint="eastAsia" w:ascii="宋体" w:hAnsi="宋体" w:cs="仿宋_GB2312"/>
          <w:sz w:val="13"/>
          <w:szCs w:val="18"/>
        </w:rPr>
        <w:t>工序负责人，审定人为上级负责人。</w:t>
      </w:r>
      <w:r>
        <w:rPr>
          <w:rFonts w:hint="eastAsia" w:ascii="宋体" w:hAnsi="宋体" w:cs="仿宋_GB2312"/>
          <w:bCs/>
          <w:sz w:val="13"/>
          <w:szCs w:val="18"/>
        </w:rPr>
        <w:t>2、评价级别是运用风险评价方法，确定的风险等级。3、</w:t>
      </w:r>
      <w:r>
        <w:rPr>
          <w:rFonts w:hint="eastAsia" w:ascii="宋体" w:hAnsi="宋体" w:cs="仿宋_GB2312"/>
          <w:sz w:val="13"/>
          <w:szCs w:val="18"/>
        </w:rPr>
        <w:t>管控级别是指按照 风险等级对照表规定的对应原则，划分的重大风险、较大风险、一般风险和低风险，</w:t>
      </w:r>
      <w:r>
        <w:rPr>
          <w:rFonts w:hint="eastAsia" w:ascii="宋体" w:hAnsi="宋体" w:cs="仿宋_GB2312"/>
          <w:bCs/>
          <w:sz w:val="13"/>
          <w:szCs w:val="18"/>
        </w:rPr>
        <w:t>分别用“</w:t>
      </w:r>
      <w:r>
        <w:rPr>
          <w:rFonts w:hint="eastAsia" w:ascii="宋体" w:hAnsi="宋体" w:cs="仿宋_GB2312"/>
          <w:sz w:val="13"/>
          <w:szCs w:val="18"/>
        </w:rPr>
        <w:t>红、橙、黄、蓝</w:t>
      </w:r>
      <w:r>
        <w:rPr>
          <w:rFonts w:hint="eastAsia" w:ascii="宋体" w:hAnsi="宋体" w:cs="仿宋_GB2312"/>
          <w:bCs/>
          <w:sz w:val="13"/>
          <w:szCs w:val="18"/>
        </w:rPr>
        <w:t>”标识</w:t>
      </w:r>
      <w:r>
        <w:rPr>
          <w:rFonts w:hint="eastAsia" w:ascii="宋体" w:hAnsi="宋体" w:cs="仿宋_GB2312"/>
          <w:sz w:val="13"/>
          <w:szCs w:val="18"/>
        </w:rPr>
        <w:t>。</w:t>
      </w:r>
    </w:p>
    <w:p>
      <w:pPr>
        <w:pStyle w:val="23"/>
        <w:ind w:firstLine="320"/>
        <w:rPr>
          <w:sz w:val="16"/>
        </w:rPr>
      </w:pPr>
    </w:p>
    <w:p>
      <w:pPr>
        <w:pStyle w:val="23"/>
        <w:ind w:firstLine="320"/>
        <w:rPr>
          <w:sz w:val="16"/>
        </w:rPr>
      </w:pPr>
    </w:p>
    <w:p>
      <w:pPr>
        <w:pStyle w:val="23"/>
        <w:ind w:firstLine="320"/>
        <w:rPr>
          <w:sz w:val="16"/>
        </w:rPr>
      </w:pPr>
    </w:p>
    <w:p>
      <w:pPr>
        <w:ind w:firstLine="320" w:firstLineChars="200"/>
        <w:jc w:val="center"/>
        <w:rPr>
          <w:rFonts w:ascii="黑体" w:eastAsia="黑体"/>
          <w:sz w:val="16"/>
          <w:szCs w:val="21"/>
        </w:rPr>
      </w:pPr>
      <w:r>
        <w:rPr>
          <w:rFonts w:hint="eastAsia" w:ascii="黑体" w:eastAsia="黑体"/>
          <w:sz w:val="16"/>
          <w:szCs w:val="21"/>
        </w:rPr>
        <w:t>表5 安全检查表分析（</w:t>
      </w:r>
      <w:r>
        <w:rPr>
          <w:rFonts w:ascii="黑体" w:eastAsia="黑体"/>
          <w:sz w:val="16"/>
          <w:szCs w:val="21"/>
        </w:rPr>
        <w:t>SCL</w:t>
      </w:r>
      <w:r>
        <w:rPr>
          <w:rFonts w:hint="eastAsia" w:ascii="黑体" w:eastAsia="黑体"/>
          <w:sz w:val="16"/>
          <w:szCs w:val="21"/>
        </w:rPr>
        <w:t>+LS）评价记录</w:t>
      </w:r>
    </w:p>
    <w:tbl>
      <w:tblPr>
        <w:tblStyle w:val="11"/>
        <w:tblpPr w:leftFromText="180" w:rightFromText="180" w:vertAnchor="text" w:horzAnchor="margin" w:tblpXSpec="center" w:tblpY="244"/>
        <w:tblW w:w="9373" w:type="dxa"/>
        <w:tblInd w:w="0" w:type="dxa"/>
        <w:tblLayout w:type="fixed"/>
        <w:tblCellMar>
          <w:top w:w="0" w:type="dxa"/>
          <w:left w:w="0" w:type="dxa"/>
          <w:bottom w:w="0" w:type="dxa"/>
          <w:right w:w="0" w:type="dxa"/>
        </w:tblCellMar>
      </w:tblPr>
      <w:tblGrid>
        <w:gridCol w:w="303"/>
        <w:gridCol w:w="850"/>
        <w:gridCol w:w="567"/>
        <w:gridCol w:w="1134"/>
        <w:gridCol w:w="510"/>
        <w:gridCol w:w="510"/>
        <w:gridCol w:w="511"/>
        <w:gridCol w:w="510"/>
        <w:gridCol w:w="511"/>
        <w:gridCol w:w="283"/>
        <w:gridCol w:w="284"/>
        <w:gridCol w:w="283"/>
        <w:gridCol w:w="283"/>
        <w:gridCol w:w="284"/>
        <w:gridCol w:w="1965"/>
        <w:gridCol w:w="585"/>
      </w:tblGrid>
      <w:tr>
        <w:tblPrEx>
          <w:tblCellMar>
            <w:top w:w="0" w:type="dxa"/>
            <w:left w:w="0" w:type="dxa"/>
            <w:bottom w:w="0" w:type="dxa"/>
            <w:right w:w="0" w:type="dxa"/>
          </w:tblCellMar>
        </w:tblPrEx>
        <w:trPr>
          <w:trHeight w:val="542" w:hRule="atLeast"/>
        </w:trPr>
        <w:tc>
          <w:tcPr>
            <w:tcW w:w="303" w:type="dxa"/>
            <w:vMerge w:val="restart"/>
            <w:tcBorders>
              <w:top w:val="single" w:color="auto" w:sz="4" w:space="0"/>
              <w:left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序</w:t>
            </w:r>
          </w:p>
          <w:p>
            <w:pPr>
              <w:jc w:val="center"/>
              <w:rPr>
                <w:rFonts w:ascii="宋体" w:hAnsi="宋体" w:cs="仿宋_GB2312"/>
                <w:sz w:val="13"/>
                <w:szCs w:val="18"/>
              </w:rPr>
            </w:pPr>
            <w:r>
              <w:rPr>
                <w:rFonts w:hint="eastAsia" w:ascii="宋体" w:hAnsi="宋体" w:cs="仿宋_GB2312"/>
                <w:sz w:val="13"/>
                <w:szCs w:val="18"/>
              </w:rPr>
              <w:t>号</w:t>
            </w:r>
          </w:p>
        </w:tc>
        <w:tc>
          <w:tcPr>
            <w:tcW w:w="850"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检查项目</w:t>
            </w:r>
          </w:p>
        </w:tc>
        <w:tc>
          <w:tcPr>
            <w:tcW w:w="567"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标准</w:t>
            </w:r>
          </w:p>
        </w:tc>
        <w:tc>
          <w:tcPr>
            <w:tcW w:w="1134"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不符合标准</w:t>
            </w:r>
          </w:p>
          <w:p>
            <w:pPr>
              <w:jc w:val="center"/>
              <w:rPr>
                <w:rFonts w:ascii="宋体" w:hAnsi="宋体" w:cs="仿宋_GB2312"/>
                <w:sz w:val="13"/>
                <w:szCs w:val="18"/>
              </w:rPr>
            </w:pPr>
            <w:r>
              <w:rPr>
                <w:rFonts w:hint="eastAsia" w:ascii="宋体" w:hAnsi="宋体" w:cs="仿宋_GB2312"/>
                <w:sz w:val="13"/>
                <w:szCs w:val="18"/>
              </w:rPr>
              <w:t>情况及后果</w:t>
            </w:r>
          </w:p>
        </w:tc>
        <w:tc>
          <w:tcPr>
            <w:tcW w:w="2552" w:type="dxa"/>
            <w:gridSpan w:val="5"/>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现有控制措施</w:t>
            </w:r>
          </w:p>
        </w:tc>
        <w:tc>
          <w:tcPr>
            <w:tcW w:w="283"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ascii="宋体" w:hAnsi="宋体" w:cs="仿宋_GB2312"/>
                <w:sz w:val="13"/>
                <w:szCs w:val="18"/>
              </w:rPr>
              <w:t>L</w:t>
            </w:r>
          </w:p>
        </w:tc>
        <w:tc>
          <w:tcPr>
            <w:tcW w:w="284"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S</w:t>
            </w:r>
          </w:p>
        </w:tc>
        <w:tc>
          <w:tcPr>
            <w:tcW w:w="283"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R</w:t>
            </w:r>
          </w:p>
        </w:tc>
        <w:tc>
          <w:tcPr>
            <w:tcW w:w="283"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评价级别</w:t>
            </w:r>
          </w:p>
        </w:tc>
        <w:tc>
          <w:tcPr>
            <w:tcW w:w="284"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管控级别</w:t>
            </w:r>
          </w:p>
        </w:tc>
        <w:tc>
          <w:tcPr>
            <w:tcW w:w="1965"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建议新增（改进）措施</w:t>
            </w:r>
          </w:p>
        </w:tc>
        <w:tc>
          <w:tcPr>
            <w:tcW w:w="585"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备注</w:t>
            </w:r>
          </w:p>
        </w:tc>
      </w:tr>
      <w:tr>
        <w:tblPrEx>
          <w:tblCellMar>
            <w:top w:w="0" w:type="dxa"/>
            <w:left w:w="0" w:type="dxa"/>
            <w:bottom w:w="0" w:type="dxa"/>
            <w:right w:w="0" w:type="dxa"/>
          </w:tblCellMar>
        </w:tblPrEx>
        <w:trPr>
          <w:trHeight w:val="178" w:hRule="atLeast"/>
        </w:trPr>
        <w:tc>
          <w:tcPr>
            <w:tcW w:w="303" w:type="dxa"/>
            <w:vMerge w:val="continue"/>
            <w:tcBorders>
              <w:left w:val="single" w:color="auto" w:sz="4" w:space="0"/>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850"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567"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1134"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510"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工程</w:t>
            </w:r>
          </w:p>
          <w:p>
            <w:pPr>
              <w:jc w:val="center"/>
              <w:rPr>
                <w:rFonts w:ascii="宋体" w:hAnsi="宋体" w:cs="仿宋_GB2312"/>
                <w:sz w:val="13"/>
                <w:szCs w:val="18"/>
              </w:rPr>
            </w:pPr>
            <w:r>
              <w:rPr>
                <w:rFonts w:hint="eastAsia" w:ascii="宋体" w:hAnsi="宋体" w:cs="仿宋_GB2312"/>
                <w:sz w:val="13"/>
                <w:szCs w:val="18"/>
              </w:rPr>
              <w:t>技术</w:t>
            </w:r>
          </w:p>
        </w:tc>
        <w:tc>
          <w:tcPr>
            <w:tcW w:w="510"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管理</w:t>
            </w:r>
          </w:p>
          <w:p>
            <w:pPr>
              <w:jc w:val="center"/>
              <w:rPr>
                <w:rFonts w:ascii="宋体" w:hAnsi="宋体" w:cs="仿宋_GB2312"/>
                <w:sz w:val="13"/>
                <w:szCs w:val="18"/>
              </w:rPr>
            </w:pPr>
            <w:r>
              <w:rPr>
                <w:rFonts w:hint="eastAsia" w:ascii="宋体" w:hAnsi="宋体" w:cs="仿宋_GB2312"/>
                <w:sz w:val="13"/>
                <w:szCs w:val="18"/>
              </w:rPr>
              <w:t>措施</w:t>
            </w:r>
          </w:p>
        </w:tc>
        <w:tc>
          <w:tcPr>
            <w:tcW w:w="511"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培训教育</w:t>
            </w:r>
          </w:p>
        </w:tc>
        <w:tc>
          <w:tcPr>
            <w:tcW w:w="510"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个体防护</w:t>
            </w:r>
          </w:p>
        </w:tc>
        <w:tc>
          <w:tcPr>
            <w:tcW w:w="511"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应急</w:t>
            </w:r>
          </w:p>
          <w:p>
            <w:pPr>
              <w:jc w:val="center"/>
              <w:rPr>
                <w:rFonts w:ascii="宋体" w:hAnsi="宋体" w:cs="仿宋_GB2312"/>
                <w:sz w:val="13"/>
                <w:szCs w:val="18"/>
              </w:rPr>
            </w:pPr>
            <w:r>
              <w:rPr>
                <w:rFonts w:hint="eastAsia" w:ascii="宋体" w:hAnsi="宋体" w:cs="仿宋_GB2312"/>
                <w:sz w:val="13"/>
                <w:szCs w:val="18"/>
              </w:rPr>
              <w:t>处置</w:t>
            </w:r>
          </w:p>
        </w:tc>
        <w:tc>
          <w:tcPr>
            <w:tcW w:w="283"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284"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283"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283"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284"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1965"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585"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r>
      <w:tr>
        <w:tblPrEx>
          <w:tblCellMar>
            <w:top w:w="0" w:type="dxa"/>
            <w:left w:w="0" w:type="dxa"/>
            <w:bottom w:w="0" w:type="dxa"/>
            <w:right w:w="0" w:type="dxa"/>
          </w:tblCellMar>
        </w:tblPrEx>
        <w:trPr>
          <w:trHeight w:val="452" w:hRule="atLeast"/>
        </w:trPr>
        <w:tc>
          <w:tcPr>
            <w:tcW w:w="303" w:type="dxa"/>
            <w:tcBorders>
              <w:top w:val="nil"/>
              <w:left w:val="single" w:color="auto" w:sz="4" w:space="0"/>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850"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567"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1134"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510"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510"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511"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510"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511"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283"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284"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283"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283"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284"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1965"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585"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r>
    </w:tbl>
    <w:p>
      <w:pPr>
        <w:ind w:firstLine="130" w:firstLineChars="100"/>
        <w:rPr>
          <w:rFonts w:ascii="宋体" w:hAnsi="宋体" w:cs="仿宋_GB2312"/>
          <w:sz w:val="13"/>
          <w:szCs w:val="18"/>
        </w:rPr>
      </w:pPr>
      <w:r>
        <w:rPr>
          <w:rFonts w:hint="eastAsia" w:ascii="宋体" w:hAnsi="宋体" w:cs="仿宋_GB2312"/>
          <w:sz w:val="13"/>
          <w:szCs w:val="18"/>
        </w:rPr>
        <w:t xml:space="preserve">（记录受控号）单位：           岗位：           </w:t>
      </w:r>
      <w:r>
        <w:rPr>
          <w:rFonts w:hint="eastAsia" w:ascii="宋体" w:hAnsi="宋体" w:cs="仿宋_GB2312"/>
          <w:sz w:val="13"/>
          <w:szCs w:val="18"/>
          <w:lang w:bidi="ar"/>
        </w:rPr>
        <w:t>风险点（区域/装置/设备/设施）名称：</w:t>
      </w:r>
      <w:r>
        <w:rPr>
          <w:rFonts w:hint="eastAsia" w:ascii="宋体" w:hAnsi="宋体" w:cs="仿宋_GB2312"/>
          <w:sz w:val="13"/>
          <w:szCs w:val="18"/>
        </w:rPr>
        <w:t xml:space="preserve">           No：</w:t>
      </w:r>
    </w:p>
    <w:p>
      <w:pPr>
        <w:ind w:firstLine="260" w:firstLineChars="200"/>
        <w:rPr>
          <w:rFonts w:ascii="宋体" w:hAnsi="宋体" w:cs="仿宋_GB2312"/>
          <w:sz w:val="13"/>
          <w:szCs w:val="18"/>
        </w:rPr>
      </w:pPr>
    </w:p>
    <w:p>
      <w:pPr>
        <w:ind w:firstLine="325" w:firstLineChars="250"/>
        <w:rPr>
          <w:rFonts w:ascii="宋体" w:hAnsi="宋体" w:cs="仿宋_GB2312"/>
          <w:sz w:val="13"/>
          <w:szCs w:val="18"/>
        </w:rPr>
      </w:pPr>
      <w:r>
        <w:rPr>
          <w:rFonts w:hint="eastAsia" w:ascii="宋体" w:hAnsi="宋体" w:cs="仿宋_GB2312"/>
          <w:sz w:val="13"/>
          <w:szCs w:val="18"/>
        </w:rPr>
        <w:t xml:space="preserve">分析人：         日期：         审核人：         日期：           审定人：        日期：  </w:t>
      </w:r>
    </w:p>
    <w:p>
      <w:pPr>
        <w:ind w:firstLine="260" w:firstLineChars="200"/>
        <w:rPr>
          <w:rFonts w:ascii="宋体" w:hAnsi="宋体" w:cs="仿宋_GB2312"/>
          <w:sz w:val="13"/>
          <w:szCs w:val="18"/>
        </w:rPr>
      </w:pPr>
      <w:r>
        <w:rPr>
          <w:rFonts w:hint="eastAsia" w:ascii="宋体" w:hAnsi="宋体" w:cs="仿宋_GB2312"/>
          <w:sz w:val="13"/>
          <w:szCs w:val="18"/>
        </w:rPr>
        <w:t>填表说明：1、审核人为所在岗位负责人，审定人为上级负责人或车间主任。</w:t>
      </w:r>
      <w:r>
        <w:rPr>
          <w:rFonts w:hint="eastAsia" w:ascii="宋体" w:hAnsi="宋体" w:cs="仿宋_GB2312"/>
          <w:bCs/>
          <w:sz w:val="13"/>
          <w:szCs w:val="18"/>
        </w:rPr>
        <w:t>2、评价级别是运用风险评价方法，确定的风险等级。3、</w:t>
      </w:r>
      <w:r>
        <w:rPr>
          <w:rFonts w:hint="eastAsia" w:ascii="宋体" w:hAnsi="宋体" w:cs="仿宋_GB2312"/>
          <w:sz w:val="13"/>
          <w:szCs w:val="18"/>
        </w:rPr>
        <w:t>管控级别是指按照 风险等级对照表规定的对应原则，划分的重大风险、较大风险、一般风险和低风险，</w:t>
      </w:r>
      <w:r>
        <w:rPr>
          <w:rFonts w:hint="eastAsia" w:ascii="宋体" w:hAnsi="宋体" w:cs="仿宋_GB2312"/>
          <w:bCs/>
          <w:sz w:val="13"/>
          <w:szCs w:val="18"/>
        </w:rPr>
        <w:t>分别用“</w:t>
      </w:r>
      <w:r>
        <w:rPr>
          <w:rFonts w:hint="eastAsia" w:ascii="宋体" w:hAnsi="宋体" w:cs="仿宋_GB2312"/>
          <w:sz w:val="13"/>
          <w:szCs w:val="18"/>
        </w:rPr>
        <w:t>红、橙、黄、蓝</w:t>
      </w:r>
      <w:r>
        <w:rPr>
          <w:rFonts w:hint="eastAsia" w:ascii="宋体" w:hAnsi="宋体" w:cs="仿宋_GB2312"/>
          <w:bCs/>
          <w:sz w:val="13"/>
          <w:szCs w:val="18"/>
        </w:rPr>
        <w:t>”标识</w:t>
      </w:r>
      <w:r>
        <w:rPr>
          <w:rFonts w:hint="eastAsia" w:ascii="宋体" w:hAnsi="宋体" w:cs="仿宋_GB2312"/>
          <w:sz w:val="13"/>
          <w:szCs w:val="18"/>
        </w:rPr>
        <w:t>。</w:t>
      </w:r>
    </w:p>
    <w:p>
      <w:pPr>
        <w:pStyle w:val="23"/>
        <w:ind w:firstLine="320"/>
        <w:rPr>
          <w:sz w:val="16"/>
        </w:rPr>
      </w:pPr>
    </w:p>
    <w:p>
      <w:pPr>
        <w:pStyle w:val="25"/>
        <w:numPr>
          <w:ilvl w:val="1"/>
          <w:numId w:val="0"/>
        </w:numPr>
        <w:tabs>
          <w:tab w:val="clear" w:pos="1440"/>
        </w:tabs>
        <w:spacing w:before="312" w:after="312"/>
        <w:rPr>
          <w:sz w:val="16"/>
        </w:rPr>
      </w:pPr>
      <w:bookmarkStart w:id="22" w:name="_Toc479171761"/>
      <w:bookmarkStart w:id="23" w:name="_Toc479257306"/>
      <w:bookmarkStart w:id="24" w:name="_Toc479175348"/>
      <w:bookmarkStart w:id="25" w:name="_Toc11921452"/>
      <w:r>
        <w:rPr>
          <w:rFonts w:hint="eastAsia"/>
          <w:sz w:val="16"/>
        </w:rPr>
        <w:t>风险分级管控清单</w:t>
      </w:r>
      <w:bookmarkEnd w:id="22"/>
      <w:bookmarkEnd w:id="23"/>
      <w:bookmarkEnd w:id="24"/>
      <w:bookmarkEnd w:id="25"/>
    </w:p>
    <w:p>
      <w:pPr>
        <w:pStyle w:val="24"/>
        <w:numPr>
          <w:ilvl w:val="0"/>
          <w:numId w:val="0"/>
        </w:numPr>
        <w:spacing w:before="156" w:after="156"/>
        <w:rPr>
          <w:sz w:val="16"/>
        </w:rPr>
      </w:pPr>
      <w:r>
        <w:rPr>
          <w:rFonts w:hint="eastAsia"/>
          <w:sz w:val="16"/>
        </w:rPr>
        <w:t>表6</w:t>
      </w:r>
      <w:r>
        <w:rPr>
          <w:sz w:val="16"/>
        </w:rPr>
        <w:t>-</w:t>
      </w:r>
      <w:r>
        <w:rPr>
          <w:rFonts w:hint="eastAsia"/>
          <w:sz w:val="16"/>
        </w:rPr>
        <w:t>1作业活动风险分级控制清单</w:t>
      </w:r>
    </w:p>
    <w:tbl>
      <w:tblPr>
        <w:tblStyle w:val="11"/>
        <w:tblpPr w:leftFromText="180" w:rightFromText="180" w:vertAnchor="text" w:horzAnchor="page" w:tblpXSpec="center" w:tblpY="456"/>
        <w:tblOverlap w:val="never"/>
        <w:tblW w:w="870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3"/>
        <w:gridCol w:w="354"/>
        <w:gridCol w:w="470"/>
        <w:gridCol w:w="588"/>
        <w:gridCol w:w="824"/>
        <w:gridCol w:w="824"/>
        <w:gridCol w:w="353"/>
        <w:gridCol w:w="353"/>
        <w:gridCol w:w="823"/>
        <w:gridCol w:w="470"/>
        <w:gridCol w:w="470"/>
        <w:gridCol w:w="470"/>
        <w:gridCol w:w="470"/>
        <w:gridCol w:w="473"/>
        <w:gridCol w:w="354"/>
        <w:gridCol w:w="353"/>
        <w:gridCol w:w="353"/>
        <w:gridCol w:w="3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jc w:val="center"/>
        </w:trPr>
        <w:tc>
          <w:tcPr>
            <w:tcW w:w="1177" w:type="dxa"/>
            <w:gridSpan w:val="3"/>
            <w:vAlign w:val="center"/>
          </w:tcPr>
          <w:p>
            <w:pPr>
              <w:ind w:firstLine="360"/>
              <w:jc w:val="center"/>
              <w:rPr>
                <w:rFonts w:ascii="宋体" w:hAnsi="宋体" w:cs="宋体"/>
                <w:sz w:val="13"/>
                <w:szCs w:val="18"/>
              </w:rPr>
            </w:pPr>
            <w:bookmarkStart w:id="26" w:name="_Toc479257307"/>
            <w:bookmarkStart w:id="27" w:name="_Toc479175349"/>
            <w:bookmarkStart w:id="28" w:name="_Toc479171762"/>
            <w:r>
              <w:rPr>
                <w:rFonts w:hint="eastAsia" w:ascii="宋体" w:hAnsi="宋体" w:cs="宋体"/>
                <w:sz w:val="13"/>
                <w:szCs w:val="18"/>
              </w:rPr>
              <w:t>风险点</w:t>
            </w:r>
          </w:p>
        </w:tc>
        <w:tc>
          <w:tcPr>
            <w:tcW w:w="1412" w:type="dxa"/>
            <w:gridSpan w:val="2"/>
            <w:vAlign w:val="center"/>
          </w:tcPr>
          <w:p>
            <w:pPr>
              <w:jc w:val="center"/>
              <w:rPr>
                <w:rFonts w:ascii="宋体" w:hAnsi="宋体" w:cs="宋体"/>
                <w:sz w:val="13"/>
                <w:szCs w:val="18"/>
              </w:rPr>
            </w:pPr>
            <w:r>
              <w:rPr>
                <w:rFonts w:hint="eastAsia" w:ascii="宋体" w:hAnsi="宋体" w:cs="宋体"/>
                <w:sz w:val="13"/>
                <w:szCs w:val="18"/>
              </w:rPr>
              <w:t>作业步骤</w:t>
            </w:r>
          </w:p>
          <w:p>
            <w:pPr>
              <w:jc w:val="center"/>
              <w:rPr>
                <w:rFonts w:ascii="宋体" w:hAnsi="宋体" w:cs="宋体"/>
                <w:sz w:val="13"/>
                <w:szCs w:val="18"/>
              </w:rPr>
            </w:pPr>
            <w:r>
              <w:rPr>
                <w:rFonts w:hint="eastAsia" w:ascii="宋体" w:hAnsi="宋体" w:cs="宋体"/>
                <w:sz w:val="13"/>
                <w:szCs w:val="18"/>
              </w:rPr>
              <w:t>（危险源）</w:t>
            </w:r>
          </w:p>
        </w:tc>
        <w:tc>
          <w:tcPr>
            <w:tcW w:w="824" w:type="dxa"/>
            <w:vMerge w:val="restart"/>
            <w:vAlign w:val="center"/>
          </w:tcPr>
          <w:p>
            <w:pPr>
              <w:jc w:val="center"/>
              <w:rPr>
                <w:rFonts w:ascii="宋体" w:hAnsi="宋体" w:cs="宋体"/>
                <w:sz w:val="13"/>
                <w:szCs w:val="18"/>
              </w:rPr>
            </w:pPr>
            <w:r>
              <w:rPr>
                <w:rFonts w:hint="eastAsia" w:ascii="宋体" w:hAnsi="宋体" w:cs="宋体"/>
                <w:sz w:val="13"/>
                <w:szCs w:val="18"/>
              </w:rPr>
              <w:t>危险源或潜在事件</w:t>
            </w:r>
          </w:p>
        </w:tc>
        <w:tc>
          <w:tcPr>
            <w:tcW w:w="353" w:type="dxa"/>
            <w:vMerge w:val="restart"/>
            <w:vAlign w:val="center"/>
          </w:tcPr>
          <w:p>
            <w:pPr>
              <w:jc w:val="center"/>
              <w:rPr>
                <w:rFonts w:ascii="宋体" w:hAnsi="宋体" w:cs="宋体"/>
                <w:sz w:val="13"/>
                <w:szCs w:val="18"/>
              </w:rPr>
            </w:pPr>
            <w:r>
              <w:rPr>
                <w:rFonts w:hint="eastAsia" w:ascii="宋体" w:hAnsi="宋体" w:cs="宋体"/>
                <w:sz w:val="13"/>
                <w:szCs w:val="18"/>
              </w:rPr>
              <w:t>评价级别</w:t>
            </w:r>
          </w:p>
        </w:tc>
        <w:tc>
          <w:tcPr>
            <w:tcW w:w="353" w:type="dxa"/>
            <w:vMerge w:val="restart"/>
            <w:vAlign w:val="center"/>
          </w:tcPr>
          <w:p>
            <w:pPr>
              <w:jc w:val="center"/>
              <w:rPr>
                <w:rFonts w:ascii="宋体" w:hAnsi="宋体" w:cs="宋体"/>
                <w:sz w:val="13"/>
                <w:szCs w:val="18"/>
              </w:rPr>
            </w:pPr>
            <w:r>
              <w:rPr>
                <w:rFonts w:hint="eastAsia" w:ascii="宋体" w:hAnsi="宋体" w:cs="宋体"/>
                <w:sz w:val="13"/>
                <w:szCs w:val="18"/>
              </w:rPr>
              <w:t>管控级别</w:t>
            </w:r>
          </w:p>
        </w:tc>
        <w:tc>
          <w:tcPr>
            <w:tcW w:w="823" w:type="dxa"/>
            <w:vMerge w:val="restart"/>
            <w:vAlign w:val="center"/>
          </w:tcPr>
          <w:p>
            <w:pPr>
              <w:jc w:val="center"/>
              <w:rPr>
                <w:rFonts w:ascii="宋体" w:hAnsi="宋体" w:cs="宋体"/>
                <w:sz w:val="13"/>
                <w:szCs w:val="18"/>
              </w:rPr>
            </w:pPr>
            <w:r>
              <w:rPr>
                <w:rFonts w:hint="eastAsia" w:ascii="宋体" w:hAnsi="宋体" w:cs="宋体"/>
                <w:sz w:val="13"/>
                <w:szCs w:val="18"/>
              </w:rPr>
              <w:t>主要</w:t>
            </w:r>
          </w:p>
          <w:p>
            <w:pPr>
              <w:jc w:val="center"/>
              <w:rPr>
                <w:rFonts w:ascii="宋体" w:hAnsi="宋体" w:cs="宋体"/>
                <w:sz w:val="13"/>
                <w:szCs w:val="18"/>
              </w:rPr>
            </w:pPr>
            <w:r>
              <w:rPr>
                <w:rFonts w:hint="eastAsia" w:ascii="宋体" w:hAnsi="宋体" w:cs="宋体"/>
                <w:sz w:val="13"/>
                <w:szCs w:val="18"/>
              </w:rPr>
              <w:t>后果</w:t>
            </w:r>
          </w:p>
        </w:tc>
        <w:tc>
          <w:tcPr>
            <w:tcW w:w="2353" w:type="dxa"/>
            <w:gridSpan w:val="5"/>
            <w:vAlign w:val="center"/>
          </w:tcPr>
          <w:p>
            <w:pPr>
              <w:ind w:firstLine="360"/>
              <w:jc w:val="center"/>
              <w:rPr>
                <w:rFonts w:ascii="宋体" w:hAnsi="宋体" w:cs="宋体"/>
                <w:sz w:val="13"/>
                <w:szCs w:val="18"/>
              </w:rPr>
            </w:pPr>
            <w:r>
              <w:rPr>
                <w:rFonts w:hint="eastAsia" w:ascii="宋体" w:hAnsi="宋体" w:cs="宋体"/>
                <w:sz w:val="13"/>
                <w:szCs w:val="18"/>
              </w:rPr>
              <w:t>管控措施</w:t>
            </w:r>
          </w:p>
        </w:tc>
        <w:tc>
          <w:tcPr>
            <w:tcW w:w="354" w:type="dxa"/>
            <w:vMerge w:val="restart"/>
            <w:vAlign w:val="center"/>
          </w:tcPr>
          <w:p>
            <w:pPr>
              <w:jc w:val="center"/>
              <w:rPr>
                <w:rFonts w:ascii="宋体" w:hAnsi="宋体" w:cs="宋体"/>
                <w:sz w:val="13"/>
                <w:szCs w:val="18"/>
              </w:rPr>
            </w:pPr>
            <w:r>
              <w:rPr>
                <w:rFonts w:hint="eastAsia" w:ascii="宋体" w:hAnsi="宋体" w:cs="宋体"/>
                <w:sz w:val="13"/>
                <w:szCs w:val="18"/>
              </w:rPr>
              <w:t>管控层级</w:t>
            </w:r>
          </w:p>
        </w:tc>
        <w:tc>
          <w:tcPr>
            <w:tcW w:w="353" w:type="dxa"/>
            <w:vMerge w:val="restart"/>
            <w:vAlign w:val="center"/>
          </w:tcPr>
          <w:p>
            <w:pPr>
              <w:jc w:val="center"/>
              <w:rPr>
                <w:rFonts w:ascii="宋体" w:hAnsi="宋体" w:cs="宋体"/>
                <w:sz w:val="13"/>
                <w:szCs w:val="18"/>
              </w:rPr>
            </w:pPr>
            <w:r>
              <w:rPr>
                <w:rFonts w:hint="eastAsia" w:ascii="宋体" w:hAnsi="宋体" w:cs="宋体"/>
                <w:sz w:val="13"/>
                <w:szCs w:val="18"/>
              </w:rPr>
              <w:t>责任单位</w:t>
            </w:r>
          </w:p>
        </w:tc>
        <w:tc>
          <w:tcPr>
            <w:tcW w:w="353" w:type="dxa"/>
            <w:vMerge w:val="restart"/>
            <w:vAlign w:val="center"/>
          </w:tcPr>
          <w:p>
            <w:pPr>
              <w:jc w:val="center"/>
              <w:rPr>
                <w:rFonts w:ascii="宋体" w:hAnsi="宋体" w:cs="宋体"/>
                <w:sz w:val="13"/>
                <w:szCs w:val="18"/>
              </w:rPr>
            </w:pPr>
            <w:r>
              <w:rPr>
                <w:rFonts w:hint="eastAsia" w:ascii="宋体" w:hAnsi="宋体" w:cs="宋体"/>
                <w:sz w:val="13"/>
                <w:szCs w:val="18"/>
              </w:rPr>
              <w:t>责任人</w:t>
            </w:r>
          </w:p>
        </w:tc>
        <w:tc>
          <w:tcPr>
            <w:tcW w:w="353" w:type="dxa"/>
            <w:vMerge w:val="restart"/>
            <w:vAlign w:val="center"/>
          </w:tcPr>
          <w:p>
            <w:pPr>
              <w:jc w:val="center"/>
              <w:rPr>
                <w:rFonts w:ascii="宋体" w:hAnsi="宋体" w:cs="宋体"/>
                <w:sz w:val="13"/>
                <w:szCs w:val="18"/>
              </w:rPr>
            </w:pPr>
            <w:r>
              <w:rPr>
                <w:rFonts w:hint="eastAsia" w:ascii="宋体" w:hAnsi="宋体" w:cs="宋体"/>
                <w:sz w:val="13"/>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9" w:hRule="atLeast"/>
          <w:jc w:val="center"/>
        </w:trPr>
        <w:tc>
          <w:tcPr>
            <w:tcW w:w="353" w:type="dxa"/>
            <w:vAlign w:val="center"/>
          </w:tcPr>
          <w:p>
            <w:pPr>
              <w:jc w:val="center"/>
              <w:rPr>
                <w:rFonts w:ascii="宋体"/>
                <w:sz w:val="13"/>
              </w:rPr>
            </w:pPr>
            <w:r>
              <w:rPr>
                <w:rFonts w:hint="eastAsia" w:ascii="宋体" w:hAnsi="宋体" w:cs="宋体"/>
                <w:sz w:val="13"/>
                <w:szCs w:val="18"/>
              </w:rPr>
              <w:t>编号</w:t>
            </w:r>
          </w:p>
        </w:tc>
        <w:tc>
          <w:tcPr>
            <w:tcW w:w="354" w:type="dxa"/>
            <w:vAlign w:val="center"/>
          </w:tcPr>
          <w:p>
            <w:pPr>
              <w:jc w:val="center"/>
              <w:rPr>
                <w:rFonts w:ascii="宋体"/>
                <w:sz w:val="13"/>
                <w:szCs w:val="18"/>
              </w:rPr>
            </w:pPr>
            <w:r>
              <w:rPr>
                <w:rFonts w:hint="eastAsia" w:ascii="宋体"/>
                <w:sz w:val="13"/>
                <w:szCs w:val="18"/>
              </w:rPr>
              <w:t>类型</w:t>
            </w:r>
          </w:p>
        </w:tc>
        <w:tc>
          <w:tcPr>
            <w:tcW w:w="470" w:type="dxa"/>
            <w:vAlign w:val="center"/>
          </w:tcPr>
          <w:p>
            <w:pPr>
              <w:jc w:val="center"/>
              <w:rPr>
                <w:rFonts w:ascii="宋体"/>
                <w:sz w:val="13"/>
                <w:szCs w:val="18"/>
              </w:rPr>
            </w:pPr>
            <w:r>
              <w:rPr>
                <w:rFonts w:hint="eastAsia" w:ascii="宋体"/>
                <w:sz w:val="13"/>
                <w:szCs w:val="18"/>
              </w:rPr>
              <w:t>名称</w:t>
            </w:r>
          </w:p>
        </w:tc>
        <w:tc>
          <w:tcPr>
            <w:tcW w:w="588" w:type="dxa"/>
            <w:vAlign w:val="center"/>
          </w:tcPr>
          <w:p>
            <w:pPr>
              <w:jc w:val="center"/>
              <w:rPr>
                <w:rFonts w:ascii="宋体" w:hAnsi="宋体" w:cs="宋体"/>
                <w:sz w:val="13"/>
                <w:szCs w:val="18"/>
              </w:rPr>
            </w:pPr>
            <w:r>
              <w:rPr>
                <w:rFonts w:hint="eastAsia" w:ascii="宋体"/>
                <w:sz w:val="13"/>
                <w:szCs w:val="18"/>
              </w:rPr>
              <w:t>序号</w:t>
            </w:r>
          </w:p>
        </w:tc>
        <w:tc>
          <w:tcPr>
            <w:tcW w:w="824" w:type="dxa"/>
            <w:vAlign w:val="center"/>
          </w:tcPr>
          <w:p>
            <w:pPr>
              <w:jc w:val="center"/>
              <w:rPr>
                <w:rFonts w:ascii="宋体" w:hAnsi="宋体" w:cs="宋体"/>
                <w:sz w:val="13"/>
                <w:szCs w:val="18"/>
              </w:rPr>
            </w:pPr>
            <w:r>
              <w:rPr>
                <w:rFonts w:hint="eastAsia" w:ascii="宋体" w:hAnsi="宋体" w:cs="宋体"/>
                <w:sz w:val="13"/>
                <w:szCs w:val="18"/>
              </w:rPr>
              <w:t>名称</w:t>
            </w:r>
          </w:p>
        </w:tc>
        <w:tc>
          <w:tcPr>
            <w:tcW w:w="824" w:type="dxa"/>
            <w:vMerge w:val="continue"/>
            <w:vAlign w:val="center"/>
          </w:tcPr>
          <w:p>
            <w:pPr>
              <w:jc w:val="center"/>
              <w:rPr>
                <w:rFonts w:ascii="宋体" w:hAnsi="宋体" w:cs="宋体"/>
                <w:sz w:val="13"/>
                <w:szCs w:val="18"/>
              </w:rPr>
            </w:pPr>
          </w:p>
        </w:tc>
        <w:tc>
          <w:tcPr>
            <w:tcW w:w="353" w:type="dxa"/>
            <w:vMerge w:val="continue"/>
            <w:vAlign w:val="center"/>
          </w:tcPr>
          <w:p>
            <w:pPr>
              <w:ind w:firstLine="360"/>
              <w:jc w:val="center"/>
              <w:rPr>
                <w:rFonts w:ascii="宋体" w:hAnsi="宋体" w:cs="宋体"/>
                <w:sz w:val="13"/>
                <w:szCs w:val="18"/>
              </w:rPr>
            </w:pPr>
          </w:p>
        </w:tc>
        <w:tc>
          <w:tcPr>
            <w:tcW w:w="353" w:type="dxa"/>
            <w:vMerge w:val="continue"/>
            <w:vAlign w:val="center"/>
          </w:tcPr>
          <w:p>
            <w:pPr>
              <w:ind w:firstLine="360"/>
              <w:jc w:val="center"/>
              <w:rPr>
                <w:rFonts w:ascii="宋体" w:hAnsi="宋体" w:cs="宋体"/>
                <w:sz w:val="13"/>
                <w:szCs w:val="18"/>
              </w:rPr>
            </w:pPr>
          </w:p>
        </w:tc>
        <w:tc>
          <w:tcPr>
            <w:tcW w:w="823" w:type="dxa"/>
            <w:vMerge w:val="continue"/>
            <w:vAlign w:val="center"/>
          </w:tcPr>
          <w:p>
            <w:pPr>
              <w:ind w:firstLine="360"/>
              <w:jc w:val="center"/>
              <w:rPr>
                <w:rFonts w:ascii="宋体" w:hAnsi="宋体" w:cs="宋体"/>
                <w:sz w:val="13"/>
                <w:szCs w:val="18"/>
              </w:rPr>
            </w:pPr>
          </w:p>
        </w:tc>
        <w:tc>
          <w:tcPr>
            <w:tcW w:w="470" w:type="dxa"/>
            <w:vAlign w:val="center"/>
          </w:tcPr>
          <w:p>
            <w:pPr>
              <w:jc w:val="center"/>
              <w:rPr>
                <w:rFonts w:ascii="宋体" w:hAnsi="宋体" w:cs="宋体"/>
                <w:sz w:val="13"/>
                <w:szCs w:val="18"/>
              </w:rPr>
            </w:pPr>
            <w:r>
              <w:rPr>
                <w:rFonts w:hint="eastAsia" w:ascii="宋体" w:hAnsi="宋体" w:cs="宋体"/>
                <w:sz w:val="13"/>
                <w:szCs w:val="18"/>
              </w:rPr>
              <w:t>工程技术</w:t>
            </w:r>
          </w:p>
        </w:tc>
        <w:tc>
          <w:tcPr>
            <w:tcW w:w="470" w:type="dxa"/>
            <w:vAlign w:val="center"/>
          </w:tcPr>
          <w:p>
            <w:pPr>
              <w:jc w:val="center"/>
              <w:rPr>
                <w:rFonts w:ascii="宋体" w:hAnsi="宋体" w:cs="宋体"/>
                <w:sz w:val="13"/>
                <w:szCs w:val="18"/>
              </w:rPr>
            </w:pPr>
            <w:r>
              <w:rPr>
                <w:rFonts w:hint="eastAsia" w:ascii="宋体" w:hAnsi="宋体" w:cs="宋体"/>
                <w:sz w:val="13"/>
                <w:szCs w:val="18"/>
              </w:rPr>
              <w:t>管理措施</w:t>
            </w:r>
          </w:p>
        </w:tc>
        <w:tc>
          <w:tcPr>
            <w:tcW w:w="470" w:type="dxa"/>
          </w:tcPr>
          <w:p>
            <w:pPr>
              <w:jc w:val="center"/>
              <w:rPr>
                <w:rFonts w:ascii="宋体" w:hAnsi="宋体" w:cs="宋体"/>
                <w:sz w:val="13"/>
                <w:szCs w:val="18"/>
              </w:rPr>
            </w:pPr>
            <w:r>
              <w:rPr>
                <w:rFonts w:hint="eastAsia" w:ascii="宋体" w:hAnsi="宋体" w:cs="宋体"/>
                <w:sz w:val="13"/>
                <w:szCs w:val="18"/>
              </w:rPr>
              <w:t>培训教育</w:t>
            </w:r>
          </w:p>
        </w:tc>
        <w:tc>
          <w:tcPr>
            <w:tcW w:w="470" w:type="dxa"/>
            <w:vAlign w:val="center"/>
          </w:tcPr>
          <w:p>
            <w:pPr>
              <w:jc w:val="center"/>
              <w:rPr>
                <w:rFonts w:ascii="宋体" w:hAnsi="宋体" w:cs="宋体"/>
                <w:sz w:val="13"/>
                <w:szCs w:val="18"/>
              </w:rPr>
            </w:pPr>
            <w:r>
              <w:rPr>
                <w:rFonts w:hint="eastAsia" w:ascii="宋体" w:hAnsi="宋体" w:cs="宋体"/>
                <w:sz w:val="13"/>
                <w:szCs w:val="18"/>
              </w:rPr>
              <w:t>个体防护</w:t>
            </w:r>
          </w:p>
        </w:tc>
        <w:tc>
          <w:tcPr>
            <w:tcW w:w="473" w:type="dxa"/>
            <w:vAlign w:val="center"/>
          </w:tcPr>
          <w:p>
            <w:pPr>
              <w:jc w:val="center"/>
              <w:rPr>
                <w:rFonts w:ascii="宋体" w:hAnsi="宋体" w:cs="宋体"/>
                <w:sz w:val="13"/>
                <w:szCs w:val="18"/>
              </w:rPr>
            </w:pPr>
            <w:r>
              <w:rPr>
                <w:rFonts w:hint="eastAsia" w:ascii="宋体" w:hAnsi="宋体" w:cs="宋体"/>
                <w:sz w:val="13"/>
                <w:szCs w:val="18"/>
              </w:rPr>
              <w:t>应急处置</w:t>
            </w:r>
          </w:p>
        </w:tc>
        <w:tc>
          <w:tcPr>
            <w:tcW w:w="354" w:type="dxa"/>
            <w:vMerge w:val="continue"/>
            <w:vAlign w:val="center"/>
          </w:tcPr>
          <w:p>
            <w:pPr>
              <w:ind w:firstLine="360"/>
              <w:jc w:val="center"/>
              <w:rPr>
                <w:rFonts w:ascii="宋体" w:hAnsi="宋体" w:cs="宋体"/>
                <w:sz w:val="13"/>
                <w:szCs w:val="18"/>
              </w:rPr>
            </w:pPr>
          </w:p>
        </w:tc>
        <w:tc>
          <w:tcPr>
            <w:tcW w:w="353" w:type="dxa"/>
            <w:vMerge w:val="continue"/>
            <w:vAlign w:val="center"/>
          </w:tcPr>
          <w:p>
            <w:pPr>
              <w:ind w:firstLine="360"/>
              <w:jc w:val="center"/>
              <w:rPr>
                <w:rFonts w:ascii="宋体" w:hAnsi="宋体" w:cs="宋体"/>
                <w:sz w:val="13"/>
                <w:szCs w:val="18"/>
              </w:rPr>
            </w:pPr>
          </w:p>
        </w:tc>
        <w:tc>
          <w:tcPr>
            <w:tcW w:w="353" w:type="dxa"/>
            <w:vMerge w:val="continue"/>
            <w:vAlign w:val="center"/>
          </w:tcPr>
          <w:p>
            <w:pPr>
              <w:ind w:firstLine="360"/>
              <w:jc w:val="center"/>
              <w:rPr>
                <w:rFonts w:ascii="宋体" w:hAnsi="宋体" w:cs="宋体"/>
                <w:sz w:val="13"/>
                <w:szCs w:val="18"/>
              </w:rPr>
            </w:pPr>
          </w:p>
        </w:tc>
        <w:tc>
          <w:tcPr>
            <w:tcW w:w="353" w:type="dxa"/>
            <w:vMerge w:val="continue"/>
            <w:vAlign w:val="center"/>
          </w:tcPr>
          <w:p>
            <w:pPr>
              <w:ind w:firstLine="360"/>
              <w:jc w:val="center"/>
              <w:rPr>
                <w:rFonts w:ascii="宋体" w:hAnsi="宋体" w:cs="宋体"/>
                <w:sz w:val="13"/>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353" w:type="dxa"/>
            <w:vMerge w:val="restart"/>
            <w:vAlign w:val="center"/>
          </w:tcPr>
          <w:p>
            <w:pPr>
              <w:jc w:val="center"/>
              <w:rPr>
                <w:rFonts w:ascii="宋体"/>
                <w:sz w:val="13"/>
              </w:rPr>
            </w:pPr>
            <w:r>
              <w:rPr>
                <w:rFonts w:hint="eastAsia" w:ascii="宋体"/>
                <w:sz w:val="13"/>
              </w:rPr>
              <w:t>1</w:t>
            </w:r>
          </w:p>
        </w:tc>
        <w:tc>
          <w:tcPr>
            <w:tcW w:w="354" w:type="dxa"/>
            <w:vMerge w:val="restart"/>
            <w:vAlign w:val="center"/>
          </w:tcPr>
          <w:p>
            <w:pPr>
              <w:ind w:firstLine="360"/>
              <w:jc w:val="center"/>
              <w:rPr>
                <w:rFonts w:ascii="宋体"/>
                <w:color w:val="0000FF"/>
                <w:sz w:val="13"/>
                <w:szCs w:val="18"/>
              </w:rPr>
            </w:pPr>
          </w:p>
          <w:p>
            <w:pPr>
              <w:jc w:val="center"/>
              <w:rPr>
                <w:rFonts w:ascii="宋体"/>
                <w:sz w:val="13"/>
                <w:szCs w:val="18"/>
              </w:rPr>
            </w:pPr>
            <w:r>
              <w:rPr>
                <w:rFonts w:hint="eastAsia" w:ascii="宋体"/>
                <w:sz w:val="13"/>
                <w:szCs w:val="18"/>
              </w:rPr>
              <w:t>作业活动</w:t>
            </w:r>
          </w:p>
        </w:tc>
        <w:tc>
          <w:tcPr>
            <w:tcW w:w="470" w:type="dxa"/>
            <w:vMerge w:val="restart"/>
            <w:vAlign w:val="center"/>
          </w:tcPr>
          <w:p>
            <w:pPr>
              <w:jc w:val="center"/>
              <w:rPr>
                <w:rFonts w:ascii="宋体"/>
                <w:color w:val="0000FF"/>
                <w:sz w:val="13"/>
              </w:rPr>
            </w:pPr>
          </w:p>
        </w:tc>
        <w:tc>
          <w:tcPr>
            <w:tcW w:w="588" w:type="dxa"/>
            <w:vAlign w:val="center"/>
          </w:tcPr>
          <w:p>
            <w:pPr>
              <w:jc w:val="center"/>
              <w:rPr>
                <w:rFonts w:ascii="宋体"/>
                <w:sz w:val="13"/>
              </w:rPr>
            </w:pPr>
            <w:r>
              <w:rPr>
                <w:rFonts w:hint="eastAsia" w:ascii="宋体"/>
                <w:sz w:val="13"/>
              </w:rPr>
              <w:t>1</w:t>
            </w:r>
          </w:p>
        </w:tc>
        <w:tc>
          <w:tcPr>
            <w:tcW w:w="824" w:type="dxa"/>
            <w:vAlign w:val="center"/>
          </w:tcPr>
          <w:p>
            <w:pPr>
              <w:jc w:val="center"/>
              <w:rPr>
                <w:rFonts w:ascii="宋体"/>
                <w:sz w:val="13"/>
              </w:rPr>
            </w:pPr>
          </w:p>
        </w:tc>
        <w:tc>
          <w:tcPr>
            <w:tcW w:w="824"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c>
          <w:tcPr>
            <w:tcW w:w="823" w:type="dxa"/>
            <w:vAlign w:val="center"/>
          </w:tcPr>
          <w:p>
            <w:pPr>
              <w:jc w:val="center"/>
              <w:rPr>
                <w:rFonts w:ascii="宋体"/>
                <w:sz w:val="13"/>
              </w:rPr>
            </w:pPr>
          </w:p>
        </w:tc>
        <w:tc>
          <w:tcPr>
            <w:tcW w:w="470" w:type="dxa"/>
            <w:vAlign w:val="center"/>
          </w:tcPr>
          <w:p>
            <w:pPr>
              <w:jc w:val="center"/>
              <w:rPr>
                <w:rFonts w:ascii="宋体"/>
                <w:sz w:val="13"/>
              </w:rPr>
            </w:pPr>
          </w:p>
        </w:tc>
        <w:tc>
          <w:tcPr>
            <w:tcW w:w="470" w:type="dxa"/>
            <w:vAlign w:val="center"/>
          </w:tcPr>
          <w:p>
            <w:pPr>
              <w:jc w:val="center"/>
              <w:rPr>
                <w:rFonts w:ascii="宋体"/>
                <w:sz w:val="13"/>
              </w:rPr>
            </w:pPr>
          </w:p>
        </w:tc>
        <w:tc>
          <w:tcPr>
            <w:tcW w:w="470" w:type="dxa"/>
          </w:tcPr>
          <w:p>
            <w:pPr>
              <w:jc w:val="center"/>
              <w:rPr>
                <w:rFonts w:ascii="宋体"/>
                <w:sz w:val="13"/>
              </w:rPr>
            </w:pPr>
          </w:p>
        </w:tc>
        <w:tc>
          <w:tcPr>
            <w:tcW w:w="470" w:type="dxa"/>
            <w:vAlign w:val="center"/>
          </w:tcPr>
          <w:p>
            <w:pPr>
              <w:jc w:val="center"/>
              <w:rPr>
                <w:rFonts w:ascii="宋体"/>
                <w:sz w:val="13"/>
              </w:rPr>
            </w:pPr>
          </w:p>
        </w:tc>
        <w:tc>
          <w:tcPr>
            <w:tcW w:w="473" w:type="dxa"/>
            <w:vAlign w:val="center"/>
          </w:tcPr>
          <w:p>
            <w:pPr>
              <w:jc w:val="center"/>
              <w:rPr>
                <w:rFonts w:ascii="宋体"/>
                <w:sz w:val="13"/>
              </w:rPr>
            </w:pPr>
          </w:p>
        </w:tc>
        <w:tc>
          <w:tcPr>
            <w:tcW w:w="354"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353" w:type="dxa"/>
            <w:vMerge w:val="continue"/>
            <w:vAlign w:val="center"/>
          </w:tcPr>
          <w:p>
            <w:pPr>
              <w:jc w:val="center"/>
              <w:rPr>
                <w:rFonts w:ascii="宋体"/>
                <w:sz w:val="13"/>
              </w:rPr>
            </w:pPr>
          </w:p>
        </w:tc>
        <w:tc>
          <w:tcPr>
            <w:tcW w:w="354" w:type="dxa"/>
            <w:vMerge w:val="continue"/>
            <w:vAlign w:val="center"/>
          </w:tcPr>
          <w:p>
            <w:pPr>
              <w:jc w:val="center"/>
              <w:rPr>
                <w:rFonts w:ascii="宋体"/>
                <w:sz w:val="13"/>
              </w:rPr>
            </w:pPr>
          </w:p>
        </w:tc>
        <w:tc>
          <w:tcPr>
            <w:tcW w:w="470" w:type="dxa"/>
            <w:vMerge w:val="continue"/>
            <w:vAlign w:val="center"/>
          </w:tcPr>
          <w:p>
            <w:pPr>
              <w:jc w:val="center"/>
              <w:rPr>
                <w:rFonts w:ascii="宋体"/>
                <w:sz w:val="13"/>
              </w:rPr>
            </w:pPr>
          </w:p>
        </w:tc>
        <w:tc>
          <w:tcPr>
            <w:tcW w:w="588" w:type="dxa"/>
            <w:vAlign w:val="center"/>
          </w:tcPr>
          <w:p>
            <w:pPr>
              <w:jc w:val="center"/>
              <w:rPr>
                <w:rFonts w:ascii="宋体"/>
                <w:sz w:val="13"/>
              </w:rPr>
            </w:pPr>
            <w:r>
              <w:rPr>
                <w:rFonts w:hint="eastAsia" w:ascii="宋体"/>
                <w:sz w:val="13"/>
              </w:rPr>
              <w:t>2</w:t>
            </w:r>
          </w:p>
        </w:tc>
        <w:tc>
          <w:tcPr>
            <w:tcW w:w="824" w:type="dxa"/>
            <w:vAlign w:val="center"/>
          </w:tcPr>
          <w:p>
            <w:pPr>
              <w:jc w:val="center"/>
              <w:rPr>
                <w:rFonts w:ascii="宋体"/>
                <w:sz w:val="13"/>
              </w:rPr>
            </w:pPr>
          </w:p>
        </w:tc>
        <w:tc>
          <w:tcPr>
            <w:tcW w:w="824"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c>
          <w:tcPr>
            <w:tcW w:w="823" w:type="dxa"/>
            <w:vAlign w:val="center"/>
          </w:tcPr>
          <w:p>
            <w:pPr>
              <w:jc w:val="center"/>
              <w:rPr>
                <w:rFonts w:ascii="宋体"/>
                <w:sz w:val="13"/>
              </w:rPr>
            </w:pPr>
          </w:p>
        </w:tc>
        <w:tc>
          <w:tcPr>
            <w:tcW w:w="470" w:type="dxa"/>
            <w:vAlign w:val="center"/>
          </w:tcPr>
          <w:p>
            <w:pPr>
              <w:jc w:val="center"/>
              <w:rPr>
                <w:rFonts w:ascii="宋体"/>
                <w:sz w:val="13"/>
              </w:rPr>
            </w:pPr>
          </w:p>
        </w:tc>
        <w:tc>
          <w:tcPr>
            <w:tcW w:w="470" w:type="dxa"/>
            <w:vAlign w:val="center"/>
          </w:tcPr>
          <w:p>
            <w:pPr>
              <w:jc w:val="center"/>
              <w:rPr>
                <w:rFonts w:ascii="宋体"/>
                <w:sz w:val="13"/>
              </w:rPr>
            </w:pPr>
          </w:p>
        </w:tc>
        <w:tc>
          <w:tcPr>
            <w:tcW w:w="470" w:type="dxa"/>
          </w:tcPr>
          <w:p>
            <w:pPr>
              <w:jc w:val="center"/>
              <w:rPr>
                <w:rFonts w:ascii="宋体"/>
                <w:sz w:val="13"/>
              </w:rPr>
            </w:pPr>
          </w:p>
        </w:tc>
        <w:tc>
          <w:tcPr>
            <w:tcW w:w="470" w:type="dxa"/>
            <w:vAlign w:val="center"/>
          </w:tcPr>
          <w:p>
            <w:pPr>
              <w:jc w:val="center"/>
              <w:rPr>
                <w:rFonts w:ascii="宋体"/>
                <w:sz w:val="13"/>
              </w:rPr>
            </w:pPr>
          </w:p>
        </w:tc>
        <w:tc>
          <w:tcPr>
            <w:tcW w:w="473" w:type="dxa"/>
            <w:vAlign w:val="center"/>
          </w:tcPr>
          <w:p>
            <w:pPr>
              <w:jc w:val="center"/>
              <w:rPr>
                <w:rFonts w:ascii="宋体"/>
                <w:sz w:val="13"/>
              </w:rPr>
            </w:pPr>
          </w:p>
        </w:tc>
        <w:tc>
          <w:tcPr>
            <w:tcW w:w="354"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353" w:type="dxa"/>
            <w:vMerge w:val="continue"/>
            <w:vAlign w:val="center"/>
          </w:tcPr>
          <w:p>
            <w:pPr>
              <w:jc w:val="center"/>
              <w:rPr>
                <w:rFonts w:ascii="宋体"/>
                <w:sz w:val="13"/>
              </w:rPr>
            </w:pPr>
          </w:p>
        </w:tc>
        <w:tc>
          <w:tcPr>
            <w:tcW w:w="354" w:type="dxa"/>
            <w:vMerge w:val="continue"/>
            <w:vAlign w:val="center"/>
          </w:tcPr>
          <w:p>
            <w:pPr>
              <w:jc w:val="center"/>
              <w:rPr>
                <w:rFonts w:ascii="宋体"/>
                <w:sz w:val="13"/>
              </w:rPr>
            </w:pPr>
          </w:p>
        </w:tc>
        <w:tc>
          <w:tcPr>
            <w:tcW w:w="470" w:type="dxa"/>
            <w:vMerge w:val="continue"/>
            <w:vAlign w:val="center"/>
          </w:tcPr>
          <w:p>
            <w:pPr>
              <w:jc w:val="center"/>
              <w:rPr>
                <w:rFonts w:ascii="宋体"/>
                <w:sz w:val="13"/>
              </w:rPr>
            </w:pPr>
          </w:p>
        </w:tc>
        <w:tc>
          <w:tcPr>
            <w:tcW w:w="588" w:type="dxa"/>
            <w:vAlign w:val="center"/>
          </w:tcPr>
          <w:p>
            <w:pPr>
              <w:jc w:val="center"/>
              <w:rPr>
                <w:rFonts w:ascii="宋体"/>
                <w:sz w:val="13"/>
              </w:rPr>
            </w:pPr>
            <w:r>
              <w:rPr>
                <w:rFonts w:hint="eastAsia" w:ascii="宋体"/>
                <w:sz w:val="13"/>
              </w:rPr>
              <w:t>3</w:t>
            </w:r>
          </w:p>
        </w:tc>
        <w:tc>
          <w:tcPr>
            <w:tcW w:w="824" w:type="dxa"/>
            <w:vAlign w:val="center"/>
          </w:tcPr>
          <w:p>
            <w:pPr>
              <w:jc w:val="center"/>
              <w:rPr>
                <w:rFonts w:ascii="宋体"/>
                <w:sz w:val="13"/>
              </w:rPr>
            </w:pPr>
          </w:p>
        </w:tc>
        <w:tc>
          <w:tcPr>
            <w:tcW w:w="824"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c>
          <w:tcPr>
            <w:tcW w:w="823" w:type="dxa"/>
            <w:vAlign w:val="center"/>
          </w:tcPr>
          <w:p>
            <w:pPr>
              <w:jc w:val="center"/>
              <w:rPr>
                <w:rFonts w:ascii="宋体"/>
                <w:sz w:val="13"/>
              </w:rPr>
            </w:pPr>
          </w:p>
        </w:tc>
        <w:tc>
          <w:tcPr>
            <w:tcW w:w="470" w:type="dxa"/>
            <w:vAlign w:val="center"/>
          </w:tcPr>
          <w:p>
            <w:pPr>
              <w:jc w:val="center"/>
              <w:rPr>
                <w:rFonts w:ascii="宋体"/>
                <w:sz w:val="13"/>
              </w:rPr>
            </w:pPr>
          </w:p>
        </w:tc>
        <w:tc>
          <w:tcPr>
            <w:tcW w:w="470" w:type="dxa"/>
            <w:vAlign w:val="center"/>
          </w:tcPr>
          <w:p>
            <w:pPr>
              <w:jc w:val="center"/>
              <w:rPr>
                <w:rFonts w:ascii="宋体"/>
                <w:sz w:val="13"/>
              </w:rPr>
            </w:pPr>
          </w:p>
        </w:tc>
        <w:tc>
          <w:tcPr>
            <w:tcW w:w="470" w:type="dxa"/>
          </w:tcPr>
          <w:p>
            <w:pPr>
              <w:jc w:val="center"/>
              <w:rPr>
                <w:rFonts w:ascii="宋体"/>
                <w:sz w:val="13"/>
              </w:rPr>
            </w:pPr>
          </w:p>
        </w:tc>
        <w:tc>
          <w:tcPr>
            <w:tcW w:w="470" w:type="dxa"/>
            <w:vAlign w:val="center"/>
          </w:tcPr>
          <w:p>
            <w:pPr>
              <w:jc w:val="center"/>
              <w:rPr>
                <w:rFonts w:ascii="宋体"/>
                <w:sz w:val="13"/>
              </w:rPr>
            </w:pPr>
          </w:p>
        </w:tc>
        <w:tc>
          <w:tcPr>
            <w:tcW w:w="473" w:type="dxa"/>
            <w:vAlign w:val="center"/>
          </w:tcPr>
          <w:p>
            <w:pPr>
              <w:jc w:val="center"/>
              <w:rPr>
                <w:rFonts w:ascii="宋体"/>
                <w:sz w:val="13"/>
              </w:rPr>
            </w:pPr>
          </w:p>
        </w:tc>
        <w:tc>
          <w:tcPr>
            <w:tcW w:w="354"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353" w:type="dxa"/>
            <w:vMerge w:val="continue"/>
            <w:vAlign w:val="center"/>
          </w:tcPr>
          <w:p>
            <w:pPr>
              <w:jc w:val="center"/>
              <w:rPr>
                <w:rFonts w:ascii="宋体"/>
                <w:sz w:val="13"/>
              </w:rPr>
            </w:pPr>
          </w:p>
        </w:tc>
        <w:tc>
          <w:tcPr>
            <w:tcW w:w="354" w:type="dxa"/>
            <w:vMerge w:val="continue"/>
            <w:vAlign w:val="center"/>
          </w:tcPr>
          <w:p>
            <w:pPr>
              <w:jc w:val="center"/>
              <w:rPr>
                <w:rFonts w:ascii="宋体"/>
                <w:sz w:val="13"/>
              </w:rPr>
            </w:pPr>
          </w:p>
        </w:tc>
        <w:tc>
          <w:tcPr>
            <w:tcW w:w="470" w:type="dxa"/>
            <w:vMerge w:val="continue"/>
            <w:vAlign w:val="center"/>
          </w:tcPr>
          <w:p>
            <w:pPr>
              <w:jc w:val="center"/>
              <w:rPr>
                <w:rFonts w:ascii="宋体"/>
                <w:sz w:val="13"/>
              </w:rPr>
            </w:pPr>
          </w:p>
        </w:tc>
        <w:tc>
          <w:tcPr>
            <w:tcW w:w="588" w:type="dxa"/>
            <w:vAlign w:val="center"/>
          </w:tcPr>
          <w:p>
            <w:pPr>
              <w:jc w:val="center"/>
              <w:rPr>
                <w:rFonts w:ascii="宋体"/>
                <w:sz w:val="13"/>
              </w:rPr>
            </w:pPr>
            <w:r>
              <w:rPr>
                <w:rFonts w:hint="eastAsia" w:ascii="宋体"/>
                <w:sz w:val="13"/>
              </w:rPr>
              <w:t>4</w:t>
            </w:r>
          </w:p>
        </w:tc>
        <w:tc>
          <w:tcPr>
            <w:tcW w:w="824" w:type="dxa"/>
            <w:vAlign w:val="center"/>
          </w:tcPr>
          <w:p>
            <w:pPr>
              <w:jc w:val="center"/>
              <w:rPr>
                <w:rFonts w:ascii="宋体"/>
                <w:sz w:val="13"/>
              </w:rPr>
            </w:pPr>
          </w:p>
        </w:tc>
        <w:tc>
          <w:tcPr>
            <w:tcW w:w="824"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c>
          <w:tcPr>
            <w:tcW w:w="823" w:type="dxa"/>
            <w:vAlign w:val="center"/>
          </w:tcPr>
          <w:p>
            <w:pPr>
              <w:jc w:val="center"/>
              <w:rPr>
                <w:rFonts w:ascii="宋体"/>
                <w:sz w:val="13"/>
              </w:rPr>
            </w:pPr>
          </w:p>
        </w:tc>
        <w:tc>
          <w:tcPr>
            <w:tcW w:w="470" w:type="dxa"/>
            <w:vAlign w:val="center"/>
          </w:tcPr>
          <w:p>
            <w:pPr>
              <w:jc w:val="center"/>
              <w:rPr>
                <w:rFonts w:ascii="宋体"/>
                <w:sz w:val="13"/>
              </w:rPr>
            </w:pPr>
          </w:p>
        </w:tc>
        <w:tc>
          <w:tcPr>
            <w:tcW w:w="470" w:type="dxa"/>
            <w:vAlign w:val="center"/>
          </w:tcPr>
          <w:p>
            <w:pPr>
              <w:jc w:val="center"/>
              <w:rPr>
                <w:rFonts w:ascii="宋体"/>
                <w:sz w:val="13"/>
              </w:rPr>
            </w:pPr>
          </w:p>
        </w:tc>
        <w:tc>
          <w:tcPr>
            <w:tcW w:w="470" w:type="dxa"/>
          </w:tcPr>
          <w:p>
            <w:pPr>
              <w:jc w:val="center"/>
              <w:rPr>
                <w:rFonts w:ascii="宋体"/>
                <w:sz w:val="13"/>
              </w:rPr>
            </w:pPr>
          </w:p>
        </w:tc>
        <w:tc>
          <w:tcPr>
            <w:tcW w:w="470" w:type="dxa"/>
            <w:vAlign w:val="center"/>
          </w:tcPr>
          <w:p>
            <w:pPr>
              <w:jc w:val="center"/>
              <w:rPr>
                <w:rFonts w:ascii="宋体"/>
                <w:sz w:val="13"/>
              </w:rPr>
            </w:pPr>
          </w:p>
        </w:tc>
        <w:tc>
          <w:tcPr>
            <w:tcW w:w="473" w:type="dxa"/>
            <w:vAlign w:val="center"/>
          </w:tcPr>
          <w:p>
            <w:pPr>
              <w:jc w:val="center"/>
              <w:rPr>
                <w:rFonts w:ascii="宋体"/>
                <w:sz w:val="13"/>
              </w:rPr>
            </w:pPr>
          </w:p>
        </w:tc>
        <w:tc>
          <w:tcPr>
            <w:tcW w:w="354"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r>
    </w:tbl>
    <w:p>
      <w:pPr>
        <w:pStyle w:val="25"/>
        <w:numPr>
          <w:ilvl w:val="0"/>
          <w:numId w:val="0"/>
        </w:numPr>
        <w:spacing w:before="312" w:after="156" w:afterLines="50"/>
        <w:ind w:firstLine="160" w:firstLineChars="100"/>
        <w:rPr>
          <w:sz w:val="16"/>
        </w:rPr>
      </w:pPr>
      <w:bookmarkStart w:id="29" w:name="_Toc11921453"/>
      <w:r>
        <w:rPr>
          <w:rFonts w:hint="eastAsia"/>
          <w:sz w:val="16"/>
        </w:rPr>
        <w:t>单位：</w:t>
      </w:r>
      <w:bookmarkEnd w:id="26"/>
      <w:bookmarkEnd w:id="27"/>
      <w:bookmarkEnd w:id="28"/>
      <w:bookmarkEnd w:id="29"/>
    </w:p>
    <w:p>
      <w:pPr>
        <w:ind w:firstLine="260" w:firstLineChars="200"/>
        <w:rPr>
          <w:rFonts w:ascii="宋体" w:hAnsi="宋体" w:cs="仿宋_GB2312"/>
          <w:sz w:val="13"/>
          <w:szCs w:val="18"/>
        </w:rPr>
      </w:pPr>
      <w:r>
        <w:rPr>
          <w:rFonts w:hint="eastAsia" w:ascii="宋体" w:hAnsi="宋体" w:cs="仿宋_GB2312"/>
          <w:bCs/>
          <w:sz w:val="13"/>
          <w:szCs w:val="18"/>
        </w:rPr>
        <w:t>填表说明：1、管控措施指按一定程序确定的所有管控措施，</w:t>
      </w:r>
      <w:r>
        <w:rPr>
          <w:rFonts w:hint="eastAsia" w:ascii="宋体" w:hAnsi="宋体" w:cs="仿宋_GB2312"/>
          <w:sz w:val="13"/>
          <w:szCs w:val="18"/>
        </w:rPr>
        <w:t>包括“现有安全控制措施”和“建议改进措施”，</w:t>
      </w:r>
      <w:r>
        <w:rPr>
          <w:rFonts w:hint="eastAsia" w:ascii="宋体" w:hAnsi="宋体" w:cs="仿宋_GB2312"/>
          <w:bCs/>
          <w:sz w:val="13"/>
          <w:szCs w:val="18"/>
        </w:rPr>
        <w:t>内容必须详细和具体。2、评价级别是运用风险评价方法，确定的风险等级。3、</w:t>
      </w:r>
      <w:r>
        <w:rPr>
          <w:rFonts w:hint="eastAsia" w:ascii="宋体" w:hAnsi="宋体" w:cs="仿宋_GB2312"/>
          <w:sz w:val="13"/>
          <w:szCs w:val="18"/>
        </w:rPr>
        <w:t>管控级别是指按照 风险等级对照表规定的对应原则，划分的重大风险、较大风险、一般风险和低风险，</w:t>
      </w:r>
      <w:r>
        <w:rPr>
          <w:rFonts w:hint="eastAsia" w:ascii="宋体" w:hAnsi="宋体" w:cs="仿宋_GB2312"/>
          <w:bCs/>
          <w:sz w:val="13"/>
          <w:szCs w:val="18"/>
        </w:rPr>
        <w:t>分别用“</w:t>
      </w:r>
      <w:r>
        <w:rPr>
          <w:rFonts w:hint="eastAsia" w:ascii="宋体" w:hAnsi="宋体" w:cs="仿宋_GB2312"/>
          <w:sz w:val="13"/>
          <w:szCs w:val="18"/>
        </w:rPr>
        <w:t>红、橙、黄、蓝</w:t>
      </w:r>
      <w:r>
        <w:rPr>
          <w:rFonts w:hint="eastAsia" w:ascii="宋体" w:hAnsi="宋体" w:cs="仿宋_GB2312"/>
          <w:bCs/>
          <w:sz w:val="13"/>
          <w:szCs w:val="18"/>
        </w:rPr>
        <w:t>”标识</w:t>
      </w:r>
      <w:r>
        <w:rPr>
          <w:rFonts w:hint="eastAsia" w:ascii="宋体" w:hAnsi="宋体" w:cs="仿宋_GB2312"/>
          <w:sz w:val="13"/>
          <w:szCs w:val="18"/>
        </w:rPr>
        <w:t>。</w:t>
      </w:r>
    </w:p>
    <w:p>
      <w:pPr>
        <w:pStyle w:val="23"/>
        <w:ind w:firstLine="320"/>
        <w:rPr>
          <w:sz w:val="16"/>
        </w:rPr>
      </w:pPr>
    </w:p>
    <w:p>
      <w:pPr>
        <w:pStyle w:val="24"/>
        <w:numPr>
          <w:ilvl w:val="0"/>
          <w:numId w:val="0"/>
        </w:numPr>
        <w:spacing w:before="156" w:after="156"/>
        <w:rPr>
          <w:sz w:val="16"/>
        </w:rPr>
      </w:pPr>
      <w:r>
        <w:rPr>
          <w:rFonts w:hint="eastAsia"/>
          <w:sz w:val="16"/>
        </w:rPr>
        <w:t>表6</w:t>
      </w:r>
      <w:r>
        <w:rPr>
          <w:sz w:val="16"/>
        </w:rPr>
        <w:t>-</w:t>
      </w:r>
      <w:r>
        <w:rPr>
          <w:rFonts w:hint="eastAsia"/>
          <w:sz w:val="16"/>
        </w:rPr>
        <w:t>2设备设施风险分级控制清单</w:t>
      </w:r>
    </w:p>
    <w:p>
      <w:pPr>
        <w:pStyle w:val="25"/>
        <w:numPr>
          <w:ilvl w:val="0"/>
          <w:numId w:val="0"/>
        </w:numPr>
        <w:spacing w:before="312" w:after="156" w:afterLines="50"/>
        <w:ind w:firstLine="160" w:firstLineChars="100"/>
        <w:rPr>
          <w:sz w:val="16"/>
        </w:rPr>
      </w:pPr>
      <w:bookmarkStart w:id="30" w:name="_Toc479175350"/>
      <w:bookmarkStart w:id="31" w:name="_Toc479171763"/>
      <w:bookmarkStart w:id="32" w:name="_Toc479257308"/>
      <w:bookmarkStart w:id="33" w:name="_Toc11921454"/>
      <w:r>
        <w:rPr>
          <w:rFonts w:hint="eastAsia"/>
          <w:sz w:val="16"/>
        </w:rPr>
        <w:t>单位：</w:t>
      </w:r>
      <w:bookmarkEnd w:id="30"/>
      <w:bookmarkEnd w:id="31"/>
      <w:bookmarkEnd w:id="32"/>
      <w:bookmarkEnd w:id="33"/>
    </w:p>
    <w:tbl>
      <w:tblPr>
        <w:tblStyle w:val="11"/>
        <w:tblW w:w="929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6"/>
        <w:gridCol w:w="377"/>
        <w:gridCol w:w="503"/>
        <w:gridCol w:w="627"/>
        <w:gridCol w:w="880"/>
        <w:gridCol w:w="881"/>
        <w:gridCol w:w="376"/>
        <w:gridCol w:w="376"/>
        <w:gridCol w:w="879"/>
        <w:gridCol w:w="502"/>
        <w:gridCol w:w="502"/>
        <w:gridCol w:w="502"/>
        <w:gridCol w:w="502"/>
        <w:gridCol w:w="503"/>
        <w:gridCol w:w="377"/>
        <w:gridCol w:w="376"/>
        <w:gridCol w:w="376"/>
        <w:gridCol w:w="3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jc w:val="center"/>
        </w:trPr>
        <w:tc>
          <w:tcPr>
            <w:tcW w:w="1256" w:type="dxa"/>
            <w:gridSpan w:val="3"/>
            <w:vAlign w:val="center"/>
          </w:tcPr>
          <w:p>
            <w:pPr>
              <w:ind w:firstLine="360"/>
              <w:jc w:val="center"/>
              <w:rPr>
                <w:rFonts w:ascii="宋体" w:hAnsi="宋体" w:cs="宋体"/>
                <w:sz w:val="13"/>
                <w:szCs w:val="18"/>
              </w:rPr>
            </w:pPr>
            <w:r>
              <w:rPr>
                <w:rFonts w:hint="eastAsia" w:ascii="宋体" w:hAnsi="宋体" w:cs="宋体"/>
                <w:sz w:val="13"/>
                <w:szCs w:val="18"/>
              </w:rPr>
              <w:t>风险点</w:t>
            </w:r>
          </w:p>
        </w:tc>
        <w:tc>
          <w:tcPr>
            <w:tcW w:w="1507" w:type="dxa"/>
            <w:gridSpan w:val="2"/>
            <w:vAlign w:val="center"/>
          </w:tcPr>
          <w:p>
            <w:pPr>
              <w:jc w:val="center"/>
              <w:rPr>
                <w:rFonts w:ascii="宋体" w:hAnsi="宋体" w:cs="宋体"/>
                <w:sz w:val="13"/>
                <w:szCs w:val="18"/>
              </w:rPr>
            </w:pPr>
            <w:r>
              <w:rPr>
                <w:rFonts w:hint="eastAsia" w:ascii="宋体" w:hAnsi="宋体" w:cs="宋体"/>
                <w:sz w:val="13"/>
                <w:szCs w:val="18"/>
              </w:rPr>
              <w:t>检查项目</w:t>
            </w:r>
          </w:p>
          <w:p>
            <w:pPr>
              <w:jc w:val="center"/>
              <w:rPr>
                <w:rFonts w:ascii="宋体" w:hAnsi="宋体" w:cs="宋体"/>
                <w:sz w:val="13"/>
                <w:szCs w:val="18"/>
              </w:rPr>
            </w:pPr>
            <w:r>
              <w:rPr>
                <w:rFonts w:hint="eastAsia" w:ascii="宋体" w:hAnsi="宋体" w:cs="宋体"/>
                <w:sz w:val="13"/>
                <w:szCs w:val="18"/>
              </w:rPr>
              <w:t>（危险源）</w:t>
            </w:r>
          </w:p>
        </w:tc>
        <w:tc>
          <w:tcPr>
            <w:tcW w:w="881" w:type="dxa"/>
            <w:vMerge w:val="restart"/>
            <w:vAlign w:val="center"/>
          </w:tcPr>
          <w:p>
            <w:pPr>
              <w:jc w:val="center"/>
              <w:rPr>
                <w:rFonts w:ascii="宋体" w:hAnsi="宋体" w:cs="宋体"/>
                <w:sz w:val="13"/>
                <w:szCs w:val="18"/>
              </w:rPr>
            </w:pPr>
            <w:r>
              <w:rPr>
                <w:rFonts w:hint="eastAsia" w:ascii="宋体" w:hAnsi="宋体" w:cs="宋体"/>
                <w:sz w:val="13"/>
                <w:szCs w:val="18"/>
              </w:rPr>
              <w:t>标准</w:t>
            </w:r>
          </w:p>
        </w:tc>
        <w:tc>
          <w:tcPr>
            <w:tcW w:w="376" w:type="dxa"/>
            <w:vMerge w:val="restart"/>
            <w:vAlign w:val="center"/>
          </w:tcPr>
          <w:p>
            <w:pPr>
              <w:jc w:val="center"/>
              <w:rPr>
                <w:rFonts w:ascii="宋体" w:hAnsi="宋体" w:cs="宋体"/>
                <w:sz w:val="13"/>
                <w:szCs w:val="18"/>
              </w:rPr>
            </w:pPr>
            <w:r>
              <w:rPr>
                <w:rFonts w:hint="eastAsia" w:ascii="宋体" w:hAnsi="宋体" w:cs="宋体"/>
                <w:sz w:val="13"/>
                <w:szCs w:val="18"/>
              </w:rPr>
              <w:t>评价级别</w:t>
            </w:r>
          </w:p>
        </w:tc>
        <w:tc>
          <w:tcPr>
            <w:tcW w:w="376" w:type="dxa"/>
            <w:vMerge w:val="restart"/>
            <w:vAlign w:val="center"/>
          </w:tcPr>
          <w:p>
            <w:pPr>
              <w:jc w:val="center"/>
              <w:rPr>
                <w:rFonts w:ascii="宋体" w:hAnsi="宋体" w:cs="宋体"/>
                <w:sz w:val="13"/>
                <w:szCs w:val="18"/>
              </w:rPr>
            </w:pPr>
            <w:r>
              <w:rPr>
                <w:rFonts w:hint="eastAsia" w:ascii="宋体" w:hAnsi="宋体" w:cs="宋体"/>
                <w:sz w:val="13"/>
                <w:szCs w:val="18"/>
              </w:rPr>
              <w:t>管控级</w:t>
            </w:r>
          </w:p>
          <w:p>
            <w:pPr>
              <w:jc w:val="center"/>
              <w:rPr>
                <w:rFonts w:ascii="宋体" w:hAnsi="宋体" w:cs="宋体"/>
                <w:sz w:val="13"/>
                <w:szCs w:val="18"/>
              </w:rPr>
            </w:pPr>
            <w:r>
              <w:rPr>
                <w:rFonts w:hint="eastAsia" w:ascii="宋体" w:hAnsi="宋体" w:cs="宋体"/>
                <w:sz w:val="13"/>
                <w:szCs w:val="18"/>
              </w:rPr>
              <w:t>别</w:t>
            </w:r>
          </w:p>
        </w:tc>
        <w:tc>
          <w:tcPr>
            <w:tcW w:w="879" w:type="dxa"/>
            <w:vMerge w:val="restart"/>
            <w:vAlign w:val="center"/>
          </w:tcPr>
          <w:p>
            <w:pPr>
              <w:jc w:val="center"/>
              <w:rPr>
                <w:rFonts w:ascii="宋体" w:hAnsi="宋体" w:cs="宋体"/>
                <w:sz w:val="13"/>
                <w:szCs w:val="18"/>
              </w:rPr>
            </w:pPr>
            <w:r>
              <w:rPr>
                <w:rFonts w:hint="eastAsia" w:ascii="宋体" w:hAnsi="宋体" w:cs="宋体"/>
                <w:sz w:val="13"/>
                <w:szCs w:val="18"/>
              </w:rPr>
              <w:t>不符合标准情况及后果</w:t>
            </w:r>
          </w:p>
        </w:tc>
        <w:tc>
          <w:tcPr>
            <w:tcW w:w="2511" w:type="dxa"/>
            <w:gridSpan w:val="5"/>
            <w:vAlign w:val="center"/>
          </w:tcPr>
          <w:p>
            <w:pPr>
              <w:ind w:firstLine="360"/>
              <w:jc w:val="center"/>
              <w:rPr>
                <w:rFonts w:ascii="宋体" w:hAnsi="宋体" w:cs="宋体"/>
                <w:sz w:val="13"/>
                <w:szCs w:val="18"/>
              </w:rPr>
            </w:pPr>
            <w:r>
              <w:rPr>
                <w:rFonts w:hint="eastAsia" w:ascii="宋体" w:hAnsi="宋体" w:cs="宋体"/>
                <w:sz w:val="13"/>
                <w:szCs w:val="18"/>
              </w:rPr>
              <w:t>管控措施</w:t>
            </w:r>
          </w:p>
        </w:tc>
        <w:tc>
          <w:tcPr>
            <w:tcW w:w="377" w:type="dxa"/>
            <w:vMerge w:val="restart"/>
            <w:vAlign w:val="center"/>
          </w:tcPr>
          <w:p>
            <w:pPr>
              <w:jc w:val="center"/>
              <w:rPr>
                <w:rFonts w:ascii="宋体" w:hAnsi="宋体" w:cs="宋体"/>
                <w:sz w:val="13"/>
                <w:szCs w:val="18"/>
              </w:rPr>
            </w:pPr>
            <w:r>
              <w:rPr>
                <w:rFonts w:hint="eastAsia" w:ascii="宋体" w:hAnsi="宋体" w:cs="宋体"/>
                <w:sz w:val="13"/>
                <w:szCs w:val="18"/>
              </w:rPr>
              <w:t>管控层级</w:t>
            </w:r>
          </w:p>
        </w:tc>
        <w:tc>
          <w:tcPr>
            <w:tcW w:w="376" w:type="dxa"/>
            <w:vMerge w:val="restart"/>
            <w:vAlign w:val="center"/>
          </w:tcPr>
          <w:p>
            <w:pPr>
              <w:jc w:val="center"/>
              <w:rPr>
                <w:rFonts w:ascii="宋体" w:hAnsi="宋体" w:cs="宋体"/>
                <w:sz w:val="13"/>
                <w:szCs w:val="18"/>
              </w:rPr>
            </w:pPr>
            <w:r>
              <w:rPr>
                <w:rFonts w:hint="eastAsia" w:ascii="宋体" w:hAnsi="宋体" w:cs="宋体"/>
                <w:sz w:val="13"/>
                <w:szCs w:val="18"/>
              </w:rPr>
              <w:t>责任单位</w:t>
            </w:r>
          </w:p>
        </w:tc>
        <w:tc>
          <w:tcPr>
            <w:tcW w:w="376" w:type="dxa"/>
            <w:vMerge w:val="restart"/>
            <w:vAlign w:val="center"/>
          </w:tcPr>
          <w:p>
            <w:pPr>
              <w:jc w:val="center"/>
              <w:rPr>
                <w:rFonts w:ascii="宋体" w:hAnsi="宋体" w:cs="宋体"/>
                <w:sz w:val="13"/>
                <w:szCs w:val="18"/>
              </w:rPr>
            </w:pPr>
            <w:r>
              <w:rPr>
                <w:rFonts w:hint="eastAsia" w:ascii="宋体" w:hAnsi="宋体" w:cs="宋体"/>
                <w:sz w:val="13"/>
                <w:szCs w:val="18"/>
              </w:rPr>
              <w:t>责任人</w:t>
            </w:r>
          </w:p>
        </w:tc>
        <w:tc>
          <w:tcPr>
            <w:tcW w:w="376" w:type="dxa"/>
            <w:vMerge w:val="restart"/>
            <w:vAlign w:val="center"/>
          </w:tcPr>
          <w:p>
            <w:pPr>
              <w:jc w:val="center"/>
              <w:rPr>
                <w:rFonts w:ascii="宋体" w:hAnsi="宋体" w:cs="宋体"/>
                <w:sz w:val="13"/>
                <w:szCs w:val="18"/>
              </w:rPr>
            </w:pPr>
            <w:r>
              <w:rPr>
                <w:rFonts w:hint="eastAsia" w:ascii="宋体" w:hAnsi="宋体" w:cs="宋体"/>
                <w:sz w:val="13"/>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9" w:hRule="atLeast"/>
          <w:jc w:val="center"/>
        </w:trPr>
        <w:tc>
          <w:tcPr>
            <w:tcW w:w="376" w:type="dxa"/>
            <w:vAlign w:val="center"/>
          </w:tcPr>
          <w:p>
            <w:pPr>
              <w:jc w:val="center"/>
              <w:rPr>
                <w:rFonts w:ascii="宋体"/>
                <w:sz w:val="13"/>
              </w:rPr>
            </w:pPr>
            <w:r>
              <w:rPr>
                <w:rFonts w:hint="eastAsia" w:ascii="宋体" w:hAnsi="宋体" w:cs="宋体"/>
                <w:sz w:val="13"/>
                <w:szCs w:val="18"/>
              </w:rPr>
              <w:t>编号</w:t>
            </w:r>
          </w:p>
        </w:tc>
        <w:tc>
          <w:tcPr>
            <w:tcW w:w="377" w:type="dxa"/>
            <w:vAlign w:val="center"/>
          </w:tcPr>
          <w:p>
            <w:pPr>
              <w:jc w:val="center"/>
              <w:rPr>
                <w:rFonts w:ascii="宋体"/>
                <w:sz w:val="13"/>
                <w:szCs w:val="18"/>
              </w:rPr>
            </w:pPr>
            <w:r>
              <w:rPr>
                <w:rFonts w:hint="eastAsia" w:ascii="宋体"/>
                <w:sz w:val="13"/>
                <w:szCs w:val="18"/>
              </w:rPr>
              <w:t>类型</w:t>
            </w:r>
          </w:p>
        </w:tc>
        <w:tc>
          <w:tcPr>
            <w:tcW w:w="503" w:type="dxa"/>
            <w:vAlign w:val="center"/>
          </w:tcPr>
          <w:p>
            <w:pPr>
              <w:jc w:val="center"/>
              <w:rPr>
                <w:rFonts w:ascii="宋体"/>
                <w:sz w:val="13"/>
                <w:szCs w:val="18"/>
              </w:rPr>
            </w:pPr>
            <w:r>
              <w:rPr>
                <w:rFonts w:hint="eastAsia" w:ascii="宋体"/>
                <w:sz w:val="13"/>
                <w:szCs w:val="18"/>
              </w:rPr>
              <w:t>名称</w:t>
            </w:r>
          </w:p>
        </w:tc>
        <w:tc>
          <w:tcPr>
            <w:tcW w:w="627" w:type="dxa"/>
            <w:vAlign w:val="center"/>
          </w:tcPr>
          <w:p>
            <w:pPr>
              <w:jc w:val="center"/>
              <w:rPr>
                <w:rFonts w:ascii="宋体" w:hAnsi="宋体" w:cs="宋体"/>
                <w:sz w:val="13"/>
                <w:szCs w:val="18"/>
              </w:rPr>
            </w:pPr>
            <w:r>
              <w:rPr>
                <w:rFonts w:hint="eastAsia" w:ascii="宋体"/>
                <w:sz w:val="13"/>
                <w:szCs w:val="18"/>
              </w:rPr>
              <w:t>序号</w:t>
            </w:r>
          </w:p>
        </w:tc>
        <w:tc>
          <w:tcPr>
            <w:tcW w:w="880" w:type="dxa"/>
            <w:vAlign w:val="center"/>
          </w:tcPr>
          <w:p>
            <w:pPr>
              <w:jc w:val="center"/>
              <w:rPr>
                <w:rFonts w:ascii="宋体" w:hAnsi="宋体" w:cs="宋体"/>
                <w:sz w:val="13"/>
                <w:szCs w:val="18"/>
              </w:rPr>
            </w:pPr>
            <w:r>
              <w:rPr>
                <w:rFonts w:hint="eastAsia" w:ascii="宋体" w:hAnsi="宋体" w:cs="宋体"/>
                <w:sz w:val="13"/>
                <w:szCs w:val="18"/>
              </w:rPr>
              <w:t>名称</w:t>
            </w:r>
          </w:p>
        </w:tc>
        <w:tc>
          <w:tcPr>
            <w:tcW w:w="881" w:type="dxa"/>
            <w:vMerge w:val="continue"/>
            <w:vAlign w:val="center"/>
          </w:tcPr>
          <w:p>
            <w:pPr>
              <w:jc w:val="center"/>
              <w:rPr>
                <w:rFonts w:ascii="宋体" w:hAnsi="宋体" w:cs="宋体"/>
                <w:sz w:val="13"/>
                <w:szCs w:val="18"/>
              </w:rPr>
            </w:pPr>
          </w:p>
        </w:tc>
        <w:tc>
          <w:tcPr>
            <w:tcW w:w="376" w:type="dxa"/>
            <w:vMerge w:val="continue"/>
            <w:vAlign w:val="center"/>
          </w:tcPr>
          <w:p>
            <w:pPr>
              <w:ind w:firstLine="360"/>
              <w:jc w:val="center"/>
              <w:rPr>
                <w:rFonts w:ascii="宋体" w:hAnsi="宋体" w:cs="宋体"/>
                <w:sz w:val="13"/>
                <w:szCs w:val="18"/>
              </w:rPr>
            </w:pPr>
          </w:p>
        </w:tc>
        <w:tc>
          <w:tcPr>
            <w:tcW w:w="376" w:type="dxa"/>
            <w:vMerge w:val="continue"/>
            <w:vAlign w:val="center"/>
          </w:tcPr>
          <w:p>
            <w:pPr>
              <w:ind w:firstLine="360"/>
              <w:jc w:val="center"/>
              <w:rPr>
                <w:rFonts w:ascii="宋体" w:hAnsi="宋体" w:cs="宋体"/>
                <w:sz w:val="13"/>
                <w:szCs w:val="18"/>
              </w:rPr>
            </w:pPr>
          </w:p>
        </w:tc>
        <w:tc>
          <w:tcPr>
            <w:tcW w:w="879" w:type="dxa"/>
            <w:vMerge w:val="continue"/>
            <w:vAlign w:val="center"/>
          </w:tcPr>
          <w:p>
            <w:pPr>
              <w:ind w:firstLine="360"/>
              <w:jc w:val="center"/>
              <w:rPr>
                <w:rFonts w:ascii="宋体" w:hAnsi="宋体" w:cs="宋体"/>
                <w:sz w:val="13"/>
                <w:szCs w:val="18"/>
              </w:rPr>
            </w:pPr>
          </w:p>
        </w:tc>
        <w:tc>
          <w:tcPr>
            <w:tcW w:w="502" w:type="dxa"/>
            <w:vAlign w:val="center"/>
          </w:tcPr>
          <w:p>
            <w:pPr>
              <w:jc w:val="center"/>
              <w:rPr>
                <w:rFonts w:ascii="宋体" w:hAnsi="宋体" w:cs="宋体"/>
                <w:sz w:val="13"/>
                <w:szCs w:val="18"/>
              </w:rPr>
            </w:pPr>
            <w:r>
              <w:rPr>
                <w:rFonts w:hint="eastAsia" w:ascii="宋体" w:hAnsi="宋体" w:cs="宋体"/>
                <w:sz w:val="13"/>
                <w:szCs w:val="18"/>
              </w:rPr>
              <w:t>工程技术</w:t>
            </w:r>
          </w:p>
        </w:tc>
        <w:tc>
          <w:tcPr>
            <w:tcW w:w="502" w:type="dxa"/>
            <w:vAlign w:val="center"/>
          </w:tcPr>
          <w:p>
            <w:pPr>
              <w:jc w:val="center"/>
              <w:rPr>
                <w:rFonts w:ascii="宋体" w:hAnsi="宋体" w:cs="宋体"/>
                <w:sz w:val="13"/>
                <w:szCs w:val="18"/>
              </w:rPr>
            </w:pPr>
            <w:r>
              <w:rPr>
                <w:rFonts w:hint="eastAsia" w:ascii="宋体" w:hAnsi="宋体" w:cs="宋体"/>
                <w:sz w:val="13"/>
                <w:szCs w:val="18"/>
              </w:rPr>
              <w:t>管理措施</w:t>
            </w:r>
          </w:p>
        </w:tc>
        <w:tc>
          <w:tcPr>
            <w:tcW w:w="502" w:type="dxa"/>
          </w:tcPr>
          <w:p>
            <w:pPr>
              <w:jc w:val="center"/>
              <w:rPr>
                <w:rFonts w:ascii="宋体" w:hAnsi="宋体" w:cs="宋体"/>
                <w:sz w:val="13"/>
                <w:szCs w:val="18"/>
              </w:rPr>
            </w:pPr>
            <w:r>
              <w:rPr>
                <w:rFonts w:hint="eastAsia" w:ascii="宋体" w:hAnsi="宋体" w:cs="宋体"/>
                <w:sz w:val="13"/>
                <w:szCs w:val="18"/>
              </w:rPr>
              <w:t>培训教育</w:t>
            </w:r>
          </w:p>
        </w:tc>
        <w:tc>
          <w:tcPr>
            <w:tcW w:w="502" w:type="dxa"/>
            <w:vAlign w:val="center"/>
          </w:tcPr>
          <w:p>
            <w:pPr>
              <w:jc w:val="center"/>
              <w:rPr>
                <w:rFonts w:ascii="宋体" w:hAnsi="宋体" w:cs="宋体"/>
                <w:sz w:val="13"/>
                <w:szCs w:val="18"/>
              </w:rPr>
            </w:pPr>
            <w:r>
              <w:rPr>
                <w:rFonts w:hint="eastAsia" w:ascii="宋体" w:hAnsi="宋体" w:cs="宋体"/>
                <w:sz w:val="13"/>
                <w:szCs w:val="18"/>
              </w:rPr>
              <w:t>个体防护</w:t>
            </w:r>
          </w:p>
        </w:tc>
        <w:tc>
          <w:tcPr>
            <w:tcW w:w="503" w:type="dxa"/>
            <w:vAlign w:val="center"/>
          </w:tcPr>
          <w:p>
            <w:pPr>
              <w:jc w:val="center"/>
              <w:rPr>
                <w:rFonts w:ascii="宋体" w:hAnsi="宋体" w:cs="宋体"/>
                <w:sz w:val="13"/>
                <w:szCs w:val="18"/>
              </w:rPr>
            </w:pPr>
            <w:r>
              <w:rPr>
                <w:rFonts w:hint="eastAsia" w:ascii="宋体" w:hAnsi="宋体" w:cs="宋体"/>
                <w:sz w:val="13"/>
                <w:szCs w:val="18"/>
              </w:rPr>
              <w:t>应急处置</w:t>
            </w:r>
          </w:p>
        </w:tc>
        <w:tc>
          <w:tcPr>
            <w:tcW w:w="377" w:type="dxa"/>
            <w:vMerge w:val="continue"/>
            <w:vAlign w:val="center"/>
          </w:tcPr>
          <w:p>
            <w:pPr>
              <w:ind w:firstLine="360"/>
              <w:jc w:val="center"/>
              <w:rPr>
                <w:rFonts w:ascii="宋体" w:hAnsi="宋体" w:cs="宋体"/>
                <w:sz w:val="13"/>
                <w:szCs w:val="18"/>
              </w:rPr>
            </w:pPr>
          </w:p>
        </w:tc>
        <w:tc>
          <w:tcPr>
            <w:tcW w:w="376" w:type="dxa"/>
            <w:vMerge w:val="continue"/>
            <w:vAlign w:val="center"/>
          </w:tcPr>
          <w:p>
            <w:pPr>
              <w:ind w:firstLine="360"/>
              <w:jc w:val="center"/>
              <w:rPr>
                <w:rFonts w:ascii="宋体" w:hAnsi="宋体" w:cs="宋体"/>
                <w:sz w:val="13"/>
                <w:szCs w:val="18"/>
              </w:rPr>
            </w:pPr>
          </w:p>
        </w:tc>
        <w:tc>
          <w:tcPr>
            <w:tcW w:w="376" w:type="dxa"/>
            <w:vMerge w:val="continue"/>
            <w:vAlign w:val="center"/>
          </w:tcPr>
          <w:p>
            <w:pPr>
              <w:ind w:firstLine="360"/>
              <w:jc w:val="center"/>
              <w:rPr>
                <w:rFonts w:ascii="宋体" w:hAnsi="宋体" w:cs="宋体"/>
                <w:sz w:val="13"/>
                <w:szCs w:val="18"/>
              </w:rPr>
            </w:pPr>
          </w:p>
        </w:tc>
        <w:tc>
          <w:tcPr>
            <w:tcW w:w="376" w:type="dxa"/>
            <w:vMerge w:val="continue"/>
            <w:vAlign w:val="center"/>
          </w:tcPr>
          <w:p>
            <w:pPr>
              <w:ind w:firstLine="360"/>
              <w:jc w:val="center"/>
              <w:rPr>
                <w:rFonts w:ascii="宋体" w:hAnsi="宋体" w:cs="宋体"/>
                <w:sz w:val="13"/>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376" w:type="dxa"/>
            <w:vMerge w:val="restart"/>
            <w:vAlign w:val="center"/>
          </w:tcPr>
          <w:p>
            <w:pPr>
              <w:jc w:val="center"/>
              <w:rPr>
                <w:rFonts w:ascii="宋体"/>
                <w:sz w:val="13"/>
              </w:rPr>
            </w:pPr>
            <w:r>
              <w:rPr>
                <w:rFonts w:hint="eastAsia" w:ascii="宋体"/>
                <w:sz w:val="13"/>
              </w:rPr>
              <w:t>1</w:t>
            </w:r>
          </w:p>
        </w:tc>
        <w:tc>
          <w:tcPr>
            <w:tcW w:w="377" w:type="dxa"/>
            <w:vMerge w:val="restart"/>
            <w:vAlign w:val="center"/>
          </w:tcPr>
          <w:p>
            <w:pPr>
              <w:ind w:firstLine="360"/>
              <w:jc w:val="center"/>
              <w:rPr>
                <w:rFonts w:ascii="宋体"/>
                <w:color w:val="0000FF"/>
                <w:sz w:val="13"/>
                <w:szCs w:val="18"/>
              </w:rPr>
            </w:pPr>
          </w:p>
          <w:p>
            <w:pPr>
              <w:jc w:val="center"/>
              <w:rPr>
                <w:rFonts w:ascii="宋体"/>
                <w:sz w:val="13"/>
                <w:szCs w:val="18"/>
              </w:rPr>
            </w:pPr>
            <w:r>
              <w:rPr>
                <w:rFonts w:hint="eastAsia" w:ascii="宋体"/>
                <w:sz w:val="13"/>
                <w:szCs w:val="18"/>
              </w:rPr>
              <w:t>设备设施</w:t>
            </w:r>
          </w:p>
        </w:tc>
        <w:tc>
          <w:tcPr>
            <w:tcW w:w="503" w:type="dxa"/>
            <w:vMerge w:val="restart"/>
            <w:vAlign w:val="center"/>
          </w:tcPr>
          <w:p>
            <w:pPr>
              <w:jc w:val="center"/>
              <w:rPr>
                <w:rFonts w:ascii="宋体"/>
                <w:color w:val="0000FF"/>
                <w:sz w:val="13"/>
              </w:rPr>
            </w:pPr>
          </w:p>
        </w:tc>
        <w:tc>
          <w:tcPr>
            <w:tcW w:w="627" w:type="dxa"/>
            <w:vAlign w:val="center"/>
          </w:tcPr>
          <w:p>
            <w:pPr>
              <w:jc w:val="center"/>
              <w:rPr>
                <w:rFonts w:ascii="宋体"/>
                <w:sz w:val="13"/>
              </w:rPr>
            </w:pPr>
            <w:r>
              <w:rPr>
                <w:rFonts w:hint="eastAsia" w:ascii="宋体"/>
                <w:sz w:val="13"/>
              </w:rPr>
              <w:t>1</w:t>
            </w:r>
          </w:p>
        </w:tc>
        <w:tc>
          <w:tcPr>
            <w:tcW w:w="880" w:type="dxa"/>
            <w:vAlign w:val="center"/>
          </w:tcPr>
          <w:p>
            <w:pPr>
              <w:jc w:val="center"/>
              <w:rPr>
                <w:rFonts w:ascii="宋体"/>
                <w:sz w:val="13"/>
              </w:rPr>
            </w:pPr>
          </w:p>
        </w:tc>
        <w:tc>
          <w:tcPr>
            <w:tcW w:w="881"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c>
          <w:tcPr>
            <w:tcW w:w="879" w:type="dxa"/>
            <w:vAlign w:val="center"/>
          </w:tcPr>
          <w:p>
            <w:pPr>
              <w:jc w:val="center"/>
              <w:rPr>
                <w:rFonts w:ascii="宋体"/>
                <w:sz w:val="13"/>
              </w:rPr>
            </w:pPr>
          </w:p>
        </w:tc>
        <w:tc>
          <w:tcPr>
            <w:tcW w:w="502" w:type="dxa"/>
            <w:vAlign w:val="center"/>
          </w:tcPr>
          <w:p>
            <w:pPr>
              <w:jc w:val="center"/>
              <w:rPr>
                <w:rFonts w:ascii="宋体"/>
                <w:sz w:val="13"/>
              </w:rPr>
            </w:pPr>
          </w:p>
        </w:tc>
        <w:tc>
          <w:tcPr>
            <w:tcW w:w="502" w:type="dxa"/>
            <w:vAlign w:val="center"/>
          </w:tcPr>
          <w:p>
            <w:pPr>
              <w:jc w:val="center"/>
              <w:rPr>
                <w:rFonts w:ascii="宋体"/>
                <w:sz w:val="13"/>
              </w:rPr>
            </w:pPr>
          </w:p>
        </w:tc>
        <w:tc>
          <w:tcPr>
            <w:tcW w:w="502" w:type="dxa"/>
          </w:tcPr>
          <w:p>
            <w:pPr>
              <w:jc w:val="center"/>
              <w:rPr>
                <w:rFonts w:ascii="宋体"/>
                <w:sz w:val="13"/>
              </w:rPr>
            </w:pPr>
          </w:p>
        </w:tc>
        <w:tc>
          <w:tcPr>
            <w:tcW w:w="502" w:type="dxa"/>
            <w:vAlign w:val="center"/>
          </w:tcPr>
          <w:p>
            <w:pPr>
              <w:jc w:val="center"/>
              <w:rPr>
                <w:rFonts w:ascii="宋体"/>
                <w:sz w:val="13"/>
              </w:rPr>
            </w:pPr>
          </w:p>
        </w:tc>
        <w:tc>
          <w:tcPr>
            <w:tcW w:w="503" w:type="dxa"/>
            <w:vAlign w:val="center"/>
          </w:tcPr>
          <w:p>
            <w:pPr>
              <w:jc w:val="center"/>
              <w:rPr>
                <w:rFonts w:ascii="宋体"/>
                <w:sz w:val="13"/>
              </w:rPr>
            </w:pPr>
          </w:p>
        </w:tc>
        <w:tc>
          <w:tcPr>
            <w:tcW w:w="377"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376" w:type="dxa"/>
            <w:vMerge w:val="continue"/>
            <w:vAlign w:val="center"/>
          </w:tcPr>
          <w:p>
            <w:pPr>
              <w:jc w:val="center"/>
              <w:rPr>
                <w:rFonts w:ascii="宋体"/>
                <w:sz w:val="13"/>
              </w:rPr>
            </w:pPr>
          </w:p>
        </w:tc>
        <w:tc>
          <w:tcPr>
            <w:tcW w:w="377" w:type="dxa"/>
            <w:vMerge w:val="continue"/>
            <w:vAlign w:val="center"/>
          </w:tcPr>
          <w:p>
            <w:pPr>
              <w:jc w:val="center"/>
              <w:rPr>
                <w:rFonts w:ascii="宋体"/>
                <w:sz w:val="13"/>
              </w:rPr>
            </w:pPr>
          </w:p>
        </w:tc>
        <w:tc>
          <w:tcPr>
            <w:tcW w:w="503" w:type="dxa"/>
            <w:vMerge w:val="continue"/>
            <w:vAlign w:val="center"/>
          </w:tcPr>
          <w:p>
            <w:pPr>
              <w:jc w:val="center"/>
              <w:rPr>
                <w:rFonts w:ascii="宋体"/>
                <w:sz w:val="13"/>
              </w:rPr>
            </w:pPr>
          </w:p>
        </w:tc>
        <w:tc>
          <w:tcPr>
            <w:tcW w:w="627" w:type="dxa"/>
            <w:vAlign w:val="center"/>
          </w:tcPr>
          <w:p>
            <w:pPr>
              <w:jc w:val="center"/>
              <w:rPr>
                <w:rFonts w:ascii="宋体"/>
                <w:sz w:val="13"/>
              </w:rPr>
            </w:pPr>
            <w:r>
              <w:rPr>
                <w:rFonts w:hint="eastAsia" w:ascii="宋体"/>
                <w:sz w:val="13"/>
              </w:rPr>
              <w:t>2</w:t>
            </w:r>
          </w:p>
        </w:tc>
        <w:tc>
          <w:tcPr>
            <w:tcW w:w="880" w:type="dxa"/>
            <w:vAlign w:val="center"/>
          </w:tcPr>
          <w:p>
            <w:pPr>
              <w:jc w:val="center"/>
              <w:rPr>
                <w:rFonts w:ascii="宋体"/>
                <w:sz w:val="13"/>
              </w:rPr>
            </w:pPr>
          </w:p>
        </w:tc>
        <w:tc>
          <w:tcPr>
            <w:tcW w:w="881"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c>
          <w:tcPr>
            <w:tcW w:w="879" w:type="dxa"/>
            <w:vAlign w:val="center"/>
          </w:tcPr>
          <w:p>
            <w:pPr>
              <w:jc w:val="center"/>
              <w:rPr>
                <w:rFonts w:ascii="宋体"/>
                <w:sz w:val="13"/>
              </w:rPr>
            </w:pPr>
          </w:p>
        </w:tc>
        <w:tc>
          <w:tcPr>
            <w:tcW w:w="502" w:type="dxa"/>
            <w:vAlign w:val="center"/>
          </w:tcPr>
          <w:p>
            <w:pPr>
              <w:jc w:val="center"/>
              <w:rPr>
                <w:rFonts w:ascii="宋体"/>
                <w:sz w:val="13"/>
              </w:rPr>
            </w:pPr>
          </w:p>
        </w:tc>
        <w:tc>
          <w:tcPr>
            <w:tcW w:w="502" w:type="dxa"/>
            <w:vAlign w:val="center"/>
          </w:tcPr>
          <w:p>
            <w:pPr>
              <w:jc w:val="center"/>
              <w:rPr>
                <w:rFonts w:ascii="宋体"/>
                <w:sz w:val="13"/>
              </w:rPr>
            </w:pPr>
          </w:p>
        </w:tc>
        <w:tc>
          <w:tcPr>
            <w:tcW w:w="502" w:type="dxa"/>
          </w:tcPr>
          <w:p>
            <w:pPr>
              <w:jc w:val="center"/>
              <w:rPr>
                <w:rFonts w:ascii="宋体"/>
                <w:sz w:val="13"/>
              </w:rPr>
            </w:pPr>
          </w:p>
        </w:tc>
        <w:tc>
          <w:tcPr>
            <w:tcW w:w="502" w:type="dxa"/>
            <w:vAlign w:val="center"/>
          </w:tcPr>
          <w:p>
            <w:pPr>
              <w:jc w:val="center"/>
              <w:rPr>
                <w:rFonts w:ascii="宋体"/>
                <w:sz w:val="13"/>
              </w:rPr>
            </w:pPr>
          </w:p>
        </w:tc>
        <w:tc>
          <w:tcPr>
            <w:tcW w:w="503" w:type="dxa"/>
            <w:vAlign w:val="center"/>
          </w:tcPr>
          <w:p>
            <w:pPr>
              <w:jc w:val="center"/>
              <w:rPr>
                <w:rFonts w:ascii="宋体"/>
                <w:sz w:val="13"/>
              </w:rPr>
            </w:pPr>
          </w:p>
        </w:tc>
        <w:tc>
          <w:tcPr>
            <w:tcW w:w="377"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376" w:type="dxa"/>
            <w:vMerge w:val="continue"/>
            <w:vAlign w:val="center"/>
          </w:tcPr>
          <w:p>
            <w:pPr>
              <w:jc w:val="center"/>
              <w:rPr>
                <w:rFonts w:ascii="宋体"/>
                <w:sz w:val="13"/>
              </w:rPr>
            </w:pPr>
          </w:p>
        </w:tc>
        <w:tc>
          <w:tcPr>
            <w:tcW w:w="377" w:type="dxa"/>
            <w:vMerge w:val="continue"/>
            <w:vAlign w:val="center"/>
          </w:tcPr>
          <w:p>
            <w:pPr>
              <w:jc w:val="center"/>
              <w:rPr>
                <w:rFonts w:ascii="宋体"/>
                <w:sz w:val="13"/>
              </w:rPr>
            </w:pPr>
          </w:p>
        </w:tc>
        <w:tc>
          <w:tcPr>
            <w:tcW w:w="503" w:type="dxa"/>
            <w:vMerge w:val="continue"/>
            <w:vAlign w:val="center"/>
          </w:tcPr>
          <w:p>
            <w:pPr>
              <w:jc w:val="center"/>
              <w:rPr>
                <w:rFonts w:ascii="宋体"/>
                <w:sz w:val="13"/>
              </w:rPr>
            </w:pPr>
          </w:p>
        </w:tc>
        <w:tc>
          <w:tcPr>
            <w:tcW w:w="627" w:type="dxa"/>
            <w:vAlign w:val="center"/>
          </w:tcPr>
          <w:p>
            <w:pPr>
              <w:jc w:val="center"/>
              <w:rPr>
                <w:rFonts w:ascii="宋体"/>
                <w:sz w:val="13"/>
              </w:rPr>
            </w:pPr>
            <w:r>
              <w:rPr>
                <w:rFonts w:hint="eastAsia" w:ascii="宋体"/>
                <w:sz w:val="13"/>
              </w:rPr>
              <w:t>3</w:t>
            </w:r>
          </w:p>
        </w:tc>
        <w:tc>
          <w:tcPr>
            <w:tcW w:w="880" w:type="dxa"/>
            <w:vAlign w:val="center"/>
          </w:tcPr>
          <w:p>
            <w:pPr>
              <w:jc w:val="center"/>
              <w:rPr>
                <w:rFonts w:ascii="宋体"/>
                <w:sz w:val="13"/>
              </w:rPr>
            </w:pPr>
          </w:p>
        </w:tc>
        <w:tc>
          <w:tcPr>
            <w:tcW w:w="881"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c>
          <w:tcPr>
            <w:tcW w:w="879" w:type="dxa"/>
            <w:vAlign w:val="center"/>
          </w:tcPr>
          <w:p>
            <w:pPr>
              <w:jc w:val="center"/>
              <w:rPr>
                <w:rFonts w:ascii="宋体"/>
                <w:sz w:val="13"/>
              </w:rPr>
            </w:pPr>
          </w:p>
        </w:tc>
        <w:tc>
          <w:tcPr>
            <w:tcW w:w="502" w:type="dxa"/>
            <w:vAlign w:val="center"/>
          </w:tcPr>
          <w:p>
            <w:pPr>
              <w:jc w:val="center"/>
              <w:rPr>
                <w:rFonts w:ascii="宋体"/>
                <w:sz w:val="13"/>
              </w:rPr>
            </w:pPr>
          </w:p>
        </w:tc>
        <w:tc>
          <w:tcPr>
            <w:tcW w:w="502" w:type="dxa"/>
            <w:vAlign w:val="center"/>
          </w:tcPr>
          <w:p>
            <w:pPr>
              <w:jc w:val="center"/>
              <w:rPr>
                <w:rFonts w:ascii="宋体"/>
                <w:sz w:val="13"/>
              </w:rPr>
            </w:pPr>
          </w:p>
        </w:tc>
        <w:tc>
          <w:tcPr>
            <w:tcW w:w="502" w:type="dxa"/>
          </w:tcPr>
          <w:p>
            <w:pPr>
              <w:jc w:val="center"/>
              <w:rPr>
                <w:rFonts w:ascii="宋体"/>
                <w:sz w:val="13"/>
              </w:rPr>
            </w:pPr>
          </w:p>
        </w:tc>
        <w:tc>
          <w:tcPr>
            <w:tcW w:w="502" w:type="dxa"/>
            <w:vAlign w:val="center"/>
          </w:tcPr>
          <w:p>
            <w:pPr>
              <w:jc w:val="center"/>
              <w:rPr>
                <w:rFonts w:ascii="宋体"/>
                <w:sz w:val="13"/>
              </w:rPr>
            </w:pPr>
          </w:p>
        </w:tc>
        <w:tc>
          <w:tcPr>
            <w:tcW w:w="503" w:type="dxa"/>
            <w:vAlign w:val="center"/>
          </w:tcPr>
          <w:p>
            <w:pPr>
              <w:jc w:val="center"/>
              <w:rPr>
                <w:rFonts w:ascii="宋体"/>
                <w:sz w:val="13"/>
              </w:rPr>
            </w:pPr>
          </w:p>
        </w:tc>
        <w:tc>
          <w:tcPr>
            <w:tcW w:w="377"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376" w:type="dxa"/>
            <w:vMerge w:val="continue"/>
            <w:vAlign w:val="center"/>
          </w:tcPr>
          <w:p>
            <w:pPr>
              <w:jc w:val="center"/>
              <w:rPr>
                <w:rFonts w:ascii="宋体"/>
                <w:sz w:val="13"/>
              </w:rPr>
            </w:pPr>
          </w:p>
        </w:tc>
        <w:tc>
          <w:tcPr>
            <w:tcW w:w="377" w:type="dxa"/>
            <w:vMerge w:val="continue"/>
            <w:vAlign w:val="center"/>
          </w:tcPr>
          <w:p>
            <w:pPr>
              <w:jc w:val="center"/>
              <w:rPr>
                <w:rFonts w:ascii="宋体"/>
                <w:sz w:val="13"/>
              </w:rPr>
            </w:pPr>
          </w:p>
        </w:tc>
        <w:tc>
          <w:tcPr>
            <w:tcW w:w="503" w:type="dxa"/>
            <w:vMerge w:val="continue"/>
            <w:vAlign w:val="center"/>
          </w:tcPr>
          <w:p>
            <w:pPr>
              <w:jc w:val="center"/>
              <w:rPr>
                <w:rFonts w:ascii="宋体"/>
                <w:sz w:val="13"/>
              </w:rPr>
            </w:pPr>
          </w:p>
        </w:tc>
        <w:tc>
          <w:tcPr>
            <w:tcW w:w="627" w:type="dxa"/>
            <w:vAlign w:val="center"/>
          </w:tcPr>
          <w:p>
            <w:pPr>
              <w:jc w:val="center"/>
              <w:rPr>
                <w:rFonts w:ascii="宋体"/>
                <w:sz w:val="13"/>
              </w:rPr>
            </w:pPr>
            <w:r>
              <w:rPr>
                <w:rFonts w:hint="eastAsia" w:ascii="宋体"/>
                <w:sz w:val="13"/>
              </w:rPr>
              <w:t>4</w:t>
            </w:r>
          </w:p>
        </w:tc>
        <w:tc>
          <w:tcPr>
            <w:tcW w:w="880" w:type="dxa"/>
            <w:vAlign w:val="center"/>
          </w:tcPr>
          <w:p>
            <w:pPr>
              <w:jc w:val="center"/>
              <w:rPr>
                <w:rFonts w:ascii="宋体"/>
                <w:sz w:val="13"/>
              </w:rPr>
            </w:pPr>
          </w:p>
        </w:tc>
        <w:tc>
          <w:tcPr>
            <w:tcW w:w="881"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c>
          <w:tcPr>
            <w:tcW w:w="879" w:type="dxa"/>
            <w:vAlign w:val="center"/>
          </w:tcPr>
          <w:p>
            <w:pPr>
              <w:jc w:val="center"/>
              <w:rPr>
                <w:rFonts w:ascii="宋体"/>
                <w:sz w:val="13"/>
              </w:rPr>
            </w:pPr>
          </w:p>
        </w:tc>
        <w:tc>
          <w:tcPr>
            <w:tcW w:w="502" w:type="dxa"/>
            <w:vAlign w:val="center"/>
          </w:tcPr>
          <w:p>
            <w:pPr>
              <w:jc w:val="center"/>
              <w:rPr>
                <w:rFonts w:ascii="宋体"/>
                <w:sz w:val="13"/>
              </w:rPr>
            </w:pPr>
          </w:p>
        </w:tc>
        <w:tc>
          <w:tcPr>
            <w:tcW w:w="502" w:type="dxa"/>
            <w:vAlign w:val="center"/>
          </w:tcPr>
          <w:p>
            <w:pPr>
              <w:jc w:val="center"/>
              <w:rPr>
                <w:rFonts w:ascii="宋体"/>
                <w:sz w:val="13"/>
              </w:rPr>
            </w:pPr>
          </w:p>
        </w:tc>
        <w:tc>
          <w:tcPr>
            <w:tcW w:w="502" w:type="dxa"/>
          </w:tcPr>
          <w:p>
            <w:pPr>
              <w:jc w:val="center"/>
              <w:rPr>
                <w:rFonts w:ascii="宋体"/>
                <w:sz w:val="13"/>
              </w:rPr>
            </w:pPr>
          </w:p>
        </w:tc>
        <w:tc>
          <w:tcPr>
            <w:tcW w:w="502" w:type="dxa"/>
            <w:vAlign w:val="center"/>
          </w:tcPr>
          <w:p>
            <w:pPr>
              <w:jc w:val="center"/>
              <w:rPr>
                <w:rFonts w:ascii="宋体"/>
                <w:sz w:val="13"/>
              </w:rPr>
            </w:pPr>
          </w:p>
        </w:tc>
        <w:tc>
          <w:tcPr>
            <w:tcW w:w="503" w:type="dxa"/>
            <w:vAlign w:val="center"/>
          </w:tcPr>
          <w:p>
            <w:pPr>
              <w:jc w:val="center"/>
              <w:rPr>
                <w:rFonts w:ascii="宋体"/>
                <w:sz w:val="13"/>
              </w:rPr>
            </w:pPr>
          </w:p>
        </w:tc>
        <w:tc>
          <w:tcPr>
            <w:tcW w:w="377"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r>
    </w:tbl>
    <w:p>
      <w:pPr>
        <w:ind w:firstLine="260" w:firstLineChars="200"/>
        <w:rPr>
          <w:rFonts w:ascii="宋体" w:hAnsi="宋体" w:cs="仿宋_GB2312"/>
          <w:bCs/>
          <w:sz w:val="13"/>
          <w:szCs w:val="18"/>
        </w:rPr>
      </w:pPr>
      <w:r>
        <w:rPr>
          <w:rFonts w:hint="eastAsia" w:ascii="宋体" w:hAnsi="宋体" w:cs="仿宋_GB2312"/>
          <w:bCs/>
          <w:sz w:val="13"/>
          <w:szCs w:val="18"/>
        </w:rPr>
        <w:t>填表说明：1、管控措施指按一定程序确定的所有管控措施，</w:t>
      </w:r>
      <w:r>
        <w:rPr>
          <w:rFonts w:hint="eastAsia" w:ascii="宋体" w:hAnsi="宋体" w:cs="仿宋_GB2312"/>
          <w:sz w:val="13"/>
          <w:szCs w:val="18"/>
        </w:rPr>
        <w:t>包括“现有安全控制措施”和“建议改进措施”，</w:t>
      </w:r>
      <w:r>
        <w:rPr>
          <w:rFonts w:hint="eastAsia" w:ascii="宋体" w:hAnsi="宋体" w:cs="仿宋_GB2312"/>
          <w:bCs/>
          <w:sz w:val="13"/>
          <w:szCs w:val="18"/>
        </w:rPr>
        <w:t>内容必须详细和具体。2、评价级别是运用风险评价方法，确定的风险等级。3、</w:t>
      </w:r>
      <w:r>
        <w:rPr>
          <w:rFonts w:hint="eastAsia" w:ascii="宋体" w:hAnsi="宋体" w:cs="仿宋_GB2312"/>
          <w:sz w:val="13"/>
          <w:szCs w:val="18"/>
        </w:rPr>
        <w:t>管控级别是指按照 风险等级对照表规定的对应原则，划分的重大风险、较大风险、一般风险和低风险，</w:t>
      </w:r>
      <w:r>
        <w:rPr>
          <w:rFonts w:hint="eastAsia" w:ascii="宋体" w:hAnsi="宋体" w:cs="仿宋_GB2312"/>
          <w:bCs/>
          <w:sz w:val="13"/>
          <w:szCs w:val="18"/>
        </w:rPr>
        <w:t>分别用“</w:t>
      </w:r>
      <w:r>
        <w:rPr>
          <w:rFonts w:hint="eastAsia" w:ascii="宋体" w:hAnsi="宋体" w:cs="仿宋_GB2312"/>
          <w:sz w:val="13"/>
          <w:szCs w:val="18"/>
        </w:rPr>
        <w:t>红、橙、黄、蓝</w:t>
      </w:r>
      <w:r>
        <w:rPr>
          <w:rFonts w:hint="eastAsia" w:ascii="宋体" w:hAnsi="宋体" w:cs="仿宋_GB2312"/>
          <w:bCs/>
          <w:sz w:val="13"/>
          <w:szCs w:val="18"/>
        </w:rPr>
        <w:t>”标识</w:t>
      </w:r>
      <w:r>
        <w:rPr>
          <w:rFonts w:hint="eastAsia" w:ascii="宋体" w:hAnsi="宋体" w:cs="仿宋_GB2312"/>
          <w:sz w:val="13"/>
          <w:szCs w:val="18"/>
        </w:rPr>
        <w:t>。</w:t>
      </w:r>
    </w:p>
    <w:p>
      <w:pPr>
        <w:pStyle w:val="23"/>
        <w:ind w:firstLine="320"/>
        <w:rPr>
          <w:sz w:val="16"/>
        </w:rPr>
      </w:pPr>
    </w:p>
    <w:p>
      <w:pPr>
        <w:pStyle w:val="25"/>
        <w:numPr>
          <w:ilvl w:val="1"/>
          <w:numId w:val="0"/>
        </w:numPr>
        <w:tabs>
          <w:tab w:val="clear" w:pos="1440"/>
        </w:tabs>
        <w:spacing w:before="312" w:after="312"/>
        <w:rPr>
          <w:sz w:val="16"/>
        </w:rPr>
      </w:pPr>
      <w:bookmarkStart w:id="34" w:name="_Toc11921455"/>
      <w:bookmarkStart w:id="35" w:name="_Toc479257309"/>
      <w:bookmarkStart w:id="36" w:name="_Toc479171764"/>
      <w:bookmarkStart w:id="37" w:name="_Toc479175351"/>
      <w:r>
        <w:rPr>
          <w:rFonts w:hint="eastAsia"/>
          <w:sz w:val="16"/>
        </w:rPr>
        <w:t>风险等级对照表</w:t>
      </w:r>
      <w:bookmarkEnd w:id="34"/>
      <w:bookmarkEnd w:id="35"/>
      <w:bookmarkEnd w:id="36"/>
      <w:bookmarkEnd w:id="37"/>
    </w:p>
    <w:tbl>
      <w:tblPr>
        <w:tblStyle w:val="11"/>
        <w:tblpPr w:leftFromText="180" w:rightFromText="180" w:vertAnchor="text" w:horzAnchor="margin" w:tblpXSpec="center" w:tblpY="161"/>
        <w:tblW w:w="8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1"/>
        <w:gridCol w:w="1682"/>
        <w:gridCol w:w="1255"/>
        <w:gridCol w:w="1256"/>
        <w:gridCol w:w="1255"/>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trPr>
        <w:tc>
          <w:tcPr>
            <w:tcW w:w="2131" w:type="dxa"/>
            <w:vAlign w:val="center"/>
          </w:tcPr>
          <w:p>
            <w:pPr>
              <w:ind w:firstLine="325" w:firstLineChars="250"/>
              <w:rPr>
                <w:rFonts w:ascii="宋体" w:hAnsi="宋体" w:cs="仿宋_GB2312"/>
                <w:color w:val="FF0000"/>
                <w:sz w:val="13"/>
                <w:szCs w:val="18"/>
              </w:rPr>
            </w:pPr>
            <w:r>
              <w:rPr>
                <w:rFonts w:ascii="宋体" w:hAnsi="宋体" w:cs="仿宋_GB2312"/>
                <w:color w:val="FF0000"/>
                <w:sz w:val="13"/>
                <w:szCs w:val="18"/>
              </w:rPr>
              <mc:AlternateContent>
                <mc:Choice Requires="wpg">
                  <w:drawing>
                    <wp:anchor distT="0" distB="0" distL="114300" distR="114300" simplePos="0" relativeHeight="251659264" behindDoc="0" locked="0" layoutInCell="1" allowOverlap="1">
                      <wp:simplePos x="0" y="0"/>
                      <wp:positionH relativeFrom="column">
                        <wp:posOffset>-17780</wp:posOffset>
                      </wp:positionH>
                      <wp:positionV relativeFrom="paragraph">
                        <wp:posOffset>58420</wp:posOffset>
                      </wp:positionV>
                      <wp:extent cx="1296670" cy="744220"/>
                      <wp:effectExtent l="2540" t="4445" r="15240" b="13335"/>
                      <wp:wrapNone/>
                      <wp:docPr id="2" name="组合 2"/>
                      <wp:cNvGraphicFramePr/>
                      <a:graphic xmlns:a="http://schemas.openxmlformats.org/drawingml/2006/main">
                        <a:graphicData uri="http://schemas.microsoft.com/office/word/2010/wordprocessingGroup">
                          <wpg:wgp>
                            <wpg:cNvGrpSpPr/>
                            <wpg:grpSpPr>
                              <a:xfrm>
                                <a:off x="0" y="0"/>
                                <a:ext cx="1296670" cy="744220"/>
                                <a:chOff x="1337" y="6290"/>
                                <a:chExt cx="2650" cy="1031"/>
                              </a:xfrm>
                              <a:effectLst/>
                            </wpg:grpSpPr>
                            <wps:wsp>
                              <wps:cNvPr id="3" name="__TH_L28"/>
                              <wps:cNvCnPr/>
                              <wps:spPr bwMode="auto">
                                <a:xfrm>
                                  <a:off x="1337" y="6290"/>
                                  <a:ext cx="2650" cy="1031"/>
                                </a:xfrm>
                                <a:prstGeom prst="line">
                                  <a:avLst/>
                                </a:prstGeom>
                                <a:noFill/>
                                <a:ln w="6350">
                                  <a:solidFill>
                                    <a:srgbClr val="000000"/>
                                  </a:solidFill>
                                  <a:round/>
                                </a:ln>
                                <a:effectLst/>
                              </wps:spPr>
                              <wps:bodyPr/>
                            </wps:wsp>
                            <wps:wsp>
                              <wps:cNvPr id="4" name="__TH_B1129"/>
                              <wps:cNvSpPr txBox="1">
                                <a:spLocks noChangeArrowheads="1"/>
                              </wps:cNvSpPr>
                              <wps:spPr bwMode="auto">
                                <a:xfrm>
                                  <a:off x="2453" y="6335"/>
                                  <a:ext cx="252" cy="262"/>
                                </a:xfrm>
                                <a:prstGeom prst="rect">
                                  <a:avLst/>
                                </a:prstGeom>
                                <a:noFill/>
                                <a:ln>
                                  <a:noFill/>
                                </a:ln>
                                <a:effectLst/>
                              </wps:spPr>
                              <wps:txbx>
                                <w:txbxContent>
                                  <w:p>
                                    <w:pPr>
                                      <w:snapToGrid w:val="0"/>
                                    </w:pPr>
                                    <w:r>
                                      <w:rPr>
                                        <w:rFonts w:hint="eastAsia"/>
                                      </w:rPr>
                                      <w:t>管</w:t>
                                    </w:r>
                                  </w:p>
                                </w:txbxContent>
                              </wps:txbx>
                              <wps:bodyPr rot="0" vert="horz" wrap="square" lIns="0" tIns="0" rIns="0" bIns="0" anchor="t" anchorCtr="0" upright="1">
                                <a:noAutofit/>
                              </wps:bodyPr>
                            </wps:wsp>
                            <wps:wsp>
                              <wps:cNvPr id="5" name="__TH_B1230"/>
                              <wps:cNvSpPr txBox="1">
                                <a:spLocks noChangeArrowheads="1"/>
                              </wps:cNvSpPr>
                              <wps:spPr bwMode="auto">
                                <a:xfrm>
                                  <a:off x="2819" y="6477"/>
                                  <a:ext cx="252" cy="263"/>
                                </a:xfrm>
                                <a:prstGeom prst="rect">
                                  <a:avLst/>
                                </a:prstGeom>
                                <a:noFill/>
                                <a:ln>
                                  <a:noFill/>
                                </a:ln>
                                <a:effectLst/>
                              </wps:spPr>
                              <wps:txbx>
                                <w:txbxContent>
                                  <w:p>
                                    <w:pPr>
                                      <w:snapToGrid w:val="0"/>
                                    </w:pPr>
                                    <w:r>
                                      <w:rPr>
                                        <w:rFonts w:hint="eastAsia"/>
                                      </w:rPr>
                                      <w:t>控</w:t>
                                    </w:r>
                                  </w:p>
                                </w:txbxContent>
                              </wps:txbx>
                              <wps:bodyPr rot="0" vert="horz" wrap="square" lIns="0" tIns="0" rIns="0" bIns="0" anchor="t" anchorCtr="0" upright="1">
                                <a:noAutofit/>
                              </wps:bodyPr>
                            </wps:wsp>
                            <wps:wsp>
                              <wps:cNvPr id="6" name="__TH_B1331"/>
                              <wps:cNvSpPr txBox="1">
                                <a:spLocks noChangeArrowheads="1"/>
                              </wps:cNvSpPr>
                              <wps:spPr bwMode="auto">
                                <a:xfrm>
                                  <a:off x="3185" y="6620"/>
                                  <a:ext cx="253" cy="262"/>
                                </a:xfrm>
                                <a:prstGeom prst="rect">
                                  <a:avLst/>
                                </a:prstGeom>
                                <a:noFill/>
                                <a:ln>
                                  <a:noFill/>
                                </a:ln>
                                <a:effectLst/>
                              </wps:spPr>
                              <wps:txbx>
                                <w:txbxContent>
                                  <w:p>
                                    <w:pPr>
                                      <w:snapToGrid w:val="0"/>
                                    </w:pPr>
                                    <w:r>
                                      <w:rPr>
                                        <w:rFonts w:hint="eastAsia"/>
                                      </w:rPr>
                                      <w:t>级</w:t>
                                    </w:r>
                                  </w:p>
                                </w:txbxContent>
                              </wps:txbx>
                              <wps:bodyPr rot="0" vert="horz" wrap="square" lIns="0" tIns="0" rIns="0" bIns="0" anchor="t" anchorCtr="0" upright="1">
                                <a:noAutofit/>
                              </wps:bodyPr>
                            </wps:wsp>
                            <wps:wsp>
                              <wps:cNvPr id="7" name="__TH_B1432"/>
                              <wps:cNvSpPr txBox="1">
                                <a:spLocks noChangeArrowheads="1"/>
                              </wps:cNvSpPr>
                              <wps:spPr bwMode="auto">
                                <a:xfrm>
                                  <a:off x="3551" y="6762"/>
                                  <a:ext cx="253" cy="263"/>
                                </a:xfrm>
                                <a:prstGeom prst="rect">
                                  <a:avLst/>
                                </a:prstGeom>
                                <a:noFill/>
                                <a:ln>
                                  <a:noFill/>
                                </a:ln>
                                <a:effectLst/>
                              </wps:spPr>
                              <wps:txbx>
                                <w:txbxContent>
                                  <w:p>
                                    <w:pPr>
                                      <w:snapToGrid w:val="0"/>
                                    </w:pPr>
                                    <w:r>
                                      <w:rPr>
                                        <w:rFonts w:hint="eastAsia"/>
                                      </w:rPr>
                                      <w:t>别</w:t>
                                    </w:r>
                                  </w:p>
                                </w:txbxContent>
                              </wps:txbx>
                              <wps:bodyPr rot="0" vert="horz" wrap="square" lIns="0" tIns="0" rIns="0" bIns="0" anchor="t" anchorCtr="0" upright="1">
                                <a:noAutofit/>
                              </wps:bodyPr>
                            </wps:wsp>
                            <wps:wsp>
                              <wps:cNvPr id="8" name="__TH_B2133"/>
                              <wps:cNvSpPr txBox="1">
                                <a:spLocks noChangeArrowheads="1"/>
                              </wps:cNvSpPr>
                              <wps:spPr bwMode="auto">
                                <a:xfrm>
                                  <a:off x="1510" y="6628"/>
                                  <a:ext cx="252" cy="262"/>
                                </a:xfrm>
                                <a:prstGeom prst="rect">
                                  <a:avLst/>
                                </a:prstGeom>
                                <a:noFill/>
                                <a:ln>
                                  <a:noFill/>
                                </a:ln>
                                <a:effectLst/>
                              </wps:spPr>
                              <wps:txbx>
                                <w:txbxContent>
                                  <w:p>
                                    <w:pPr>
                                      <w:snapToGrid w:val="0"/>
                                    </w:pPr>
                                    <w:r>
                                      <w:rPr>
                                        <w:rFonts w:hint="eastAsia"/>
                                      </w:rPr>
                                      <w:t>判</w:t>
                                    </w:r>
                                  </w:p>
                                </w:txbxContent>
                              </wps:txbx>
                              <wps:bodyPr rot="0" vert="horz" wrap="square" lIns="0" tIns="0" rIns="0" bIns="0" anchor="t" anchorCtr="0" upright="1">
                                <a:noAutofit/>
                              </wps:bodyPr>
                            </wps:wsp>
                            <wps:wsp>
                              <wps:cNvPr id="9" name="__TH_B2234"/>
                              <wps:cNvSpPr txBox="1">
                                <a:spLocks noChangeArrowheads="1"/>
                              </wps:cNvSpPr>
                              <wps:spPr bwMode="auto">
                                <a:xfrm>
                                  <a:off x="1845" y="6758"/>
                                  <a:ext cx="253" cy="263"/>
                                </a:xfrm>
                                <a:prstGeom prst="rect">
                                  <a:avLst/>
                                </a:prstGeom>
                                <a:noFill/>
                                <a:ln>
                                  <a:noFill/>
                                </a:ln>
                                <a:effectLst/>
                              </wps:spPr>
                              <wps:txbx>
                                <w:txbxContent>
                                  <w:p>
                                    <w:pPr>
                                      <w:snapToGrid w:val="0"/>
                                    </w:pPr>
                                    <w:r>
                                      <w:rPr>
                                        <w:rFonts w:hint="eastAsia"/>
                                      </w:rPr>
                                      <w:t>定</w:t>
                                    </w:r>
                                  </w:p>
                                </w:txbxContent>
                              </wps:txbx>
                              <wps:bodyPr rot="0" vert="horz" wrap="square" lIns="0" tIns="0" rIns="0" bIns="0" anchor="t" anchorCtr="0" upright="1">
                                <a:noAutofit/>
                              </wps:bodyPr>
                            </wps:wsp>
                            <wps:wsp>
                              <wps:cNvPr id="10" name="__TH_B2335"/>
                              <wps:cNvSpPr txBox="1">
                                <a:spLocks noChangeArrowheads="1"/>
                              </wps:cNvSpPr>
                              <wps:spPr bwMode="auto">
                                <a:xfrm>
                                  <a:off x="2181" y="6889"/>
                                  <a:ext cx="253" cy="262"/>
                                </a:xfrm>
                                <a:prstGeom prst="rect">
                                  <a:avLst/>
                                </a:prstGeom>
                                <a:noFill/>
                                <a:ln>
                                  <a:noFill/>
                                </a:ln>
                                <a:effectLst/>
                              </wps:spPr>
                              <wps:txbx>
                                <w:txbxContent>
                                  <w:p>
                                    <w:pPr>
                                      <w:snapToGrid w:val="0"/>
                                    </w:pPr>
                                    <w:r>
                                      <w:rPr>
                                        <w:rFonts w:hint="eastAsia"/>
                                      </w:rPr>
                                      <w:t>方</w:t>
                                    </w:r>
                                  </w:p>
                                </w:txbxContent>
                              </wps:txbx>
                              <wps:bodyPr rot="0" vert="horz" wrap="square" lIns="0" tIns="0" rIns="0" bIns="0" anchor="t" anchorCtr="0" upright="1">
                                <a:noAutofit/>
                              </wps:bodyPr>
                            </wps:wsp>
                            <wps:wsp>
                              <wps:cNvPr id="11" name="__TH_B2436"/>
                              <wps:cNvSpPr txBox="1">
                                <a:spLocks noChangeArrowheads="1"/>
                              </wps:cNvSpPr>
                              <wps:spPr bwMode="auto">
                                <a:xfrm>
                                  <a:off x="2517" y="7019"/>
                                  <a:ext cx="252" cy="263"/>
                                </a:xfrm>
                                <a:prstGeom prst="rect">
                                  <a:avLst/>
                                </a:prstGeom>
                                <a:noFill/>
                                <a:ln>
                                  <a:noFill/>
                                </a:ln>
                                <a:effectLst/>
                              </wps:spPr>
                              <wps:txbx>
                                <w:txbxContent>
                                  <w:p>
                                    <w:pPr>
                                      <w:snapToGrid w:val="0"/>
                                    </w:pPr>
                                    <w:r>
                                      <w:rPr>
                                        <w:rFonts w:hint="eastAsia"/>
                                      </w:rPr>
                                      <w:t>法</w:t>
                                    </w:r>
                                  </w:p>
                                </w:txbxContent>
                              </wps:txbx>
                              <wps:bodyPr rot="0" vert="horz" wrap="square" lIns="0" tIns="0" rIns="0" bIns="0" anchor="t" anchorCtr="0" upright="1">
                                <a:noAutofit/>
                              </wps:bodyPr>
                            </wps:wsp>
                          </wpg:wgp>
                        </a:graphicData>
                      </a:graphic>
                    </wp:anchor>
                  </w:drawing>
                </mc:Choice>
                <mc:Fallback>
                  <w:pict>
                    <v:group id="_x0000_s1026" o:spid="_x0000_s1026" o:spt="203" style="position:absolute;left:0pt;margin-left:-1.4pt;margin-top:4.6pt;height:58.6pt;width:102.1pt;z-index:251659264;mso-width-relative:page;mso-height-relative:page;" coordorigin="1337,6290" coordsize="2650,1031" o:gfxdata="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&#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">
                      <o:lock v:ext="edit" aspectratio="f"/>
                      <v:line id="__TH_L28" o:spid="_x0000_s1026" o:spt="20" style="position:absolute;left:1337;top:6290;height:1031;width:2650;" filled="f" stroked="t" coordsize="21600,21600" o:gfxdata="UEsDBAoAAAAAAIdO4kAAAAAAAAAAAAAAAAAEAAAAZHJzL1BLAwQUAAAACACHTuJARJkzkbsAAADa&#10;AAAADwAAAGRycy9kb3ducmV2LnhtbEWPQUvEMBSE78L+h/AWvLlJlYrUze5B6LIXD67i+dE822Lz&#10;UpK3zeqvN4LgcZiZb5jt/uIntVBMY2AL1caAIu6CG7m38Pba3jyASoLscApMFr4owX63utpi40Lm&#10;F1pO0qsC4dSghUFkbrRO3UAe0ybMxMX7CNGjFBl77SLmAveTvjXmX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JkzkbsAAADa&#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shape id="__TH_B1129" o:spid="_x0000_s1026" o:spt="202" type="#_x0000_t202" style="position:absolute;left:2453;top:6335;height:262;width:252;" filled="f" stroked="f" coordsize="21600,21600" o:gfxdata="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AGDn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napToGrid w:val="0"/>
                              </w:pPr>
                              <w:r>
                                <w:rPr>
                                  <w:rFonts w:hint="eastAsia"/>
                                </w:rPr>
                                <w:t>管</w:t>
                              </w:r>
                            </w:p>
                          </w:txbxContent>
                        </v:textbox>
                      </v:shape>
                      <v:shape id="__TH_B1230" o:spid="_x0000_s1026" o:spt="202" type="#_x0000_t202" style="position:absolute;left:2819;top:6477;height:263;width:252;" filled="f" stroked="f" coordsize="21600,21600" o:gfxdata="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TMV8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napToGrid w:val="0"/>
                              </w:pPr>
                              <w:r>
                                <w:rPr>
                                  <w:rFonts w:hint="eastAsia"/>
                                </w:rPr>
                                <w:t>控</w:t>
                              </w:r>
                            </w:p>
                          </w:txbxContent>
                        </v:textbox>
                      </v:shape>
                      <v:shape id="__TH_B1331" o:spid="_x0000_s1026" o:spt="202" type="#_x0000_t202" style="position:absolute;left:3185;top:6620;height:262;width:253;" filled="f" stroked="f" coordsize="21600,21600" o:gfxdata="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nlsL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napToGrid w:val="0"/>
                              </w:pPr>
                              <w:r>
                                <w:rPr>
                                  <w:rFonts w:hint="eastAsia"/>
                                </w:rPr>
                                <w:t>级</w:t>
                              </w:r>
                            </w:p>
                          </w:txbxContent>
                        </v:textbox>
                      </v:shape>
                      <v:shape id="__TH_B1432" o:spid="_x0000_s1026" o:spt="202" type="#_x0000_t202" style="position:absolute;left:3551;top:6762;height:263;width:253;" filled="f" stroked="f" coordsize="21600,21600" o:gfxdata="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dL+kL4A&#10;AADa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napToGrid w:val="0"/>
                              </w:pPr>
                              <w:r>
                                <w:rPr>
                                  <w:rFonts w:hint="eastAsia"/>
                                </w:rPr>
                                <w:t>别</w:t>
                              </w:r>
                            </w:p>
                          </w:txbxContent>
                        </v:textbox>
                      </v:shape>
                      <v:shape id="__TH_B2133" o:spid="_x0000_s1026" o:spt="202" type="#_x0000_t202" style="position:absolute;left:1510;top:6628;height:262;width:252;" filled="f" stroked="f" coordsize="21600,21600" o:gfxdata="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BNauK5AAAA2g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pPr>
                                <w:snapToGrid w:val="0"/>
                              </w:pPr>
                              <w:r>
                                <w:rPr>
                                  <w:rFonts w:hint="eastAsia"/>
                                </w:rPr>
                                <w:t>判</w:t>
                              </w:r>
                            </w:p>
                          </w:txbxContent>
                        </v:textbox>
                      </v:shape>
                      <v:shape id="__TH_B2234" o:spid="_x0000_s1026" o:spt="202" type="#_x0000_t202" style="position:absolute;left:1845;top:6758;height:263;width:253;" filled="f" stroked="f" coordsize="21600,21600" o:gfxdata="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Ac95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napToGrid w:val="0"/>
                              </w:pPr>
                              <w:r>
                                <w:rPr>
                                  <w:rFonts w:hint="eastAsia"/>
                                </w:rPr>
                                <w:t>定</w:t>
                              </w:r>
                            </w:p>
                          </w:txbxContent>
                        </v:textbox>
                      </v:shape>
                      <v:shape id="__TH_B2335" o:spid="_x0000_s1026" o:spt="202" type="#_x0000_t202" style="position:absolute;left:2181;top:6889;height:262;width:253;" filled="f" stroked="f" coordsize="21600,21600" o:gfxdata="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rxu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napToGrid w:val="0"/>
                              </w:pPr>
                              <w:r>
                                <w:rPr>
                                  <w:rFonts w:hint="eastAsia"/>
                                </w:rPr>
                                <w:t>方</w:t>
                              </w:r>
                            </w:p>
                          </w:txbxContent>
                        </v:textbox>
                      </v:shape>
                      <v:shape id="__TH_B2436" o:spid="_x0000_s1026" o:spt="202" type="#_x0000_t202" style="position:absolute;left:2517;top:7019;height:263;width:252;" filled="f" stroked="f" coordsize="21600,21600" o:gfxdata="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UZUI7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snapToGrid w:val="0"/>
                              </w:pPr>
                              <w:r>
                                <w:rPr>
                                  <w:rFonts w:hint="eastAsia"/>
                                </w:rPr>
                                <w:t>法</w:t>
                              </w:r>
                            </w:p>
                          </w:txbxContent>
                        </v:textbox>
                      </v:shape>
                    </v:group>
                  </w:pict>
                </mc:Fallback>
              </mc:AlternateContent>
            </w:r>
          </w:p>
        </w:tc>
        <w:tc>
          <w:tcPr>
            <w:tcW w:w="1682" w:type="dxa"/>
            <w:vAlign w:val="center"/>
          </w:tcPr>
          <w:p>
            <w:pPr>
              <w:jc w:val="center"/>
              <w:rPr>
                <w:rFonts w:ascii="宋体" w:hAnsi="宋体" w:cs="仿宋_GB2312"/>
                <w:sz w:val="16"/>
                <w:szCs w:val="21"/>
              </w:rPr>
            </w:pPr>
            <w:r>
              <w:rPr>
                <w:rFonts w:hint="eastAsia"/>
                <w:sz w:val="16"/>
                <w:szCs w:val="21"/>
              </w:rPr>
              <w:t>重大</w:t>
            </w:r>
            <w:r>
              <w:rPr>
                <w:rFonts w:hint="eastAsia" w:ascii="宋体" w:hAnsi="宋体" w:cs="仿宋_GB2312"/>
                <w:sz w:val="16"/>
                <w:szCs w:val="21"/>
              </w:rPr>
              <w:t>风险</w:t>
            </w:r>
          </w:p>
        </w:tc>
        <w:tc>
          <w:tcPr>
            <w:tcW w:w="1255" w:type="dxa"/>
            <w:vAlign w:val="center"/>
          </w:tcPr>
          <w:p>
            <w:pPr>
              <w:jc w:val="center"/>
              <w:rPr>
                <w:rFonts w:ascii="宋体" w:hAnsi="宋体" w:cs="仿宋_GB2312"/>
                <w:sz w:val="16"/>
                <w:szCs w:val="21"/>
              </w:rPr>
            </w:pPr>
            <w:r>
              <w:rPr>
                <w:rFonts w:hint="eastAsia" w:ascii="宋体" w:hAnsi="宋体" w:cs="仿宋_GB2312"/>
                <w:sz w:val="16"/>
                <w:szCs w:val="21"/>
              </w:rPr>
              <w:t>较大风险</w:t>
            </w:r>
          </w:p>
        </w:tc>
        <w:tc>
          <w:tcPr>
            <w:tcW w:w="1256" w:type="dxa"/>
            <w:vAlign w:val="center"/>
          </w:tcPr>
          <w:p>
            <w:pPr>
              <w:jc w:val="center"/>
              <w:rPr>
                <w:rFonts w:ascii="宋体" w:hAnsi="宋体" w:cs="仿宋_GB2312"/>
                <w:sz w:val="16"/>
                <w:szCs w:val="21"/>
              </w:rPr>
            </w:pPr>
            <w:r>
              <w:rPr>
                <w:rFonts w:hint="eastAsia" w:ascii="宋体" w:hAnsi="宋体" w:cs="仿宋_GB2312"/>
                <w:sz w:val="16"/>
                <w:szCs w:val="21"/>
              </w:rPr>
              <w:t>一般风险</w:t>
            </w:r>
          </w:p>
        </w:tc>
        <w:tc>
          <w:tcPr>
            <w:tcW w:w="1255" w:type="dxa"/>
            <w:vAlign w:val="center"/>
          </w:tcPr>
          <w:p>
            <w:pPr>
              <w:jc w:val="center"/>
              <w:rPr>
                <w:rFonts w:ascii="宋体" w:hAnsi="宋体" w:cs="仿宋_GB2312"/>
                <w:sz w:val="16"/>
                <w:szCs w:val="21"/>
              </w:rPr>
            </w:pPr>
            <w:r>
              <w:rPr>
                <w:rFonts w:hint="eastAsia" w:ascii="宋体" w:hAnsi="宋体" w:cs="仿宋_GB2312"/>
                <w:sz w:val="16"/>
                <w:szCs w:val="21"/>
              </w:rPr>
              <w:t>低风险</w:t>
            </w:r>
          </w:p>
        </w:tc>
        <w:tc>
          <w:tcPr>
            <w:tcW w:w="1217" w:type="dxa"/>
            <w:vAlign w:val="center"/>
          </w:tcPr>
          <w:p>
            <w:pPr>
              <w:jc w:val="center"/>
              <w:rPr>
                <w:rFonts w:ascii="宋体" w:hAnsi="宋体" w:cs="仿宋_GB2312"/>
                <w:sz w:val="16"/>
                <w:szCs w:val="21"/>
              </w:rPr>
            </w:pPr>
            <w:r>
              <w:rPr>
                <w:rFonts w:hint="eastAsia" w:ascii="宋体" w:hAnsi="宋体" w:cs="仿宋_GB2312"/>
                <w:sz w:val="16"/>
                <w:szCs w:val="21"/>
              </w:rPr>
              <w:t>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131" w:type="dxa"/>
            <w:vAlign w:val="center"/>
          </w:tcPr>
          <w:p>
            <w:pPr>
              <w:jc w:val="center"/>
              <w:rPr>
                <w:rFonts w:ascii="宋体" w:hAnsi="宋体" w:cs="仿宋_GB2312"/>
                <w:sz w:val="13"/>
                <w:szCs w:val="18"/>
              </w:rPr>
            </w:pPr>
            <w:r>
              <w:rPr>
                <w:rFonts w:hint="eastAsia" w:ascii="宋体" w:hAnsi="宋体" w:cs="仿宋_GB2312"/>
                <w:sz w:val="13"/>
                <w:szCs w:val="18"/>
              </w:rPr>
              <w:t>采用LEC法或采用LS法</w:t>
            </w:r>
          </w:p>
        </w:tc>
        <w:tc>
          <w:tcPr>
            <w:tcW w:w="1682" w:type="dxa"/>
            <w:vAlign w:val="center"/>
          </w:tcPr>
          <w:p>
            <w:pPr>
              <w:jc w:val="center"/>
              <w:rPr>
                <w:rFonts w:ascii="宋体" w:hAnsi="宋体" w:cs="仿宋_GB2312"/>
                <w:sz w:val="16"/>
                <w:szCs w:val="21"/>
              </w:rPr>
            </w:pPr>
            <w:r>
              <w:rPr>
                <w:rFonts w:ascii="宋体" w:hAnsi="宋体" w:cs="仿宋_GB2312"/>
                <w:sz w:val="16"/>
                <w:szCs w:val="21"/>
              </w:rPr>
              <w:t>A</w:t>
            </w:r>
            <w:r>
              <w:rPr>
                <w:rFonts w:hint="eastAsia" w:ascii="宋体" w:hAnsi="宋体" w:cs="仿宋_GB2312"/>
                <w:sz w:val="16"/>
                <w:szCs w:val="21"/>
              </w:rPr>
              <w:t>级或</w:t>
            </w:r>
            <w:r>
              <w:rPr>
                <w:rFonts w:ascii="宋体" w:hAnsi="宋体" w:cs="仿宋_GB2312"/>
                <w:sz w:val="16"/>
                <w:szCs w:val="21"/>
              </w:rPr>
              <w:t>1</w:t>
            </w:r>
            <w:r>
              <w:rPr>
                <w:rFonts w:hint="eastAsia" w:ascii="宋体" w:hAnsi="宋体" w:cs="仿宋_GB2312"/>
                <w:sz w:val="16"/>
                <w:szCs w:val="21"/>
              </w:rPr>
              <w:t>级</w:t>
            </w:r>
          </w:p>
        </w:tc>
        <w:tc>
          <w:tcPr>
            <w:tcW w:w="1255" w:type="dxa"/>
            <w:vAlign w:val="center"/>
          </w:tcPr>
          <w:p>
            <w:pPr>
              <w:jc w:val="center"/>
              <w:rPr>
                <w:rFonts w:ascii="宋体" w:hAnsi="宋体" w:cs="仿宋_GB2312"/>
                <w:sz w:val="16"/>
                <w:szCs w:val="21"/>
              </w:rPr>
            </w:pPr>
            <w:r>
              <w:rPr>
                <w:rFonts w:ascii="宋体" w:hAnsi="宋体" w:cs="仿宋_GB2312"/>
                <w:sz w:val="16"/>
                <w:szCs w:val="21"/>
              </w:rPr>
              <w:t>B</w:t>
            </w:r>
            <w:r>
              <w:rPr>
                <w:rFonts w:hint="eastAsia" w:ascii="宋体" w:hAnsi="宋体" w:cs="仿宋_GB2312"/>
                <w:sz w:val="16"/>
                <w:szCs w:val="21"/>
              </w:rPr>
              <w:t>级或</w:t>
            </w:r>
            <w:r>
              <w:rPr>
                <w:rFonts w:ascii="宋体" w:hAnsi="宋体" w:cs="仿宋_GB2312"/>
                <w:sz w:val="16"/>
                <w:szCs w:val="21"/>
              </w:rPr>
              <w:t>2</w:t>
            </w:r>
            <w:r>
              <w:rPr>
                <w:rFonts w:hint="eastAsia" w:ascii="宋体" w:hAnsi="宋体" w:cs="仿宋_GB2312"/>
                <w:sz w:val="16"/>
                <w:szCs w:val="21"/>
              </w:rPr>
              <w:t>级</w:t>
            </w:r>
          </w:p>
        </w:tc>
        <w:tc>
          <w:tcPr>
            <w:tcW w:w="1256" w:type="dxa"/>
            <w:vAlign w:val="center"/>
          </w:tcPr>
          <w:p>
            <w:pPr>
              <w:jc w:val="center"/>
              <w:rPr>
                <w:rFonts w:ascii="宋体" w:hAnsi="宋体" w:cs="仿宋_GB2312"/>
                <w:sz w:val="16"/>
                <w:szCs w:val="21"/>
              </w:rPr>
            </w:pPr>
            <w:r>
              <w:rPr>
                <w:rFonts w:ascii="宋体" w:hAnsi="宋体" w:cs="仿宋_GB2312"/>
                <w:sz w:val="16"/>
                <w:szCs w:val="21"/>
              </w:rPr>
              <w:t>C</w:t>
            </w:r>
            <w:r>
              <w:rPr>
                <w:rFonts w:hint="eastAsia" w:ascii="宋体" w:hAnsi="宋体" w:cs="仿宋_GB2312"/>
                <w:sz w:val="16"/>
                <w:szCs w:val="21"/>
              </w:rPr>
              <w:t>级或</w:t>
            </w:r>
            <w:r>
              <w:rPr>
                <w:rFonts w:ascii="宋体" w:hAnsi="宋体" w:cs="仿宋_GB2312"/>
                <w:sz w:val="16"/>
                <w:szCs w:val="21"/>
              </w:rPr>
              <w:t>3</w:t>
            </w:r>
            <w:r>
              <w:rPr>
                <w:rFonts w:hint="eastAsia" w:ascii="宋体" w:hAnsi="宋体" w:cs="仿宋_GB2312"/>
                <w:sz w:val="16"/>
                <w:szCs w:val="21"/>
              </w:rPr>
              <w:t>级</w:t>
            </w:r>
          </w:p>
        </w:tc>
        <w:tc>
          <w:tcPr>
            <w:tcW w:w="1255" w:type="dxa"/>
            <w:vAlign w:val="center"/>
          </w:tcPr>
          <w:p>
            <w:pPr>
              <w:jc w:val="center"/>
              <w:rPr>
                <w:rFonts w:ascii="宋体" w:hAnsi="宋体" w:cs="仿宋_GB2312"/>
                <w:sz w:val="16"/>
                <w:szCs w:val="21"/>
              </w:rPr>
            </w:pPr>
            <w:r>
              <w:rPr>
                <w:rFonts w:ascii="宋体" w:hAnsi="宋体" w:cs="仿宋_GB2312"/>
                <w:sz w:val="16"/>
                <w:szCs w:val="21"/>
              </w:rPr>
              <w:t>D</w:t>
            </w:r>
            <w:r>
              <w:rPr>
                <w:rFonts w:hint="eastAsia" w:ascii="宋体" w:hAnsi="宋体" w:cs="仿宋_GB2312"/>
                <w:sz w:val="16"/>
                <w:szCs w:val="21"/>
              </w:rPr>
              <w:t>级或</w:t>
            </w:r>
            <w:r>
              <w:rPr>
                <w:rFonts w:ascii="宋体" w:hAnsi="宋体" w:cs="仿宋_GB2312"/>
                <w:sz w:val="16"/>
                <w:szCs w:val="21"/>
              </w:rPr>
              <w:t>4</w:t>
            </w:r>
            <w:r>
              <w:rPr>
                <w:rFonts w:hint="eastAsia" w:ascii="宋体" w:hAnsi="宋体" w:cs="仿宋_GB2312"/>
                <w:sz w:val="16"/>
                <w:szCs w:val="21"/>
              </w:rPr>
              <w:t>级</w:t>
            </w:r>
          </w:p>
        </w:tc>
        <w:tc>
          <w:tcPr>
            <w:tcW w:w="1217" w:type="dxa"/>
            <w:vAlign w:val="center"/>
          </w:tcPr>
          <w:p>
            <w:pPr>
              <w:jc w:val="center"/>
              <w:rPr>
                <w:rFonts w:ascii="宋体" w:hAnsi="宋体" w:cs="仿宋_GB2312"/>
                <w:sz w:val="16"/>
                <w:szCs w:val="21"/>
              </w:rPr>
            </w:pPr>
            <w:r>
              <w:rPr>
                <w:rFonts w:ascii="宋体" w:hAnsi="宋体" w:cs="仿宋_GB2312"/>
                <w:sz w:val="16"/>
                <w:szCs w:val="21"/>
              </w:rPr>
              <w:t>E</w:t>
            </w:r>
            <w:r>
              <w:rPr>
                <w:rFonts w:hint="eastAsia" w:ascii="宋体" w:hAnsi="宋体" w:cs="仿宋_GB2312"/>
                <w:sz w:val="16"/>
                <w:szCs w:val="21"/>
              </w:rPr>
              <w:t>级或</w:t>
            </w:r>
            <w:r>
              <w:rPr>
                <w:rFonts w:ascii="宋体" w:hAnsi="宋体" w:cs="仿宋_GB2312"/>
                <w:sz w:val="16"/>
                <w:szCs w:val="21"/>
              </w:rPr>
              <w:t>5</w:t>
            </w:r>
            <w:r>
              <w:rPr>
                <w:rFonts w:hint="eastAsia" w:ascii="宋体" w:hAnsi="宋体" w:cs="仿宋_GB2312"/>
                <w:sz w:val="16"/>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131" w:type="dxa"/>
            <w:vAlign w:val="center"/>
          </w:tcPr>
          <w:p>
            <w:pPr>
              <w:jc w:val="center"/>
              <w:rPr>
                <w:rFonts w:ascii="宋体" w:hAnsi="宋体" w:cs="仿宋_GB2312"/>
                <w:sz w:val="13"/>
                <w:szCs w:val="18"/>
              </w:rPr>
            </w:pPr>
            <w:r>
              <w:rPr>
                <w:rFonts w:hint="eastAsia" w:ascii="宋体" w:hAnsi="宋体" w:cs="仿宋_GB2312"/>
                <w:sz w:val="13"/>
                <w:szCs w:val="18"/>
              </w:rPr>
              <w:t>风险色度</w:t>
            </w:r>
          </w:p>
        </w:tc>
        <w:tc>
          <w:tcPr>
            <w:tcW w:w="1682" w:type="dxa"/>
            <w:vAlign w:val="center"/>
          </w:tcPr>
          <w:p>
            <w:pPr>
              <w:jc w:val="center"/>
              <w:rPr>
                <w:rFonts w:ascii="宋体" w:hAnsi="宋体" w:cs="仿宋_GB2312"/>
                <w:sz w:val="16"/>
                <w:szCs w:val="21"/>
              </w:rPr>
            </w:pPr>
            <w:r>
              <w:rPr>
                <w:rFonts w:hint="eastAsia" w:ascii="宋体" w:hAnsi="宋体" w:cs="仿宋_GB2312"/>
                <w:sz w:val="16"/>
                <w:szCs w:val="21"/>
              </w:rPr>
              <w:t>红色</w:t>
            </w:r>
          </w:p>
        </w:tc>
        <w:tc>
          <w:tcPr>
            <w:tcW w:w="1255" w:type="dxa"/>
            <w:vAlign w:val="center"/>
          </w:tcPr>
          <w:p>
            <w:pPr>
              <w:jc w:val="center"/>
              <w:rPr>
                <w:rFonts w:ascii="宋体" w:hAnsi="宋体" w:cs="仿宋_GB2312"/>
                <w:sz w:val="16"/>
                <w:szCs w:val="21"/>
              </w:rPr>
            </w:pPr>
            <w:r>
              <w:rPr>
                <w:rFonts w:hint="eastAsia" w:ascii="宋体" w:hAnsi="宋体" w:cs="仿宋_GB2312"/>
                <w:sz w:val="16"/>
                <w:szCs w:val="21"/>
              </w:rPr>
              <w:t>橙色</w:t>
            </w:r>
          </w:p>
        </w:tc>
        <w:tc>
          <w:tcPr>
            <w:tcW w:w="1256" w:type="dxa"/>
            <w:vAlign w:val="center"/>
          </w:tcPr>
          <w:p>
            <w:pPr>
              <w:jc w:val="center"/>
              <w:rPr>
                <w:rFonts w:ascii="宋体" w:hAnsi="宋体" w:cs="仿宋_GB2312"/>
                <w:sz w:val="16"/>
                <w:szCs w:val="21"/>
              </w:rPr>
            </w:pPr>
            <w:r>
              <w:rPr>
                <w:rFonts w:hint="eastAsia" w:ascii="宋体" w:hAnsi="宋体" w:cs="仿宋_GB2312"/>
                <w:sz w:val="16"/>
                <w:szCs w:val="21"/>
              </w:rPr>
              <w:t>黄色</w:t>
            </w:r>
          </w:p>
        </w:tc>
        <w:tc>
          <w:tcPr>
            <w:tcW w:w="1255" w:type="dxa"/>
            <w:vAlign w:val="center"/>
          </w:tcPr>
          <w:p>
            <w:pPr>
              <w:jc w:val="center"/>
              <w:rPr>
                <w:rFonts w:ascii="宋体" w:hAnsi="宋体" w:cs="仿宋_GB2312"/>
                <w:sz w:val="16"/>
                <w:szCs w:val="21"/>
              </w:rPr>
            </w:pPr>
            <w:r>
              <w:rPr>
                <w:rFonts w:hint="eastAsia" w:ascii="宋体" w:hAnsi="宋体" w:cs="仿宋_GB2312"/>
                <w:sz w:val="16"/>
                <w:szCs w:val="21"/>
              </w:rPr>
              <w:t>蓝色</w:t>
            </w:r>
          </w:p>
        </w:tc>
        <w:tc>
          <w:tcPr>
            <w:tcW w:w="1217" w:type="dxa"/>
            <w:vAlign w:val="center"/>
          </w:tcPr>
          <w:p>
            <w:pPr>
              <w:jc w:val="center"/>
              <w:rPr>
                <w:rFonts w:ascii="宋体" w:hAnsi="宋体" w:cs="仿宋_GB2312"/>
                <w:sz w:val="16"/>
                <w:szCs w:val="21"/>
              </w:rPr>
            </w:pPr>
            <w:r>
              <w:rPr>
                <w:rFonts w:hint="eastAsia" w:ascii="宋体" w:hAnsi="宋体" w:cs="仿宋_GB2312"/>
                <w:sz w:val="16"/>
                <w:szCs w:val="21"/>
              </w:rPr>
              <w:t>蓝色</w:t>
            </w:r>
          </w:p>
        </w:tc>
      </w:tr>
    </w:tbl>
    <w:p>
      <w:pPr>
        <w:pStyle w:val="26"/>
        <w:numPr>
          <w:ilvl w:val="0"/>
          <w:numId w:val="0"/>
        </w:numPr>
        <w:tabs>
          <w:tab w:val="clear" w:pos="720"/>
        </w:tabs>
        <w:rPr>
          <w:sz w:val="18"/>
          <w:szCs w:val="21"/>
        </w:rPr>
      </w:pPr>
      <w:bookmarkStart w:id="38" w:name="_Toc11921456"/>
      <w:bookmarkStart w:id="39" w:name="_Toc483486622"/>
      <w:bookmarkStart w:id="40" w:name="_Toc483486532"/>
      <w:r>
        <w:rPr>
          <w:rFonts w:hint="eastAsia"/>
          <w:b/>
          <w:bCs/>
          <w:szCs w:val="24"/>
        </w:rPr>
        <w:t>（资料性附录）</w:t>
      </w:r>
      <w:r>
        <w:rPr>
          <w:b/>
          <w:bCs/>
          <w:szCs w:val="24"/>
        </w:rPr>
        <w:br w:type="textWrapping"/>
      </w:r>
      <w:r>
        <w:rPr>
          <w:rFonts w:hint="eastAsia"/>
          <w:sz w:val="18"/>
          <w:szCs w:val="21"/>
        </w:rPr>
        <w:t>工作危害分析法（JHA）</w:t>
      </w:r>
      <w:bookmarkEnd w:id="38"/>
      <w:bookmarkEnd w:id="39"/>
      <w:bookmarkEnd w:id="40"/>
    </w:p>
    <w:p>
      <w:pPr>
        <w:pStyle w:val="25"/>
        <w:spacing w:before="312" w:after="312"/>
        <w:rPr>
          <w:sz w:val="16"/>
        </w:rPr>
      </w:pPr>
      <w:bookmarkStart w:id="41" w:name="_Toc11921457"/>
      <w:bookmarkStart w:id="42" w:name="_Toc479257311"/>
      <w:bookmarkStart w:id="43" w:name="_Toc479175353"/>
      <w:bookmarkStart w:id="44" w:name="_Toc479171766"/>
      <w:r>
        <w:rPr>
          <w:rFonts w:hint="eastAsia"/>
          <w:sz w:val="16"/>
        </w:rPr>
        <w:t>方法概述</w:t>
      </w:r>
      <w:bookmarkEnd w:id="41"/>
      <w:bookmarkEnd w:id="42"/>
      <w:bookmarkEnd w:id="43"/>
      <w:bookmarkEnd w:id="44"/>
    </w:p>
    <w:p>
      <w:pPr>
        <w:pStyle w:val="23"/>
        <w:ind w:firstLine="320"/>
        <w:rPr>
          <w:sz w:val="16"/>
        </w:rPr>
      </w:pPr>
      <w:r>
        <w:rPr>
          <w:rFonts w:hint="eastAsia"/>
          <w:sz w:val="16"/>
        </w:rPr>
        <w:t>通过对工作过程的逐步分析，找出具有危险的工作步骤，进行控制和预防，是辨识危害因素及其风险的方法之一。适合于对作业活动中存在的风险进行分析。包括作业活动划分、选定、危险源辨识等步骤。</w:t>
      </w:r>
    </w:p>
    <w:p>
      <w:pPr>
        <w:pStyle w:val="25"/>
        <w:spacing w:before="312" w:after="312"/>
        <w:rPr>
          <w:sz w:val="16"/>
        </w:rPr>
      </w:pPr>
      <w:bookmarkStart w:id="45" w:name="_Toc479171767"/>
      <w:bookmarkStart w:id="46" w:name="_Toc479175354"/>
      <w:bookmarkStart w:id="47" w:name="_Toc479257312"/>
      <w:bookmarkStart w:id="48" w:name="_Toc11921458"/>
      <w:r>
        <w:rPr>
          <w:rFonts w:hint="eastAsia"/>
          <w:sz w:val="16"/>
        </w:rPr>
        <w:t>作业活动划分</w:t>
      </w:r>
      <w:bookmarkEnd w:id="45"/>
      <w:bookmarkEnd w:id="46"/>
      <w:bookmarkEnd w:id="47"/>
      <w:bookmarkEnd w:id="48"/>
    </w:p>
    <w:p>
      <w:pPr>
        <w:pStyle w:val="23"/>
        <w:ind w:firstLine="320"/>
        <w:rPr>
          <w:sz w:val="16"/>
        </w:rPr>
      </w:pPr>
      <w:r>
        <w:rPr>
          <w:rFonts w:hint="eastAsia"/>
          <w:sz w:val="16"/>
        </w:rPr>
        <w:t>按生产流程、区域位置、装置、作业任务、生产阶段／服务阶段或部门划分。包括但不限于：</w:t>
      </w:r>
    </w:p>
    <w:p>
      <w:pPr>
        <w:pStyle w:val="31"/>
        <w:rPr>
          <w:sz w:val="16"/>
        </w:rPr>
      </w:pPr>
      <w:r>
        <w:rPr>
          <w:rFonts w:hint="eastAsia"/>
          <w:sz w:val="16"/>
        </w:rPr>
        <w:t>日常操作：工艺、设备设施操作、现场巡检；</w:t>
      </w:r>
    </w:p>
    <w:p>
      <w:pPr>
        <w:pStyle w:val="31"/>
        <w:rPr>
          <w:sz w:val="16"/>
        </w:rPr>
      </w:pPr>
      <w:r>
        <w:rPr>
          <w:rFonts w:hint="eastAsia"/>
          <w:sz w:val="16"/>
        </w:rPr>
        <w:t>异常情况处理：停水、停电、停气（汽）、停风、停止进料的处理，设备故障处理；</w:t>
      </w:r>
    </w:p>
    <w:p>
      <w:pPr>
        <w:pStyle w:val="31"/>
        <w:rPr>
          <w:sz w:val="16"/>
        </w:rPr>
      </w:pPr>
      <w:r>
        <w:rPr>
          <w:rFonts w:hint="eastAsia"/>
          <w:sz w:val="16"/>
        </w:rPr>
        <w:t>开停车：开车、停车及交付前的安全条件确认；</w:t>
      </w:r>
    </w:p>
    <w:p>
      <w:pPr>
        <w:pStyle w:val="31"/>
        <w:rPr>
          <w:sz w:val="16"/>
        </w:rPr>
      </w:pPr>
      <w:r>
        <w:rPr>
          <w:rFonts w:hint="eastAsia"/>
          <w:sz w:val="16"/>
        </w:rPr>
        <w:t>作业活动：动火、受限空间、高处、临时用电、动土、断路、吊装、盲板抽堵等特殊作业；采样分析、检尺、测温、设备检测（测厚、动态监测）、脱水排凝、人工加料（剂）、汽车装卸车、火车装卸车、成型包装、库房叉车转运、加热炉点火、机泵机组盘车、铁路槽车洗车、输煤机检查、清胶清聚合物、清罐内污油等危险作业；场地清理及绿化保洁、设备管线外保温防腐、机泵机组维修、仪表仪器维修、设备管线开启等其他作业；</w:t>
      </w:r>
    </w:p>
    <w:p>
      <w:pPr>
        <w:pStyle w:val="31"/>
        <w:rPr>
          <w:sz w:val="16"/>
        </w:rPr>
      </w:pPr>
      <w:r>
        <w:rPr>
          <w:rFonts w:hint="eastAsia"/>
          <w:sz w:val="16"/>
        </w:rPr>
        <w:t>管理活动：变更管理、现场监督检查、应急演练、公众聚集活动等；</w:t>
      </w:r>
    </w:p>
    <w:p>
      <w:pPr>
        <w:pStyle w:val="31"/>
        <w:rPr>
          <w:sz w:val="16"/>
        </w:rPr>
      </w:pPr>
      <w:r>
        <w:rPr>
          <w:rFonts w:hint="eastAsia"/>
          <w:sz w:val="16"/>
        </w:rPr>
        <w:t>按岗位工作任务和作业流程划分作业活动，填入《作业活动清单》（见附录A2）。</w:t>
      </w:r>
    </w:p>
    <w:p>
      <w:pPr>
        <w:pStyle w:val="25"/>
        <w:spacing w:before="312" w:after="312"/>
        <w:rPr>
          <w:sz w:val="16"/>
        </w:rPr>
      </w:pPr>
      <w:bookmarkStart w:id="49" w:name="_Toc479171768"/>
      <w:bookmarkStart w:id="50" w:name="_Toc11921459"/>
      <w:bookmarkStart w:id="51" w:name="_Toc479257313"/>
      <w:bookmarkStart w:id="52" w:name="_Toc479175355"/>
      <w:r>
        <w:rPr>
          <w:rFonts w:hint="eastAsia"/>
          <w:sz w:val="16"/>
        </w:rPr>
        <w:t>工作危害分析（</w:t>
      </w:r>
      <w:r>
        <w:rPr>
          <w:sz w:val="16"/>
        </w:rPr>
        <w:t>JHA</w:t>
      </w:r>
      <w:r>
        <w:rPr>
          <w:rFonts w:hint="eastAsia"/>
          <w:sz w:val="16"/>
        </w:rPr>
        <w:t>）评价步骤</w:t>
      </w:r>
      <w:bookmarkEnd w:id="49"/>
      <w:bookmarkEnd w:id="50"/>
      <w:bookmarkEnd w:id="51"/>
      <w:bookmarkEnd w:id="52"/>
    </w:p>
    <w:p>
      <w:pPr>
        <w:pStyle w:val="23"/>
        <w:ind w:firstLine="320"/>
        <w:rPr>
          <w:sz w:val="16"/>
        </w:rPr>
      </w:pPr>
      <w:r>
        <w:rPr>
          <w:rFonts w:hint="eastAsia"/>
          <w:sz w:val="16"/>
        </w:rPr>
        <w:t>评价步骤如下：</w:t>
      </w:r>
    </w:p>
    <w:p>
      <w:pPr>
        <w:pStyle w:val="32"/>
        <w:rPr>
          <w:sz w:val="16"/>
        </w:rPr>
      </w:pPr>
      <w:r>
        <w:rPr>
          <w:rFonts w:hint="eastAsia"/>
          <w:sz w:val="16"/>
        </w:rPr>
        <w:t>将《作业活动清单》中的每项活动分解为若干个相连的工作步骤；</w:t>
      </w:r>
    </w:p>
    <w:p>
      <w:pPr>
        <w:pStyle w:val="32"/>
        <w:rPr>
          <w:sz w:val="16"/>
        </w:rPr>
      </w:pPr>
      <w:r>
        <w:rPr>
          <w:rFonts w:hint="eastAsia"/>
          <w:sz w:val="16"/>
        </w:rPr>
        <w:t>根据GB/T 13861的规定，辨识每一步骤的危险源及潜在事件；</w:t>
      </w:r>
    </w:p>
    <w:p>
      <w:pPr>
        <w:pStyle w:val="32"/>
        <w:rPr>
          <w:sz w:val="16"/>
        </w:rPr>
      </w:pPr>
      <w:r>
        <w:rPr>
          <w:rFonts w:hint="eastAsia"/>
          <w:sz w:val="16"/>
        </w:rPr>
        <w:t>根据GB 6441规定，分析造成的后果；</w:t>
      </w:r>
    </w:p>
    <w:p>
      <w:pPr>
        <w:pStyle w:val="32"/>
        <w:rPr>
          <w:sz w:val="16"/>
        </w:rPr>
      </w:pPr>
      <w:r>
        <w:rPr>
          <w:rFonts w:hint="eastAsia"/>
          <w:sz w:val="16"/>
        </w:rPr>
        <w:t>识别现有控制措施。从工程控制、管理措施、培训教育、个体防护、应急处置等方面评估现有控制措施的有效性；</w:t>
      </w:r>
    </w:p>
    <w:p>
      <w:pPr>
        <w:pStyle w:val="32"/>
        <w:rPr>
          <w:sz w:val="16"/>
        </w:rPr>
      </w:pPr>
      <w:r>
        <w:rPr>
          <w:rFonts w:hint="eastAsia"/>
          <w:sz w:val="16"/>
        </w:rPr>
        <w:t>根据风险判定准则评估风险，判定等级；</w:t>
      </w:r>
    </w:p>
    <w:p>
      <w:pPr>
        <w:pStyle w:val="32"/>
        <w:rPr>
          <w:sz w:val="16"/>
        </w:rPr>
      </w:pPr>
      <w:r>
        <w:rPr>
          <w:rFonts w:hint="eastAsia"/>
          <w:sz w:val="16"/>
        </w:rPr>
        <w:t>将分析结果，填入《工作危害分析（JHA）评价记录》（见附录A4）中。</w:t>
      </w:r>
    </w:p>
    <w:p>
      <w:pPr>
        <w:pStyle w:val="26"/>
        <w:numPr>
          <w:ilvl w:val="0"/>
          <w:numId w:val="0"/>
        </w:numPr>
        <w:tabs>
          <w:tab w:val="clear" w:pos="720"/>
        </w:tabs>
        <w:jc w:val="both"/>
        <w:rPr>
          <w:sz w:val="16"/>
        </w:rPr>
      </w:pPr>
      <w:bookmarkStart w:id="53" w:name="_Toc483486623"/>
      <w:bookmarkStart w:id="54" w:name="_Toc483486533"/>
    </w:p>
    <w:p>
      <w:pPr>
        <w:pStyle w:val="26"/>
        <w:numPr>
          <w:ilvl w:val="0"/>
          <w:numId w:val="0"/>
        </w:numPr>
        <w:tabs>
          <w:tab w:val="clear" w:pos="720"/>
        </w:tabs>
        <w:rPr>
          <w:szCs w:val="24"/>
        </w:rPr>
      </w:pPr>
      <w:bookmarkStart w:id="55" w:name="_Toc11921460"/>
      <w:r>
        <w:rPr>
          <w:rFonts w:hint="eastAsia"/>
          <w:szCs w:val="24"/>
        </w:rPr>
        <w:t>（资料性附录）</w:t>
      </w:r>
      <w:r>
        <w:rPr>
          <w:szCs w:val="24"/>
        </w:rPr>
        <w:br w:type="textWrapping"/>
      </w:r>
      <w:r>
        <w:rPr>
          <w:rFonts w:hint="eastAsia"/>
          <w:szCs w:val="24"/>
        </w:rPr>
        <w:t>安全检查表法（SCL）</w:t>
      </w:r>
      <w:bookmarkEnd w:id="53"/>
      <w:bookmarkEnd w:id="54"/>
      <w:bookmarkEnd w:id="55"/>
    </w:p>
    <w:p>
      <w:pPr>
        <w:pStyle w:val="25"/>
        <w:numPr>
          <w:ilvl w:val="1"/>
          <w:numId w:val="0"/>
        </w:numPr>
        <w:tabs>
          <w:tab w:val="clear" w:pos="1440"/>
        </w:tabs>
        <w:spacing w:before="312" w:after="312"/>
        <w:ind w:left="720"/>
        <w:rPr>
          <w:b/>
          <w:bCs/>
          <w:sz w:val="16"/>
        </w:rPr>
      </w:pPr>
      <w:bookmarkStart w:id="56" w:name="_Toc479171770"/>
      <w:bookmarkStart w:id="57" w:name="_Toc11921461"/>
      <w:bookmarkStart w:id="58" w:name="_Toc479257315"/>
      <w:bookmarkStart w:id="59" w:name="_Toc479175357"/>
      <w:r>
        <w:rPr>
          <w:rFonts w:hint="eastAsia"/>
          <w:b/>
          <w:bCs/>
          <w:sz w:val="16"/>
        </w:rPr>
        <w:t>方法概述</w:t>
      </w:r>
      <w:bookmarkEnd w:id="56"/>
      <w:bookmarkEnd w:id="57"/>
      <w:bookmarkEnd w:id="58"/>
      <w:bookmarkEnd w:id="59"/>
    </w:p>
    <w:p>
      <w:pPr>
        <w:pStyle w:val="23"/>
        <w:ind w:firstLine="320"/>
        <w:rPr>
          <w:sz w:val="16"/>
        </w:rPr>
      </w:pPr>
      <w:r>
        <w:rPr>
          <w:rFonts w:hint="eastAsia"/>
          <w:sz w:val="16"/>
        </w:rPr>
        <w:t>依据相关的标准、规范，对工程、系统中已知的危险类别、设计缺陷以及与一般工艺设备、操作、管理有关的潜在危险有害因素进行判别检查。适用于对设备设施、建构筑物、安全间距、作业环境等存在的风险进行分析。包括编制安全检查表、列出设备设施清单、进行危险源辨识等步骤。</w:t>
      </w:r>
    </w:p>
    <w:p>
      <w:pPr>
        <w:pStyle w:val="25"/>
        <w:numPr>
          <w:ilvl w:val="1"/>
          <w:numId w:val="0"/>
        </w:numPr>
        <w:tabs>
          <w:tab w:val="clear" w:pos="1440"/>
        </w:tabs>
        <w:spacing w:before="312" w:after="312"/>
        <w:ind w:left="720"/>
        <w:rPr>
          <w:b/>
          <w:bCs/>
          <w:sz w:val="16"/>
        </w:rPr>
      </w:pPr>
      <w:bookmarkStart w:id="60" w:name="_Toc479171771"/>
      <w:bookmarkStart w:id="61" w:name="_Toc479257316"/>
      <w:bookmarkStart w:id="62" w:name="_Toc479175358"/>
      <w:bookmarkStart w:id="63" w:name="_Toc11921462"/>
      <w:r>
        <w:rPr>
          <w:rFonts w:hint="eastAsia"/>
          <w:b/>
          <w:bCs/>
          <w:sz w:val="16"/>
        </w:rPr>
        <w:t>安全检查表编制依据</w:t>
      </w:r>
      <w:bookmarkEnd w:id="60"/>
      <w:bookmarkEnd w:id="61"/>
      <w:bookmarkEnd w:id="62"/>
      <w:bookmarkEnd w:id="63"/>
    </w:p>
    <w:p>
      <w:pPr>
        <w:pStyle w:val="23"/>
        <w:ind w:firstLine="320"/>
        <w:rPr>
          <w:sz w:val="16"/>
        </w:rPr>
      </w:pPr>
      <w:r>
        <w:rPr>
          <w:rFonts w:hint="eastAsia"/>
          <w:sz w:val="16"/>
        </w:rPr>
        <w:t>编制依据包括：</w:t>
      </w:r>
    </w:p>
    <w:p>
      <w:pPr>
        <w:pStyle w:val="31"/>
        <w:rPr>
          <w:sz w:val="16"/>
        </w:rPr>
      </w:pPr>
      <w:r>
        <w:rPr>
          <w:rFonts w:hint="eastAsia"/>
          <w:sz w:val="16"/>
        </w:rPr>
        <w:t>有关法规、标准、规范及规定；</w:t>
      </w:r>
    </w:p>
    <w:p>
      <w:pPr>
        <w:pStyle w:val="31"/>
        <w:rPr>
          <w:sz w:val="16"/>
        </w:rPr>
      </w:pPr>
      <w:r>
        <w:rPr>
          <w:rFonts w:hint="eastAsia"/>
          <w:sz w:val="16"/>
        </w:rPr>
        <w:t>国内外事故案例和企业以往事故情况；</w:t>
      </w:r>
    </w:p>
    <w:p>
      <w:pPr>
        <w:pStyle w:val="31"/>
        <w:rPr>
          <w:sz w:val="16"/>
        </w:rPr>
      </w:pPr>
      <w:r>
        <w:rPr>
          <w:rFonts w:hint="eastAsia"/>
          <w:sz w:val="16"/>
        </w:rPr>
        <w:t>系统分析确定的危险部位及防范措施；</w:t>
      </w:r>
    </w:p>
    <w:p>
      <w:pPr>
        <w:pStyle w:val="31"/>
        <w:rPr>
          <w:sz w:val="16"/>
        </w:rPr>
      </w:pPr>
      <w:r>
        <w:rPr>
          <w:rFonts w:hint="eastAsia"/>
          <w:sz w:val="16"/>
        </w:rPr>
        <w:t>分析人员的经验和可靠的参考资料；</w:t>
      </w:r>
    </w:p>
    <w:p>
      <w:pPr>
        <w:pStyle w:val="31"/>
        <w:rPr>
          <w:sz w:val="16"/>
        </w:rPr>
      </w:pPr>
      <w:r>
        <w:rPr>
          <w:rFonts w:hint="eastAsia"/>
          <w:sz w:val="16"/>
        </w:rPr>
        <w:t>有关研究成果，同行业或类似行业检查表等。</w:t>
      </w:r>
    </w:p>
    <w:p>
      <w:pPr>
        <w:pStyle w:val="25"/>
        <w:numPr>
          <w:ilvl w:val="1"/>
          <w:numId w:val="0"/>
        </w:numPr>
        <w:tabs>
          <w:tab w:val="clear" w:pos="1440"/>
        </w:tabs>
        <w:spacing w:before="312" w:after="312"/>
        <w:ind w:left="720"/>
        <w:rPr>
          <w:b/>
          <w:bCs/>
          <w:sz w:val="16"/>
        </w:rPr>
      </w:pPr>
      <w:bookmarkStart w:id="64" w:name="_Toc479257317"/>
      <w:bookmarkStart w:id="65" w:name="_Toc11921463"/>
      <w:bookmarkStart w:id="66" w:name="_Toc479171772"/>
      <w:bookmarkStart w:id="67" w:name="_Toc479175359"/>
      <w:r>
        <w:rPr>
          <w:rFonts w:hint="eastAsia"/>
          <w:b/>
          <w:bCs/>
          <w:sz w:val="16"/>
        </w:rPr>
        <w:t>编制安全检查表</w:t>
      </w:r>
      <w:bookmarkEnd w:id="64"/>
      <w:bookmarkEnd w:id="65"/>
      <w:bookmarkEnd w:id="66"/>
      <w:bookmarkEnd w:id="67"/>
    </w:p>
    <w:p>
      <w:pPr>
        <w:pStyle w:val="23"/>
        <w:ind w:firstLine="320"/>
        <w:rPr>
          <w:sz w:val="16"/>
        </w:rPr>
      </w:pPr>
      <w:r>
        <w:rPr>
          <w:rFonts w:hint="eastAsia"/>
          <w:sz w:val="16"/>
        </w:rPr>
        <w:t>编制工作包括：</w:t>
      </w:r>
    </w:p>
    <w:p>
      <w:pPr>
        <w:pStyle w:val="31"/>
        <w:ind w:left="747" w:leftChars="202" w:hanging="323" w:hangingChars="202"/>
        <w:rPr>
          <w:sz w:val="16"/>
        </w:rPr>
      </w:pPr>
      <w:r>
        <w:rPr>
          <w:rFonts w:hint="eastAsia"/>
          <w:sz w:val="16"/>
        </w:rPr>
        <w:t>确定编制人员。包括熟悉系统的工段长、安全员、技术员、设备员等各方面人员；</w:t>
      </w:r>
    </w:p>
    <w:p>
      <w:pPr>
        <w:pStyle w:val="31"/>
        <w:ind w:left="747" w:leftChars="202" w:hanging="323" w:hangingChars="202"/>
        <w:rPr>
          <w:sz w:val="16"/>
        </w:rPr>
      </w:pPr>
      <w:r>
        <w:rPr>
          <w:rFonts w:hint="eastAsia"/>
          <w:sz w:val="16"/>
        </w:rPr>
        <w:t>熟悉系统。包括系统的结构、功能、工艺流程、操作条件、布置和已有的安全卫生设施。</w:t>
      </w:r>
    </w:p>
    <w:p>
      <w:pPr>
        <w:pStyle w:val="31"/>
        <w:ind w:left="747" w:leftChars="202" w:hanging="323" w:hangingChars="202"/>
        <w:rPr>
          <w:sz w:val="16"/>
        </w:rPr>
      </w:pPr>
      <w:r>
        <w:rPr>
          <w:rFonts w:hint="eastAsia"/>
          <w:sz w:val="16"/>
        </w:rPr>
        <w:t>收集资料。收集有关安全法律、法规、规程、标准、制度及本系统过去发生的事故事件资料，作为编制安全检查表的依据；</w:t>
      </w:r>
    </w:p>
    <w:p>
      <w:pPr>
        <w:pStyle w:val="31"/>
        <w:ind w:left="747" w:leftChars="202" w:hanging="323" w:hangingChars="202"/>
        <w:rPr>
          <w:sz w:val="16"/>
        </w:rPr>
      </w:pPr>
      <w:r>
        <w:rPr>
          <w:rFonts w:hint="eastAsia"/>
          <w:sz w:val="16"/>
        </w:rPr>
        <w:t>编制表格。确定检查项目、检查标准、不符合标准的情况及后果、安全控制措施等要素（参照附录A5中表5-1或表5-2相关栏目内容，可单独编制或直接采用该表）。</w:t>
      </w:r>
    </w:p>
    <w:p>
      <w:pPr>
        <w:pStyle w:val="25"/>
        <w:numPr>
          <w:ilvl w:val="1"/>
          <w:numId w:val="0"/>
        </w:numPr>
        <w:tabs>
          <w:tab w:val="clear" w:pos="1440"/>
        </w:tabs>
        <w:spacing w:before="312" w:after="312"/>
        <w:ind w:left="720"/>
        <w:rPr>
          <w:b/>
          <w:bCs/>
          <w:sz w:val="16"/>
        </w:rPr>
      </w:pPr>
      <w:bookmarkStart w:id="68" w:name="_Toc479171773"/>
      <w:bookmarkStart w:id="69" w:name="_Toc479175360"/>
      <w:bookmarkStart w:id="70" w:name="_Toc11921464"/>
      <w:bookmarkStart w:id="71" w:name="_Toc479257318"/>
      <w:r>
        <w:rPr>
          <w:rFonts w:hint="eastAsia"/>
          <w:b/>
          <w:bCs/>
          <w:sz w:val="16"/>
        </w:rPr>
        <w:t>安全检查表分析评价</w:t>
      </w:r>
      <w:bookmarkEnd w:id="68"/>
      <w:bookmarkEnd w:id="69"/>
      <w:bookmarkEnd w:id="70"/>
      <w:bookmarkEnd w:id="71"/>
    </w:p>
    <w:p>
      <w:pPr>
        <w:pStyle w:val="23"/>
        <w:ind w:firstLine="320"/>
        <w:rPr>
          <w:sz w:val="16"/>
        </w:rPr>
      </w:pPr>
      <w:r>
        <w:rPr>
          <w:rFonts w:hint="eastAsia"/>
          <w:sz w:val="16"/>
        </w:rPr>
        <w:t>分析评价步骤如下：</w:t>
      </w:r>
    </w:p>
    <w:p>
      <w:pPr>
        <w:pStyle w:val="31"/>
        <w:ind w:left="747" w:leftChars="202" w:hanging="323" w:hangingChars="202"/>
        <w:rPr>
          <w:sz w:val="16"/>
        </w:rPr>
      </w:pPr>
      <w:r>
        <w:rPr>
          <w:rFonts w:hint="eastAsia"/>
          <w:sz w:val="16"/>
        </w:rPr>
        <w:t>列出《设备设施清单》（见附录A3）；</w:t>
      </w:r>
    </w:p>
    <w:p>
      <w:pPr>
        <w:pStyle w:val="31"/>
        <w:ind w:left="747" w:leftChars="202" w:hanging="323" w:hangingChars="202"/>
        <w:rPr>
          <w:sz w:val="16"/>
        </w:rPr>
      </w:pPr>
      <w:r>
        <w:rPr>
          <w:rFonts w:hint="eastAsia"/>
          <w:sz w:val="16"/>
        </w:rPr>
        <w:t>依据《设备设施清单》，按功能或结构划分为若干危险源，对照安全检查表逐个分析潜在的危害；</w:t>
      </w:r>
    </w:p>
    <w:p>
      <w:pPr>
        <w:pStyle w:val="31"/>
        <w:ind w:left="747" w:leftChars="202" w:hanging="323" w:hangingChars="202"/>
        <w:rPr>
          <w:sz w:val="16"/>
        </w:rPr>
      </w:pPr>
      <w:r>
        <w:rPr>
          <w:rFonts w:hint="eastAsia"/>
          <w:sz w:val="16"/>
        </w:rPr>
        <w:t>对每个危险源，按照《安全检查表分析（</w:t>
      </w:r>
      <w:r>
        <w:rPr>
          <w:sz w:val="16"/>
        </w:rPr>
        <w:t>SCL</w:t>
      </w:r>
      <w:r>
        <w:rPr>
          <w:rFonts w:hint="eastAsia"/>
          <w:sz w:val="16"/>
        </w:rPr>
        <w:t>）评价记录》（见附录A5）进行全过程的系统分析和记录。</w:t>
      </w:r>
    </w:p>
    <w:p>
      <w:pPr>
        <w:pStyle w:val="25"/>
        <w:numPr>
          <w:ilvl w:val="1"/>
          <w:numId w:val="0"/>
        </w:numPr>
        <w:tabs>
          <w:tab w:val="clear" w:pos="1440"/>
        </w:tabs>
        <w:spacing w:before="312" w:after="312"/>
        <w:ind w:left="720"/>
        <w:rPr>
          <w:b/>
          <w:bCs/>
          <w:sz w:val="16"/>
        </w:rPr>
      </w:pPr>
      <w:bookmarkStart w:id="72" w:name="_Toc479257319"/>
      <w:bookmarkStart w:id="73" w:name="_Toc11921465"/>
      <w:bookmarkStart w:id="74" w:name="_Toc479175361"/>
      <w:bookmarkStart w:id="75" w:name="_Toc479171774"/>
      <w:r>
        <w:rPr>
          <w:rFonts w:hint="eastAsia"/>
          <w:b/>
          <w:bCs/>
          <w:sz w:val="16"/>
        </w:rPr>
        <w:t>检查表分析要求</w:t>
      </w:r>
      <w:bookmarkEnd w:id="72"/>
      <w:bookmarkEnd w:id="73"/>
      <w:bookmarkEnd w:id="74"/>
      <w:bookmarkEnd w:id="75"/>
    </w:p>
    <w:p>
      <w:pPr>
        <w:pStyle w:val="23"/>
        <w:ind w:firstLine="320"/>
        <w:rPr>
          <w:sz w:val="16"/>
        </w:rPr>
      </w:pPr>
      <w:r>
        <w:rPr>
          <w:rFonts w:hint="eastAsia"/>
          <w:sz w:val="16"/>
        </w:rPr>
        <w:t>综合考虑设备设施内外部和工艺危害。识别顺序：</w:t>
      </w:r>
    </w:p>
    <w:p>
      <w:pPr>
        <w:pStyle w:val="32"/>
        <w:numPr>
          <w:ilvl w:val="0"/>
          <w:numId w:val="9"/>
        </w:numPr>
        <w:rPr>
          <w:sz w:val="16"/>
        </w:rPr>
      </w:pPr>
      <w:r>
        <w:rPr>
          <w:rFonts w:hint="eastAsia"/>
          <w:sz w:val="16"/>
        </w:rPr>
        <w:t>厂址、地形、地貌、地质、周围环境、周边安全距离方面的危害；</w:t>
      </w:r>
    </w:p>
    <w:p>
      <w:pPr>
        <w:pStyle w:val="32"/>
        <w:rPr>
          <w:sz w:val="16"/>
        </w:rPr>
      </w:pPr>
      <w:r>
        <w:rPr>
          <w:rFonts w:hint="eastAsia"/>
          <w:sz w:val="16"/>
        </w:rPr>
        <w:t>厂区内平面布局、功能分区、设备设施布置、内部安全距离等方面的危害；</w:t>
      </w:r>
    </w:p>
    <w:p>
      <w:pPr>
        <w:pStyle w:val="32"/>
        <w:rPr>
          <w:sz w:val="16"/>
        </w:rPr>
      </w:pPr>
      <w:r>
        <w:rPr>
          <w:rFonts w:hint="eastAsia"/>
          <w:sz w:val="16"/>
        </w:rPr>
        <w:t>具体的建构筑物等。</w:t>
      </w:r>
    </w:p>
    <w:p>
      <w:pPr>
        <w:pStyle w:val="27"/>
        <w:spacing w:line="240" w:lineRule="auto"/>
        <w:rPr>
          <w:sz w:val="16"/>
        </w:rPr>
      </w:pPr>
      <w:bookmarkStart w:id="76" w:name="_Toc11921466"/>
      <w:bookmarkEnd w:id="76"/>
    </w:p>
    <w:p>
      <w:pPr>
        <w:pStyle w:val="28"/>
        <w:tabs>
          <w:tab w:val="clear" w:pos="720"/>
        </w:tabs>
        <w:spacing w:line="240" w:lineRule="auto"/>
        <w:rPr>
          <w:sz w:val="16"/>
        </w:rPr>
      </w:pPr>
    </w:p>
    <w:p>
      <w:pPr>
        <w:pStyle w:val="26"/>
        <w:numPr>
          <w:ilvl w:val="0"/>
          <w:numId w:val="0"/>
        </w:numPr>
        <w:tabs>
          <w:tab w:val="clear" w:pos="720"/>
        </w:tabs>
        <w:rPr>
          <w:szCs w:val="24"/>
        </w:rPr>
      </w:pPr>
      <w:r>
        <w:rPr>
          <w:sz w:val="16"/>
        </w:rPr>
        <w:br w:type="textWrapping"/>
      </w:r>
      <w:bookmarkStart w:id="77" w:name="_Toc11921467"/>
      <w:bookmarkStart w:id="78" w:name="_Toc483486534"/>
      <w:bookmarkStart w:id="79" w:name="_Toc483486624"/>
      <w:r>
        <w:rPr>
          <w:rFonts w:hint="eastAsia"/>
          <w:szCs w:val="24"/>
        </w:rPr>
        <w:t>（资料性附录）</w:t>
      </w:r>
      <w:r>
        <w:rPr>
          <w:szCs w:val="24"/>
        </w:rPr>
        <w:br w:type="textWrapping"/>
      </w:r>
      <w:r>
        <w:rPr>
          <w:rFonts w:hint="eastAsia"/>
          <w:szCs w:val="24"/>
        </w:rPr>
        <w:t>风险矩阵法（LS）</w:t>
      </w:r>
      <w:bookmarkEnd w:id="77"/>
      <w:bookmarkEnd w:id="78"/>
      <w:bookmarkEnd w:id="79"/>
    </w:p>
    <w:p>
      <w:pPr>
        <w:pStyle w:val="23"/>
        <w:ind w:firstLine="320"/>
        <w:rPr>
          <w:sz w:val="16"/>
        </w:rPr>
      </w:pPr>
      <w:r>
        <w:rPr>
          <w:rFonts w:hint="eastAsia"/>
          <w:sz w:val="16"/>
        </w:rPr>
        <w:t>风险矩阵法（简称LS），</w:t>
      </w:r>
      <w:r>
        <w:rPr>
          <w:sz w:val="16"/>
        </w:rPr>
        <w:t>R=L</w:t>
      </w:r>
      <w:r>
        <w:rPr>
          <w:rFonts w:hint="eastAsia"/>
          <w:sz w:val="16"/>
        </w:rPr>
        <w:t>×</w:t>
      </w:r>
      <w:r>
        <w:rPr>
          <w:sz w:val="16"/>
        </w:rPr>
        <w:t>S</w:t>
      </w:r>
      <w:r>
        <w:rPr>
          <w:rFonts w:hint="eastAsia"/>
          <w:sz w:val="16"/>
        </w:rPr>
        <w:t xml:space="preserve"> ，其中R是危险性（也称风险度），事故发生的可能性与事件后果的结合， L是事故发生的可能性；</w:t>
      </w:r>
      <w:r>
        <w:rPr>
          <w:sz w:val="16"/>
        </w:rPr>
        <w:t>S</w:t>
      </w:r>
      <w:r>
        <w:rPr>
          <w:rFonts w:hint="eastAsia"/>
          <w:sz w:val="16"/>
        </w:rPr>
        <w:t>是事故后果严重性；R值越大，说明该系统危险性大、风险大。</w:t>
      </w:r>
    </w:p>
    <w:p>
      <w:pPr>
        <w:pStyle w:val="24"/>
        <w:spacing w:before="156" w:after="156"/>
        <w:rPr>
          <w:sz w:val="16"/>
        </w:rPr>
      </w:pPr>
      <w:bookmarkStart w:id="80" w:name="_Toc479257321"/>
      <w:bookmarkStart w:id="81" w:name="_Toc479175363"/>
      <w:bookmarkStart w:id="82" w:name="_Toc479171776"/>
      <w:r>
        <w:rPr>
          <w:rFonts w:hint="eastAsia"/>
          <w:sz w:val="16"/>
        </w:rPr>
        <w:t>事故发生的可能性（</w:t>
      </w:r>
      <w:r>
        <w:rPr>
          <w:sz w:val="16"/>
        </w:rPr>
        <w:t>L</w:t>
      </w:r>
      <w:r>
        <w:rPr>
          <w:rFonts w:hint="eastAsia"/>
          <w:sz w:val="16"/>
        </w:rPr>
        <w:t>）判断准则</w:t>
      </w:r>
      <w:bookmarkEnd w:id="80"/>
      <w:bookmarkEnd w:id="81"/>
      <w:bookmarkEnd w:id="82"/>
    </w:p>
    <w:tbl>
      <w:tblPr>
        <w:tblStyle w:val="1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7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10" w:type="dxa"/>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等级</w:t>
            </w:r>
          </w:p>
        </w:tc>
        <w:tc>
          <w:tcPr>
            <w:tcW w:w="7612" w:type="dxa"/>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910" w:type="dxa"/>
            <w:vAlign w:val="center"/>
          </w:tcPr>
          <w:p>
            <w:pPr>
              <w:autoSpaceDE w:val="0"/>
              <w:autoSpaceDN w:val="0"/>
              <w:adjustRightInd w:val="0"/>
              <w:snapToGrid w:val="0"/>
              <w:jc w:val="center"/>
              <w:rPr>
                <w:rFonts w:ascii="宋体" w:hAnsi="宋体"/>
                <w:sz w:val="16"/>
                <w:szCs w:val="18"/>
              </w:rPr>
            </w:pPr>
            <w:r>
              <w:rPr>
                <w:rFonts w:ascii="宋体" w:hAnsi="宋体" w:cs="仿宋_GB2312"/>
                <w:sz w:val="16"/>
                <w:szCs w:val="18"/>
              </w:rPr>
              <w:t>5</w:t>
            </w:r>
          </w:p>
        </w:tc>
        <w:tc>
          <w:tcPr>
            <w:tcW w:w="7612"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在现场没有采取防范、监测、保护、控制措施，或危害的发生不能被发现（没有监测系统），或在正常情况下经常发生此类事故或事件。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910" w:type="dxa"/>
            <w:vAlign w:val="center"/>
          </w:tcPr>
          <w:p>
            <w:pPr>
              <w:autoSpaceDE w:val="0"/>
              <w:autoSpaceDN w:val="0"/>
              <w:adjustRightInd w:val="0"/>
              <w:snapToGrid w:val="0"/>
              <w:jc w:val="center"/>
              <w:rPr>
                <w:rFonts w:ascii="宋体" w:hAnsi="宋体" w:cs="仿宋_GB2312"/>
                <w:sz w:val="16"/>
                <w:szCs w:val="18"/>
              </w:rPr>
            </w:pPr>
            <w:r>
              <w:rPr>
                <w:rFonts w:ascii="宋体" w:hAnsi="宋体" w:cs="仿宋_GB2312"/>
                <w:sz w:val="16"/>
                <w:szCs w:val="18"/>
              </w:rPr>
              <w:t>4</w:t>
            </w:r>
          </w:p>
        </w:tc>
        <w:tc>
          <w:tcPr>
            <w:tcW w:w="7612"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危害的发生不容易被发现，现场没有检测系统，也未发生过任何监测，或在现场有控制措施，但未有效执行或控制措施不当，或危害发生或预期情况下发生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910" w:type="dxa"/>
            <w:vAlign w:val="center"/>
          </w:tcPr>
          <w:p>
            <w:pPr>
              <w:autoSpaceDE w:val="0"/>
              <w:autoSpaceDN w:val="0"/>
              <w:adjustRightInd w:val="0"/>
              <w:snapToGrid w:val="0"/>
              <w:jc w:val="center"/>
              <w:rPr>
                <w:rFonts w:ascii="宋体" w:hAnsi="宋体" w:cs="仿宋_GB2312"/>
                <w:sz w:val="16"/>
                <w:szCs w:val="18"/>
              </w:rPr>
            </w:pPr>
            <w:r>
              <w:rPr>
                <w:rFonts w:ascii="宋体" w:hAnsi="宋体" w:cs="仿宋_GB2312"/>
                <w:sz w:val="16"/>
                <w:szCs w:val="18"/>
              </w:rPr>
              <w:t>3</w:t>
            </w:r>
          </w:p>
        </w:tc>
        <w:tc>
          <w:tcPr>
            <w:tcW w:w="7612"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没有保护措施（如没有保护装置、没有个人防护用品等），或未严格按操作程序执行，或危害的发生容易被发现（现场有监测系统），或曾经作过监测，或过去曾经发生类似事故或事件。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910" w:type="dxa"/>
            <w:vAlign w:val="center"/>
          </w:tcPr>
          <w:p>
            <w:pPr>
              <w:autoSpaceDE w:val="0"/>
              <w:autoSpaceDN w:val="0"/>
              <w:adjustRightInd w:val="0"/>
              <w:snapToGrid w:val="0"/>
              <w:jc w:val="center"/>
              <w:rPr>
                <w:rFonts w:ascii="宋体" w:hAnsi="宋体" w:cs="仿宋_GB2312"/>
                <w:sz w:val="16"/>
                <w:szCs w:val="18"/>
              </w:rPr>
            </w:pPr>
            <w:r>
              <w:rPr>
                <w:rFonts w:ascii="宋体" w:hAnsi="宋体" w:cs="仿宋_GB2312"/>
                <w:sz w:val="16"/>
                <w:szCs w:val="18"/>
              </w:rPr>
              <w:t>2</w:t>
            </w:r>
          </w:p>
        </w:tc>
        <w:tc>
          <w:tcPr>
            <w:tcW w:w="7612"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危害一旦发生能及时发现，并定期进行监测，或现场有防范控制措施，并能有效执行，或过去偶尔发生事故或事件。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910" w:type="dxa"/>
            <w:vAlign w:val="center"/>
          </w:tcPr>
          <w:p>
            <w:pPr>
              <w:autoSpaceDE w:val="0"/>
              <w:autoSpaceDN w:val="0"/>
              <w:adjustRightInd w:val="0"/>
              <w:snapToGrid w:val="0"/>
              <w:jc w:val="center"/>
              <w:rPr>
                <w:rFonts w:ascii="宋体" w:hAnsi="宋体" w:cs="仿宋_GB2312"/>
                <w:sz w:val="16"/>
                <w:szCs w:val="18"/>
              </w:rPr>
            </w:pPr>
            <w:r>
              <w:rPr>
                <w:rFonts w:ascii="宋体" w:hAnsi="宋体" w:cs="仿宋_GB2312"/>
                <w:sz w:val="16"/>
                <w:szCs w:val="18"/>
              </w:rPr>
              <w:t>1</w:t>
            </w:r>
          </w:p>
        </w:tc>
        <w:tc>
          <w:tcPr>
            <w:tcW w:w="7612"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有充分、有效的防范、控制、监测、保护措施，或员工安全卫生意识相当高，严格执行操作规程。极不可能发生事故或事件。</w:t>
            </w:r>
          </w:p>
        </w:tc>
      </w:tr>
    </w:tbl>
    <w:p>
      <w:pPr>
        <w:adjustRightInd w:val="0"/>
        <w:snapToGrid w:val="0"/>
        <w:rPr>
          <w:rFonts w:ascii="宋体" w:hAnsi="宋体"/>
          <w:szCs w:val="28"/>
        </w:rPr>
      </w:pPr>
    </w:p>
    <w:p>
      <w:pPr>
        <w:pStyle w:val="24"/>
        <w:spacing w:before="156" w:after="156"/>
        <w:rPr>
          <w:sz w:val="16"/>
        </w:rPr>
      </w:pPr>
      <w:bookmarkStart w:id="83" w:name="_Toc479257322"/>
      <w:bookmarkStart w:id="84" w:name="_Toc479175364"/>
      <w:bookmarkStart w:id="85" w:name="_Toc479171777"/>
      <w:r>
        <w:rPr>
          <w:rFonts w:hint="eastAsia"/>
          <w:sz w:val="16"/>
        </w:rPr>
        <w:t>事件后果严重性（</w:t>
      </w:r>
      <w:r>
        <w:rPr>
          <w:sz w:val="16"/>
        </w:rPr>
        <w:t>S</w:t>
      </w:r>
      <w:r>
        <w:rPr>
          <w:rFonts w:hint="eastAsia"/>
          <w:sz w:val="16"/>
        </w:rPr>
        <w:t>）判别准则</w:t>
      </w:r>
      <w:bookmarkEnd w:id="83"/>
      <w:bookmarkEnd w:id="84"/>
      <w:bookmarkEnd w:id="85"/>
    </w:p>
    <w:tbl>
      <w:tblPr>
        <w:tblStyle w:val="11"/>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908"/>
        <w:gridCol w:w="1158"/>
        <w:gridCol w:w="1354"/>
        <w:gridCol w:w="1729"/>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1" w:type="dxa"/>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等级</w:t>
            </w:r>
          </w:p>
        </w:tc>
        <w:tc>
          <w:tcPr>
            <w:tcW w:w="1908" w:type="dxa"/>
            <w:vAlign w:val="center"/>
          </w:tcPr>
          <w:p>
            <w:pPr>
              <w:autoSpaceDE w:val="0"/>
              <w:autoSpaceDN w:val="0"/>
              <w:adjustRightInd w:val="0"/>
              <w:snapToGrid w:val="0"/>
              <w:jc w:val="center"/>
              <w:rPr>
                <w:rFonts w:ascii="宋体" w:hAnsi="宋体" w:cs="仿宋_GB2312"/>
                <w:b/>
                <w:sz w:val="16"/>
                <w:szCs w:val="18"/>
              </w:rPr>
            </w:pPr>
            <w:r>
              <w:rPr>
                <w:rFonts w:hint="eastAsia" w:ascii="宋体" w:hAnsi="宋体" w:cs="仿宋_GB2312"/>
                <w:b/>
                <w:sz w:val="16"/>
                <w:szCs w:val="18"/>
              </w:rPr>
              <w:t>法律、法规</w:t>
            </w:r>
          </w:p>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及其他要求</w:t>
            </w:r>
          </w:p>
        </w:tc>
        <w:tc>
          <w:tcPr>
            <w:tcW w:w="1158" w:type="dxa"/>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人员</w:t>
            </w:r>
          </w:p>
        </w:tc>
        <w:tc>
          <w:tcPr>
            <w:tcW w:w="1354" w:type="dxa"/>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直接经济损失</w:t>
            </w:r>
          </w:p>
        </w:tc>
        <w:tc>
          <w:tcPr>
            <w:tcW w:w="1729" w:type="dxa"/>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停工</w:t>
            </w:r>
          </w:p>
        </w:tc>
        <w:tc>
          <w:tcPr>
            <w:tcW w:w="1473" w:type="dxa"/>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企业形象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1" w:type="dxa"/>
            <w:vAlign w:val="center"/>
          </w:tcPr>
          <w:p>
            <w:pPr>
              <w:autoSpaceDE w:val="0"/>
              <w:autoSpaceDN w:val="0"/>
              <w:adjustRightInd w:val="0"/>
              <w:snapToGrid w:val="0"/>
              <w:jc w:val="center"/>
              <w:rPr>
                <w:rFonts w:ascii="宋体" w:hAnsi="宋体" w:cs="仿宋_GB2312"/>
                <w:sz w:val="16"/>
                <w:szCs w:val="18"/>
              </w:rPr>
            </w:pPr>
            <w:r>
              <w:rPr>
                <w:rFonts w:ascii="宋体" w:hAnsi="宋体" w:cs="仿宋_GB2312"/>
                <w:sz w:val="16"/>
                <w:szCs w:val="18"/>
              </w:rPr>
              <w:t>5</w:t>
            </w:r>
          </w:p>
        </w:tc>
        <w:tc>
          <w:tcPr>
            <w:tcW w:w="190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违反法律、法规和标准</w:t>
            </w:r>
          </w:p>
        </w:tc>
        <w:tc>
          <w:tcPr>
            <w:tcW w:w="115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死亡</w:t>
            </w:r>
          </w:p>
        </w:tc>
        <w:tc>
          <w:tcPr>
            <w:tcW w:w="1354"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100万元以上</w:t>
            </w:r>
          </w:p>
        </w:tc>
        <w:tc>
          <w:tcPr>
            <w:tcW w:w="1729"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部分装置（</w:t>
            </w:r>
            <w:r>
              <w:rPr>
                <w:rFonts w:ascii="宋体" w:hAnsi="宋体" w:cs="仿宋_GB2312"/>
                <w:sz w:val="16"/>
                <w:szCs w:val="18"/>
              </w:rPr>
              <w:t xml:space="preserve">&gt;2 </w:t>
            </w:r>
            <w:r>
              <w:rPr>
                <w:rFonts w:hint="eastAsia" w:ascii="宋体" w:hAnsi="宋体" w:cs="仿宋_GB2312"/>
                <w:sz w:val="16"/>
                <w:szCs w:val="18"/>
              </w:rPr>
              <w:t>套）或设备</w:t>
            </w:r>
          </w:p>
        </w:tc>
        <w:tc>
          <w:tcPr>
            <w:tcW w:w="1473"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重大国际影响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1" w:type="dxa"/>
            <w:vAlign w:val="center"/>
          </w:tcPr>
          <w:p>
            <w:pPr>
              <w:autoSpaceDE w:val="0"/>
              <w:autoSpaceDN w:val="0"/>
              <w:adjustRightInd w:val="0"/>
              <w:snapToGrid w:val="0"/>
              <w:jc w:val="center"/>
              <w:rPr>
                <w:rFonts w:ascii="宋体" w:hAnsi="宋体" w:cs="仿宋_GB2312"/>
                <w:sz w:val="16"/>
                <w:szCs w:val="18"/>
              </w:rPr>
            </w:pPr>
            <w:r>
              <w:rPr>
                <w:rFonts w:ascii="宋体" w:hAnsi="宋体" w:cs="仿宋_GB2312"/>
                <w:sz w:val="16"/>
                <w:szCs w:val="18"/>
              </w:rPr>
              <w:t>4</w:t>
            </w:r>
          </w:p>
        </w:tc>
        <w:tc>
          <w:tcPr>
            <w:tcW w:w="190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潜在违反法规和标准</w:t>
            </w:r>
          </w:p>
        </w:tc>
        <w:tc>
          <w:tcPr>
            <w:tcW w:w="115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丧失劳动能力</w:t>
            </w:r>
          </w:p>
        </w:tc>
        <w:tc>
          <w:tcPr>
            <w:tcW w:w="1354"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50万元以上</w:t>
            </w:r>
          </w:p>
        </w:tc>
        <w:tc>
          <w:tcPr>
            <w:tcW w:w="1729" w:type="dxa"/>
            <w:vAlign w:val="center"/>
          </w:tcPr>
          <w:p>
            <w:pPr>
              <w:autoSpaceDE w:val="0"/>
              <w:autoSpaceDN w:val="0"/>
              <w:adjustRightInd w:val="0"/>
              <w:snapToGrid w:val="0"/>
              <w:rPr>
                <w:rFonts w:ascii="宋体" w:hAnsi="宋体"/>
                <w:sz w:val="16"/>
                <w:szCs w:val="18"/>
              </w:rPr>
            </w:pPr>
            <w:r>
              <w:rPr>
                <w:rFonts w:ascii="宋体" w:hAnsi="宋体" w:cs="仿宋_GB2312"/>
                <w:sz w:val="16"/>
                <w:szCs w:val="18"/>
              </w:rPr>
              <w:t>2</w:t>
            </w:r>
            <w:r>
              <w:rPr>
                <w:rFonts w:hint="eastAsia" w:ascii="宋体" w:hAnsi="宋体" w:cs="仿宋_GB2312"/>
                <w:sz w:val="16"/>
                <w:szCs w:val="18"/>
              </w:rPr>
              <w:t>套装置停工、或设备停工</w:t>
            </w:r>
          </w:p>
        </w:tc>
        <w:tc>
          <w:tcPr>
            <w:tcW w:w="1473"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行业内、省内影响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1" w:type="dxa"/>
            <w:vAlign w:val="center"/>
          </w:tcPr>
          <w:p>
            <w:pPr>
              <w:autoSpaceDE w:val="0"/>
              <w:autoSpaceDN w:val="0"/>
              <w:adjustRightInd w:val="0"/>
              <w:snapToGrid w:val="0"/>
              <w:jc w:val="center"/>
              <w:rPr>
                <w:rFonts w:ascii="宋体" w:hAnsi="宋体" w:cs="仿宋_GB2312"/>
                <w:sz w:val="16"/>
                <w:szCs w:val="18"/>
              </w:rPr>
            </w:pPr>
            <w:r>
              <w:rPr>
                <w:rFonts w:ascii="宋体" w:hAnsi="宋体" w:cs="仿宋_GB2312"/>
                <w:sz w:val="16"/>
                <w:szCs w:val="18"/>
              </w:rPr>
              <w:t>3</w:t>
            </w:r>
          </w:p>
        </w:tc>
        <w:tc>
          <w:tcPr>
            <w:tcW w:w="190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不符合上级公司或行业的安全方针、制度、规定等</w:t>
            </w:r>
          </w:p>
        </w:tc>
        <w:tc>
          <w:tcPr>
            <w:tcW w:w="115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截肢、骨折、听力丧失、慢性病</w:t>
            </w:r>
          </w:p>
        </w:tc>
        <w:tc>
          <w:tcPr>
            <w:tcW w:w="1354"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1万元以上</w:t>
            </w:r>
          </w:p>
        </w:tc>
        <w:tc>
          <w:tcPr>
            <w:tcW w:w="1729" w:type="dxa"/>
            <w:vAlign w:val="center"/>
          </w:tcPr>
          <w:p>
            <w:pPr>
              <w:autoSpaceDE w:val="0"/>
              <w:autoSpaceDN w:val="0"/>
              <w:adjustRightInd w:val="0"/>
              <w:snapToGrid w:val="0"/>
              <w:rPr>
                <w:rFonts w:ascii="宋体" w:hAnsi="宋体"/>
                <w:sz w:val="16"/>
                <w:szCs w:val="18"/>
              </w:rPr>
            </w:pPr>
            <w:r>
              <w:rPr>
                <w:rFonts w:ascii="宋体" w:hAnsi="宋体" w:cs="仿宋_GB2312"/>
                <w:sz w:val="16"/>
                <w:szCs w:val="18"/>
              </w:rPr>
              <w:t xml:space="preserve">1 </w:t>
            </w:r>
            <w:r>
              <w:rPr>
                <w:rFonts w:hint="eastAsia" w:ascii="宋体" w:hAnsi="宋体" w:cs="仿宋_GB2312"/>
                <w:sz w:val="16"/>
                <w:szCs w:val="18"/>
              </w:rPr>
              <w:t>套装置停工或设备</w:t>
            </w:r>
          </w:p>
        </w:tc>
        <w:tc>
          <w:tcPr>
            <w:tcW w:w="1473"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地区影响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1" w:type="dxa"/>
            <w:vAlign w:val="center"/>
          </w:tcPr>
          <w:p>
            <w:pPr>
              <w:autoSpaceDE w:val="0"/>
              <w:autoSpaceDN w:val="0"/>
              <w:adjustRightInd w:val="0"/>
              <w:snapToGrid w:val="0"/>
              <w:jc w:val="center"/>
              <w:rPr>
                <w:rFonts w:ascii="宋体" w:hAnsi="宋体" w:cs="仿宋_GB2312"/>
                <w:sz w:val="16"/>
                <w:szCs w:val="18"/>
              </w:rPr>
            </w:pPr>
            <w:r>
              <w:rPr>
                <w:rFonts w:ascii="宋体" w:hAnsi="宋体" w:cs="仿宋_GB2312"/>
                <w:sz w:val="16"/>
                <w:szCs w:val="18"/>
              </w:rPr>
              <w:t>2</w:t>
            </w:r>
          </w:p>
        </w:tc>
        <w:tc>
          <w:tcPr>
            <w:tcW w:w="190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不符合企业的安全操作程序、规定</w:t>
            </w:r>
          </w:p>
        </w:tc>
        <w:tc>
          <w:tcPr>
            <w:tcW w:w="115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轻微受伤、间歇不舒服</w:t>
            </w:r>
          </w:p>
        </w:tc>
        <w:tc>
          <w:tcPr>
            <w:tcW w:w="1354" w:type="dxa"/>
            <w:vAlign w:val="center"/>
          </w:tcPr>
          <w:p>
            <w:pPr>
              <w:autoSpaceDE w:val="0"/>
              <w:autoSpaceDN w:val="0"/>
              <w:adjustRightInd w:val="0"/>
              <w:snapToGrid w:val="0"/>
              <w:rPr>
                <w:rFonts w:ascii="宋体" w:hAnsi="宋体"/>
                <w:sz w:val="16"/>
                <w:szCs w:val="18"/>
              </w:rPr>
            </w:pPr>
            <w:r>
              <w:rPr>
                <w:rFonts w:ascii="宋体" w:hAnsi="宋体" w:cs="仿宋_GB2312"/>
                <w:sz w:val="16"/>
                <w:szCs w:val="18"/>
              </w:rPr>
              <w:t>1</w:t>
            </w:r>
            <w:r>
              <w:rPr>
                <w:rFonts w:hint="eastAsia" w:ascii="宋体" w:hAnsi="宋体" w:cs="仿宋_GB2312"/>
                <w:sz w:val="16"/>
                <w:szCs w:val="18"/>
              </w:rPr>
              <w:t>万元以下</w:t>
            </w:r>
          </w:p>
        </w:tc>
        <w:tc>
          <w:tcPr>
            <w:tcW w:w="1729"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受影响不大，几乎不停工</w:t>
            </w:r>
          </w:p>
        </w:tc>
        <w:tc>
          <w:tcPr>
            <w:tcW w:w="1473"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公司及周边范围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1" w:type="dxa"/>
            <w:vAlign w:val="center"/>
          </w:tcPr>
          <w:p>
            <w:pPr>
              <w:autoSpaceDE w:val="0"/>
              <w:autoSpaceDN w:val="0"/>
              <w:adjustRightInd w:val="0"/>
              <w:snapToGrid w:val="0"/>
              <w:jc w:val="center"/>
              <w:rPr>
                <w:rFonts w:ascii="宋体" w:hAnsi="宋体" w:cs="仿宋_GB2312"/>
                <w:sz w:val="16"/>
                <w:szCs w:val="18"/>
              </w:rPr>
            </w:pPr>
            <w:r>
              <w:rPr>
                <w:rFonts w:ascii="宋体" w:hAnsi="宋体" w:cs="仿宋_GB2312"/>
                <w:sz w:val="16"/>
                <w:szCs w:val="18"/>
              </w:rPr>
              <w:t>1</w:t>
            </w:r>
          </w:p>
        </w:tc>
        <w:tc>
          <w:tcPr>
            <w:tcW w:w="190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完全符合</w:t>
            </w:r>
          </w:p>
        </w:tc>
        <w:tc>
          <w:tcPr>
            <w:tcW w:w="115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无伤亡</w:t>
            </w:r>
          </w:p>
        </w:tc>
        <w:tc>
          <w:tcPr>
            <w:tcW w:w="1354"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无损失</w:t>
            </w:r>
          </w:p>
        </w:tc>
        <w:tc>
          <w:tcPr>
            <w:tcW w:w="1729"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没有停工</w:t>
            </w:r>
          </w:p>
        </w:tc>
        <w:tc>
          <w:tcPr>
            <w:tcW w:w="1473"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形象没有受损</w:t>
            </w:r>
          </w:p>
        </w:tc>
      </w:tr>
    </w:tbl>
    <w:p>
      <w:pPr>
        <w:pStyle w:val="3"/>
        <w:jc w:val="center"/>
        <w:rPr>
          <w:rFonts w:hint="default"/>
          <w:sz w:val="16"/>
          <w:szCs w:val="21"/>
        </w:rPr>
      </w:pPr>
    </w:p>
    <w:p>
      <w:pPr>
        <w:pStyle w:val="24"/>
        <w:spacing w:before="156" w:after="156"/>
        <w:rPr>
          <w:sz w:val="16"/>
        </w:rPr>
      </w:pPr>
      <w:bookmarkStart w:id="86" w:name="_Toc479171778"/>
      <w:bookmarkStart w:id="87" w:name="_Toc479257323"/>
      <w:bookmarkStart w:id="88" w:name="_Toc479175365"/>
      <w:r>
        <w:rPr>
          <w:rFonts w:hint="eastAsia"/>
          <w:sz w:val="16"/>
        </w:rPr>
        <w:t>安全风险等级判定准则（</w:t>
      </w:r>
      <w:r>
        <w:rPr>
          <w:sz w:val="16"/>
        </w:rPr>
        <w:t>R</w:t>
      </w:r>
      <w:r>
        <w:rPr>
          <w:rFonts w:hint="eastAsia"/>
          <w:sz w:val="16"/>
        </w:rPr>
        <w:t>值）及控制措施</w:t>
      </w:r>
      <w:bookmarkEnd w:id="86"/>
      <w:bookmarkEnd w:id="87"/>
      <w:bookmarkEnd w:id="88"/>
    </w:p>
    <w:tbl>
      <w:tblPr>
        <w:tblStyle w:val="11"/>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068"/>
        <w:gridCol w:w="708"/>
        <w:gridCol w:w="1034"/>
        <w:gridCol w:w="3721"/>
        <w:gridCol w:w="1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23" w:hRule="atLeast"/>
          <w:jc w:val="center"/>
        </w:trPr>
        <w:tc>
          <w:tcPr>
            <w:tcW w:w="1068" w:type="dxa"/>
            <w:shd w:val="clear" w:color="auto" w:fill="FFFFFF"/>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风险值</w:t>
            </w:r>
          </w:p>
        </w:tc>
        <w:tc>
          <w:tcPr>
            <w:tcW w:w="1742" w:type="dxa"/>
            <w:gridSpan w:val="2"/>
            <w:shd w:val="clear" w:color="auto" w:fill="FFFFFF"/>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风险等级</w:t>
            </w:r>
          </w:p>
        </w:tc>
        <w:tc>
          <w:tcPr>
            <w:tcW w:w="3721" w:type="dxa"/>
            <w:shd w:val="clear" w:color="auto" w:fill="FFFFFF"/>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应采取的行动</w:t>
            </w:r>
            <w:r>
              <w:rPr>
                <w:rFonts w:ascii="宋体" w:hAnsi="宋体" w:cs="仿宋_GB2312"/>
                <w:b/>
                <w:sz w:val="16"/>
                <w:szCs w:val="18"/>
              </w:rPr>
              <w:t>/</w:t>
            </w:r>
            <w:r>
              <w:rPr>
                <w:rFonts w:hint="eastAsia" w:ascii="宋体" w:hAnsi="宋体" w:cs="仿宋_GB2312"/>
                <w:b/>
                <w:sz w:val="16"/>
                <w:szCs w:val="18"/>
              </w:rPr>
              <w:t>控制措施</w:t>
            </w:r>
          </w:p>
        </w:tc>
        <w:tc>
          <w:tcPr>
            <w:tcW w:w="1992" w:type="dxa"/>
            <w:shd w:val="clear" w:color="auto" w:fill="FFFFFF"/>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实施期限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49" w:hRule="atLeast"/>
          <w:jc w:val="center"/>
        </w:trPr>
        <w:tc>
          <w:tcPr>
            <w:tcW w:w="1068" w:type="dxa"/>
            <w:shd w:val="clear" w:color="auto" w:fill="FFFFFF"/>
            <w:vAlign w:val="center"/>
          </w:tcPr>
          <w:p>
            <w:pPr>
              <w:autoSpaceDE w:val="0"/>
              <w:autoSpaceDN w:val="0"/>
              <w:adjustRightInd w:val="0"/>
              <w:snapToGrid w:val="0"/>
              <w:jc w:val="center"/>
              <w:rPr>
                <w:rFonts w:ascii="宋体" w:hAnsi="宋体"/>
                <w:sz w:val="16"/>
                <w:szCs w:val="18"/>
              </w:rPr>
            </w:pPr>
            <w:r>
              <w:rPr>
                <w:rFonts w:ascii="宋体" w:hAnsi="宋体"/>
                <w:sz w:val="16"/>
                <w:szCs w:val="18"/>
              </w:rPr>
              <w:t>20-25</w:t>
            </w:r>
          </w:p>
        </w:tc>
        <w:tc>
          <w:tcPr>
            <w:tcW w:w="708"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A/</w:t>
            </w:r>
            <w:r>
              <w:rPr>
                <w:rFonts w:ascii="宋体" w:hAnsi="宋体" w:cs="仿宋_GB2312"/>
                <w:sz w:val="16"/>
                <w:szCs w:val="18"/>
              </w:rPr>
              <w:t>1</w:t>
            </w:r>
            <w:r>
              <w:rPr>
                <w:rFonts w:hint="eastAsia" w:ascii="宋体" w:hAnsi="宋体" w:cs="仿宋_GB2312"/>
                <w:sz w:val="16"/>
                <w:szCs w:val="18"/>
              </w:rPr>
              <w:t>级</w:t>
            </w:r>
          </w:p>
        </w:tc>
        <w:tc>
          <w:tcPr>
            <w:tcW w:w="1034"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极其危险</w:t>
            </w:r>
          </w:p>
        </w:tc>
        <w:tc>
          <w:tcPr>
            <w:tcW w:w="3721" w:type="dxa"/>
            <w:shd w:val="clear" w:color="auto" w:fill="FFFFFF"/>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在采取措施降低危害前，不能继续作业，对改进措施进行评估</w:t>
            </w:r>
          </w:p>
        </w:tc>
        <w:tc>
          <w:tcPr>
            <w:tcW w:w="1992" w:type="dxa"/>
            <w:shd w:val="clear" w:color="auto" w:fill="FFFFFF"/>
            <w:vAlign w:val="center"/>
          </w:tcPr>
          <w:p>
            <w:pPr>
              <w:autoSpaceDE w:val="0"/>
              <w:autoSpaceDN w:val="0"/>
              <w:adjustRightInd w:val="0"/>
              <w:snapToGrid w:val="0"/>
              <w:jc w:val="left"/>
              <w:rPr>
                <w:rFonts w:ascii="宋体" w:hAnsi="宋体"/>
                <w:sz w:val="16"/>
                <w:szCs w:val="18"/>
              </w:rPr>
            </w:pPr>
            <w:r>
              <w:rPr>
                <w:rFonts w:hint="eastAsia" w:ascii="宋体" w:hAnsi="宋体" w:cs="仿宋_GB2312"/>
                <w:sz w:val="16"/>
                <w:szCs w:val="18"/>
              </w:rPr>
              <w:t>立刻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49" w:hRule="atLeast"/>
          <w:jc w:val="center"/>
        </w:trPr>
        <w:tc>
          <w:tcPr>
            <w:tcW w:w="1068" w:type="dxa"/>
            <w:shd w:val="clear" w:color="auto" w:fill="FFFFFF"/>
            <w:vAlign w:val="center"/>
          </w:tcPr>
          <w:p>
            <w:pPr>
              <w:autoSpaceDE w:val="0"/>
              <w:autoSpaceDN w:val="0"/>
              <w:adjustRightInd w:val="0"/>
              <w:snapToGrid w:val="0"/>
              <w:jc w:val="center"/>
              <w:rPr>
                <w:rFonts w:ascii="宋体" w:hAnsi="宋体"/>
                <w:sz w:val="16"/>
                <w:szCs w:val="18"/>
              </w:rPr>
            </w:pPr>
            <w:r>
              <w:rPr>
                <w:rFonts w:ascii="宋体" w:hAnsi="宋体"/>
                <w:sz w:val="16"/>
                <w:szCs w:val="18"/>
              </w:rPr>
              <w:t>15-16</w:t>
            </w:r>
          </w:p>
        </w:tc>
        <w:tc>
          <w:tcPr>
            <w:tcW w:w="708"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B/</w:t>
            </w:r>
            <w:r>
              <w:rPr>
                <w:rFonts w:ascii="宋体" w:hAnsi="宋体" w:cs="仿宋_GB2312"/>
                <w:sz w:val="16"/>
                <w:szCs w:val="18"/>
              </w:rPr>
              <w:t>2</w:t>
            </w:r>
            <w:r>
              <w:rPr>
                <w:rFonts w:hint="eastAsia" w:ascii="宋体" w:hAnsi="宋体" w:cs="仿宋_GB2312"/>
                <w:sz w:val="16"/>
                <w:szCs w:val="18"/>
              </w:rPr>
              <w:t>级</w:t>
            </w:r>
          </w:p>
        </w:tc>
        <w:tc>
          <w:tcPr>
            <w:tcW w:w="1034"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高度危险</w:t>
            </w:r>
          </w:p>
        </w:tc>
        <w:tc>
          <w:tcPr>
            <w:tcW w:w="3721" w:type="dxa"/>
            <w:shd w:val="clear" w:color="auto" w:fill="FFFFFF"/>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采取紧急措施降低风险，建立运行控制程序，定期检查、测量及评估</w:t>
            </w:r>
          </w:p>
        </w:tc>
        <w:tc>
          <w:tcPr>
            <w:tcW w:w="1992" w:type="dxa"/>
            <w:shd w:val="clear" w:color="auto" w:fill="FFFFFF"/>
            <w:vAlign w:val="center"/>
          </w:tcPr>
          <w:p>
            <w:pPr>
              <w:autoSpaceDE w:val="0"/>
              <w:autoSpaceDN w:val="0"/>
              <w:adjustRightInd w:val="0"/>
              <w:snapToGrid w:val="0"/>
              <w:jc w:val="left"/>
              <w:rPr>
                <w:rFonts w:ascii="宋体" w:hAnsi="宋体"/>
                <w:sz w:val="16"/>
                <w:szCs w:val="18"/>
              </w:rPr>
            </w:pPr>
            <w:r>
              <w:rPr>
                <w:rFonts w:hint="eastAsia" w:ascii="宋体" w:hAnsi="宋体" w:cs="仿宋_GB2312"/>
                <w:sz w:val="16"/>
                <w:szCs w:val="18"/>
              </w:rPr>
              <w:t>立即或近期整改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49" w:hRule="atLeast"/>
          <w:jc w:val="center"/>
        </w:trPr>
        <w:tc>
          <w:tcPr>
            <w:tcW w:w="1068" w:type="dxa"/>
            <w:shd w:val="clear" w:color="auto" w:fill="FFFFFF"/>
            <w:vAlign w:val="center"/>
          </w:tcPr>
          <w:p>
            <w:pPr>
              <w:autoSpaceDE w:val="0"/>
              <w:autoSpaceDN w:val="0"/>
              <w:adjustRightInd w:val="0"/>
              <w:snapToGrid w:val="0"/>
              <w:jc w:val="center"/>
              <w:rPr>
                <w:rFonts w:ascii="宋体" w:hAnsi="宋体"/>
                <w:sz w:val="16"/>
                <w:szCs w:val="18"/>
              </w:rPr>
            </w:pPr>
            <w:r>
              <w:rPr>
                <w:rFonts w:ascii="宋体" w:hAnsi="宋体"/>
                <w:sz w:val="16"/>
                <w:szCs w:val="18"/>
              </w:rPr>
              <w:t>9-12</w:t>
            </w:r>
          </w:p>
        </w:tc>
        <w:tc>
          <w:tcPr>
            <w:tcW w:w="708"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C/</w:t>
            </w:r>
            <w:r>
              <w:rPr>
                <w:rFonts w:ascii="宋体" w:hAnsi="宋体" w:cs="仿宋_GB2312"/>
                <w:sz w:val="16"/>
                <w:szCs w:val="18"/>
              </w:rPr>
              <w:t>3</w:t>
            </w:r>
            <w:r>
              <w:rPr>
                <w:rFonts w:hint="eastAsia" w:ascii="宋体" w:hAnsi="宋体" w:cs="仿宋_GB2312"/>
                <w:sz w:val="16"/>
                <w:szCs w:val="18"/>
              </w:rPr>
              <w:t>级</w:t>
            </w:r>
          </w:p>
        </w:tc>
        <w:tc>
          <w:tcPr>
            <w:tcW w:w="1034"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显著危险</w:t>
            </w:r>
          </w:p>
        </w:tc>
        <w:tc>
          <w:tcPr>
            <w:tcW w:w="3721" w:type="dxa"/>
            <w:shd w:val="clear" w:color="auto" w:fill="FFFFFF"/>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可考虑建立目标、建立操作规程，加强培训及沟通</w:t>
            </w:r>
          </w:p>
        </w:tc>
        <w:tc>
          <w:tcPr>
            <w:tcW w:w="1992" w:type="dxa"/>
            <w:shd w:val="clear" w:color="auto" w:fill="FFFFFF"/>
            <w:vAlign w:val="center"/>
          </w:tcPr>
          <w:p>
            <w:pPr>
              <w:autoSpaceDE w:val="0"/>
              <w:autoSpaceDN w:val="0"/>
              <w:adjustRightInd w:val="0"/>
              <w:snapToGrid w:val="0"/>
              <w:jc w:val="left"/>
              <w:rPr>
                <w:rFonts w:ascii="宋体" w:hAnsi="宋体"/>
                <w:sz w:val="16"/>
                <w:szCs w:val="18"/>
              </w:rPr>
            </w:pPr>
            <w:r>
              <w:rPr>
                <w:rFonts w:ascii="宋体" w:hAnsi="宋体" w:cs="仿宋_GB2312"/>
                <w:sz w:val="16"/>
                <w:szCs w:val="18"/>
              </w:rPr>
              <w:t xml:space="preserve">2 </w:t>
            </w:r>
            <w:r>
              <w:rPr>
                <w:rFonts w:hint="eastAsia" w:ascii="宋体" w:hAnsi="宋体" w:cs="仿宋_GB2312"/>
                <w:sz w:val="16"/>
                <w:szCs w:val="18"/>
              </w:rPr>
              <w:t>年内治理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49" w:hRule="atLeast"/>
          <w:jc w:val="center"/>
        </w:trPr>
        <w:tc>
          <w:tcPr>
            <w:tcW w:w="1068" w:type="dxa"/>
            <w:shd w:val="clear" w:color="auto" w:fill="FFFFFF"/>
            <w:vAlign w:val="center"/>
          </w:tcPr>
          <w:p>
            <w:pPr>
              <w:autoSpaceDE w:val="0"/>
              <w:autoSpaceDN w:val="0"/>
              <w:adjustRightInd w:val="0"/>
              <w:snapToGrid w:val="0"/>
              <w:jc w:val="center"/>
              <w:rPr>
                <w:rFonts w:ascii="宋体" w:hAnsi="宋体"/>
                <w:sz w:val="16"/>
                <w:szCs w:val="18"/>
              </w:rPr>
            </w:pPr>
            <w:r>
              <w:rPr>
                <w:rFonts w:ascii="宋体" w:hAnsi="宋体"/>
                <w:sz w:val="16"/>
                <w:szCs w:val="18"/>
              </w:rPr>
              <w:t>4-8</w:t>
            </w:r>
          </w:p>
        </w:tc>
        <w:tc>
          <w:tcPr>
            <w:tcW w:w="708"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D/</w:t>
            </w:r>
            <w:r>
              <w:rPr>
                <w:rFonts w:ascii="宋体" w:hAnsi="宋体" w:cs="仿宋_GB2312"/>
                <w:sz w:val="16"/>
                <w:szCs w:val="18"/>
              </w:rPr>
              <w:t>4</w:t>
            </w:r>
            <w:r>
              <w:rPr>
                <w:rFonts w:hint="eastAsia" w:ascii="宋体" w:hAnsi="宋体" w:cs="仿宋_GB2312"/>
                <w:sz w:val="16"/>
                <w:szCs w:val="18"/>
              </w:rPr>
              <w:t>级</w:t>
            </w:r>
          </w:p>
        </w:tc>
        <w:tc>
          <w:tcPr>
            <w:tcW w:w="1034"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轻度危险</w:t>
            </w:r>
          </w:p>
        </w:tc>
        <w:tc>
          <w:tcPr>
            <w:tcW w:w="3721" w:type="dxa"/>
            <w:shd w:val="clear" w:color="auto" w:fill="FFFFFF"/>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可考虑建立操作规程、作业指导书但需定期检查</w:t>
            </w:r>
          </w:p>
        </w:tc>
        <w:tc>
          <w:tcPr>
            <w:tcW w:w="1992" w:type="dxa"/>
            <w:shd w:val="clear" w:color="auto" w:fill="FFFFFF"/>
            <w:vAlign w:val="center"/>
          </w:tcPr>
          <w:p>
            <w:pPr>
              <w:autoSpaceDE w:val="0"/>
              <w:autoSpaceDN w:val="0"/>
              <w:adjustRightInd w:val="0"/>
              <w:snapToGrid w:val="0"/>
              <w:jc w:val="left"/>
              <w:rPr>
                <w:rFonts w:ascii="宋体" w:hAnsi="宋体"/>
                <w:sz w:val="16"/>
                <w:szCs w:val="18"/>
              </w:rPr>
            </w:pPr>
            <w:r>
              <w:rPr>
                <w:rFonts w:hint="eastAsia" w:ascii="宋体" w:hAnsi="宋体" w:cs="仿宋_GB2312"/>
                <w:sz w:val="16"/>
                <w:szCs w:val="18"/>
              </w:rPr>
              <w:t>有条件、有经费时治理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49" w:hRule="atLeast"/>
          <w:jc w:val="center"/>
        </w:trPr>
        <w:tc>
          <w:tcPr>
            <w:tcW w:w="1068"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sz w:val="16"/>
                <w:szCs w:val="18"/>
              </w:rPr>
              <w:t>1-3</w:t>
            </w:r>
          </w:p>
        </w:tc>
        <w:tc>
          <w:tcPr>
            <w:tcW w:w="708"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E/</w:t>
            </w:r>
            <w:r>
              <w:rPr>
                <w:rFonts w:ascii="宋体" w:hAnsi="宋体" w:cs="仿宋_GB2312"/>
                <w:sz w:val="16"/>
                <w:szCs w:val="18"/>
              </w:rPr>
              <w:t>5</w:t>
            </w:r>
            <w:r>
              <w:rPr>
                <w:rFonts w:hint="eastAsia" w:ascii="宋体" w:hAnsi="宋体" w:cs="仿宋_GB2312"/>
                <w:sz w:val="16"/>
                <w:szCs w:val="18"/>
              </w:rPr>
              <w:t>级</w:t>
            </w:r>
          </w:p>
        </w:tc>
        <w:tc>
          <w:tcPr>
            <w:tcW w:w="1034"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稍有危险</w:t>
            </w:r>
          </w:p>
        </w:tc>
        <w:tc>
          <w:tcPr>
            <w:tcW w:w="3721" w:type="dxa"/>
            <w:shd w:val="clear" w:color="auto" w:fill="FFFFFF"/>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无需采用控制措施</w:t>
            </w:r>
          </w:p>
        </w:tc>
        <w:tc>
          <w:tcPr>
            <w:tcW w:w="1992" w:type="dxa"/>
            <w:shd w:val="clear" w:color="auto" w:fill="FFFFFF"/>
            <w:vAlign w:val="center"/>
          </w:tcPr>
          <w:p>
            <w:pPr>
              <w:autoSpaceDE w:val="0"/>
              <w:autoSpaceDN w:val="0"/>
              <w:adjustRightInd w:val="0"/>
              <w:snapToGrid w:val="0"/>
              <w:jc w:val="left"/>
              <w:rPr>
                <w:rFonts w:ascii="宋体" w:hAnsi="宋体"/>
                <w:sz w:val="16"/>
                <w:szCs w:val="18"/>
              </w:rPr>
            </w:pPr>
            <w:r>
              <w:rPr>
                <w:rFonts w:hint="eastAsia" w:ascii="宋体" w:hAnsi="宋体" w:cs="仿宋_GB2312"/>
                <w:sz w:val="16"/>
                <w:szCs w:val="18"/>
              </w:rPr>
              <w:t>需保存记录</w:t>
            </w:r>
          </w:p>
        </w:tc>
      </w:tr>
    </w:tbl>
    <w:p>
      <w:pPr>
        <w:adjustRightInd w:val="0"/>
        <w:snapToGrid w:val="0"/>
        <w:rPr>
          <w:rFonts w:ascii="宋体" w:hAnsi="宋体" w:cs="仿宋_GB2312"/>
          <w:b/>
          <w:bCs/>
          <w:sz w:val="20"/>
        </w:rPr>
      </w:pPr>
    </w:p>
    <w:p>
      <w:pPr>
        <w:pStyle w:val="24"/>
        <w:spacing w:before="156" w:after="156"/>
        <w:rPr>
          <w:sz w:val="16"/>
        </w:rPr>
      </w:pPr>
      <w:bookmarkStart w:id="89" w:name="_Toc479171779"/>
      <w:bookmarkStart w:id="90" w:name="_Toc479175366"/>
      <w:bookmarkStart w:id="91" w:name="_Toc479257324"/>
      <w:r>
        <w:rPr>
          <w:rFonts w:hint="eastAsia"/>
          <w:sz w:val="16"/>
        </w:rPr>
        <w:t>风险矩阵表</w:t>
      </w:r>
      <w:bookmarkEnd w:id="89"/>
      <w:bookmarkEnd w:id="90"/>
      <w:bookmarkEnd w:id="91"/>
    </w:p>
    <w:tbl>
      <w:tblPr>
        <w:tblStyle w:val="11"/>
        <w:tblW w:w="8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284"/>
        <w:gridCol w:w="1502"/>
        <w:gridCol w:w="250"/>
        <w:gridCol w:w="1118"/>
        <w:gridCol w:w="135"/>
        <w:gridCol w:w="983"/>
        <w:gridCol w:w="519"/>
        <w:gridCol w:w="599"/>
        <w:gridCol w:w="904"/>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452" w:type="dxa"/>
            <w:vMerge w:val="restart"/>
            <w:shd w:val="clear" w:color="auto" w:fill="auto"/>
            <w:vAlign w:val="center"/>
          </w:tcPr>
          <w:p>
            <w:pPr>
              <w:spacing w:after="312"/>
              <w:rPr>
                <w:rFonts w:ascii="宋体" w:hAnsi="宋体" w:cs="Arial"/>
                <w:sz w:val="18"/>
                <w:szCs w:val="18"/>
              </w:rPr>
            </w:pPr>
            <w:r>
              <w:rPr>
                <w:rFonts w:hint="eastAsia" w:ascii="宋体" w:hAnsi="宋体"/>
                <w:sz w:val="18"/>
                <w:szCs w:val="18"/>
              </w:rPr>
              <w:t>后</w:t>
            </w:r>
          </w:p>
          <w:p>
            <w:pPr>
              <w:spacing w:after="312"/>
              <w:rPr>
                <w:rFonts w:ascii="宋体" w:hAnsi="宋体" w:cs="Arial"/>
                <w:sz w:val="18"/>
                <w:szCs w:val="18"/>
              </w:rPr>
            </w:pPr>
            <w:r>
              <w:rPr>
                <w:rFonts w:hint="eastAsia" w:ascii="宋体" w:hAnsi="宋体"/>
                <w:sz w:val="18"/>
                <w:szCs w:val="18"/>
              </w:rPr>
              <w:t>果</w:t>
            </w:r>
          </w:p>
          <w:p>
            <w:pPr>
              <w:spacing w:after="312"/>
              <w:rPr>
                <w:rFonts w:ascii="宋体" w:hAnsi="宋体" w:cs="Arial"/>
                <w:sz w:val="18"/>
                <w:szCs w:val="18"/>
              </w:rPr>
            </w:pPr>
            <w:r>
              <w:rPr>
                <w:rFonts w:hint="eastAsia" w:ascii="宋体" w:hAnsi="宋体"/>
                <w:sz w:val="18"/>
                <w:szCs w:val="18"/>
              </w:rPr>
              <w:t>等</w:t>
            </w:r>
          </w:p>
          <w:p>
            <w:pPr>
              <w:spacing w:after="312"/>
              <w:rPr>
                <w:rFonts w:ascii="宋体" w:hAnsi="宋体" w:cs="Arial"/>
                <w:sz w:val="18"/>
                <w:szCs w:val="18"/>
              </w:rPr>
            </w:pPr>
            <w:r>
              <w:rPr>
                <w:rFonts w:hint="eastAsia" w:ascii="宋体" w:hAnsi="宋体"/>
                <w:sz w:val="18"/>
                <w:szCs w:val="18"/>
              </w:rPr>
              <w:t>级</w:t>
            </w:r>
          </w:p>
        </w:tc>
        <w:tc>
          <w:tcPr>
            <w:tcW w:w="284" w:type="dxa"/>
            <w:shd w:val="clear" w:color="auto" w:fill="auto"/>
            <w:vAlign w:val="center"/>
          </w:tcPr>
          <w:p>
            <w:pPr>
              <w:spacing w:after="312"/>
              <w:rPr>
                <w:rFonts w:ascii="宋体" w:hAnsi="宋体" w:cs="Arial"/>
                <w:sz w:val="18"/>
                <w:szCs w:val="18"/>
              </w:rPr>
            </w:pPr>
            <w:r>
              <w:rPr>
                <w:rFonts w:hint="eastAsia" w:ascii="宋体" w:hAnsi="宋体" w:cs="Arial"/>
                <w:sz w:val="18"/>
                <w:szCs w:val="18"/>
              </w:rPr>
              <w:t>5</w:t>
            </w:r>
          </w:p>
        </w:tc>
        <w:tc>
          <w:tcPr>
            <w:tcW w:w="1502" w:type="dxa"/>
            <w:shd w:val="clear" w:color="auto" w:fill="0070C0"/>
            <w:vAlign w:val="center"/>
          </w:tcPr>
          <w:p>
            <w:pPr>
              <w:spacing w:after="312"/>
              <w:rPr>
                <w:rFonts w:ascii="宋体" w:hAnsi="宋体" w:cs="Arial"/>
                <w:sz w:val="18"/>
                <w:szCs w:val="18"/>
              </w:rPr>
            </w:pPr>
            <w:r>
              <w:rPr>
                <w:rFonts w:hint="eastAsia" w:ascii="宋体" w:hAnsi="宋体" w:cs="Arial"/>
                <w:sz w:val="18"/>
                <w:szCs w:val="18"/>
              </w:rPr>
              <w:t>轻度危险</w:t>
            </w:r>
          </w:p>
        </w:tc>
        <w:tc>
          <w:tcPr>
            <w:tcW w:w="1503" w:type="dxa"/>
            <w:gridSpan w:val="3"/>
            <w:shd w:val="clear" w:color="auto" w:fill="FFFF00"/>
            <w:vAlign w:val="center"/>
          </w:tcPr>
          <w:p>
            <w:pPr>
              <w:spacing w:after="312"/>
              <w:rPr>
                <w:rFonts w:ascii="宋体" w:hAnsi="宋体" w:cs="Arial"/>
                <w:sz w:val="18"/>
                <w:szCs w:val="18"/>
                <w:highlight w:val="yellow"/>
              </w:rPr>
            </w:pPr>
            <w:r>
              <w:rPr>
                <w:rFonts w:hint="eastAsia" w:ascii="宋体" w:hAnsi="宋体"/>
                <w:sz w:val="18"/>
                <w:szCs w:val="18"/>
              </w:rPr>
              <w:t>显著危险</w:t>
            </w:r>
          </w:p>
        </w:tc>
        <w:tc>
          <w:tcPr>
            <w:tcW w:w="1502" w:type="dxa"/>
            <w:gridSpan w:val="2"/>
            <w:shd w:val="clear" w:color="auto" w:fill="FFC000"/>
            <w:vAlign w:val="center"/>
          </w:tcPr>
          <w:p>
            <w:pPr>
              <w:spacing w:after="312"/>
              <w:rPr>
                <w:rFonts w:ascii="宋体" w:hAnsi="宋体" w:cs="Arial"/>
                <w:sz w:val="18"/>
                <w:szCs w:val="18"/>
              </w:rPr>
            </w:pPr>
            <w:r>
              <w:rPr>
                <w:rFonts w:hint="eastAsia" w:ascii="宋体" w:hAnsi="宋体"/>
                <w:sz w:val="18"/>
                <w:szCs w:val="18"/>
              </w:rPr>
              <w:t>高度危险</w:t>
            </w:r>
          </w:p>
        </w:tc>
        <w:tc>
          <w:tcPr>
            <w:tcW w:w="1503" w:type="dxa"/>
            <w:gridSpan w:val="2"/>
            <w:shd w:val="clear" w:color="auto" w:fill="FF0000"/>
            <w:vAlign w:val="center"/>
          </w:tcPr>
          <w:p>
            <w:pPr>
              <w:spacing w:after="312"/>
              <w:rPr>
                <w:rFonts w:ascii="宋体" w:hAnsi="宋体" w:cs="Arial"/>
                <w:sz w:val="18"/>
                <w:szCs w:val="18"/>
              </w:rPr>
            </w:pPr>
            <w:r>
              <w:rPr>
                <w:rFonts w:hint="eastAsia" w:ascii="宋体" w:hAnsi="宋体"/>
                <w:sz w:val="18"/>
                <w:szCs w:val="18"/>
              </w:rPr>
              <w:t>极其危险</w:t>
            </w:r>
          </w:p>
        </w:tc>
        <w:tc>
          <w:tcPr>
            <w:tcW w:w="1503" w:type="dxa"/>
            <w:shd w:val="clear" w:color="auto" w:fill="FF0000"/>
            <w:vAlign w:val="center"/>
          </w:tcPr>
          <w:p>
            <w:pPr>
              <w:spacing w:after="312"/>
              <w:rPr>
                <w:rFonts w:ascii="宋体" w:hAnsi="宋体" w:cs="Arial"/>
                <w:sz w:val="18"/>
                <w:szCs w:val="18"/>
              </w:rPr>
            </w:pPr>
            <w:r>
              <w:rPr>
                <w:rFonts w:hint="eastAsia" w:ascii="宋体" w:hAnsi="宋体"/>
                <w:sz w:val="18"/>
                <w:szCs w:val="18"/>
              </w:rPr>
              <w:t>极其危险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2" w:hRule="atLeast"/>
          <w:jc w:val="center"/>
        </w:trPr>
        <w:tc>
          <w:tcPr>
            <w:tcW w:w="452" w:type="dxa"/>
            <w:vMerge w:val="continue"/>
            <w:shd w:val="clear" w:color="auto" w:fill="auto"/>
            <w:vAlign w:val="center"/>
          </w:tcPr>
          <w:p>
            <w:pPr>
              <w:widowControl/>
              <w:jc w:val="left"/>
              <w:rPr>
                <w:rFonts w:ascii="宋体" w:hAnsi="宋体" w:cs="Arial"/>
                <w:sz w:val="18"/>
                <w:szCs w:val="18"/>
              </w:rPr>
            </w:pPr>
          </w:p>
        </w:tc>
        <w:tc>
          <w:tcPr>
            <w:tcW w:w="284" w:type="dxa"/>
            <w:shd w:val="clear" w:color="auto" w:fill="auto"/>
            <w:vAlign w:val="center"/>
          </w:tcPr>
          <w:p>
            <w:pPr>
              <w:spacing w:after="312"/>
              <w:rPr>
                <w:rFonts w:ascii="宋体" w:hAnsi="宋体" w:cs="Arial"/>
                <w:sz w:val="18"/>
                <w:szCs w:val="18"/>
              </w:rPr>
            </w:pPr>
            <w:r>
              <w:rPr>
                <w:rFonts w:hint="eastAsia" w:ascii="宋体" w:hAnsi="宋体" w:cs="Arial"/>
                <w:sz w:val="18"/>
                <w:szCs w:val="18"/>
              </w:rPr>
              <w:t>4</w:t>
            </w:r>
          </w:p>
        </w:tc>
        <w:tc>
          <w:tcPr>
            <w:tcW w:w="1502" w:type="dxa"/>
            <w:shd w:val="clear" w:color="auto" w:fill="0070C0"/>
            <w:vAlign w:val="center"/>
          </w:tcPr>
          <w:p>
            <w:pPr>
              <w:spacing w:after="312"/>
              <w:rPr>
                <w:rFonts w:ascii="宋体" w:hAnsi="宋体" w:cs="Arial"/>
                <w:sz w:val="18"/>
                <w:szCs w:val="18"/>
              </w:rPr>
            </w:pPr>
            <w:r>
              <w:rPr>
                <w:rFonts w:hint="eastAsia" w:ascii="宋体" w:hAnsi="宋体" w:cs="Arial"/>
                <w:sz w:val="18"/>
                <w:szCs w:val="18"/>
              </w:rPr>
              <w:t>轻度危险</w:t>
            </w:r>
          </w:p>
        </w:tc>
        <w:tc>
          <w:tcPr>
            <w:tcW w:w="1503" w:type="dxa"/>
            <w:gridSpan w:val="3"/>
            <w:shd w:val="clear" w:color="auto" w:fill="0070C0"/>
            <w:vAlign w:val="center"/>
          </w:tcPr>
          <w:p>
            <w:pPr>
              <w:spacing w:after="312"/>
              <w:rPr>
                <w:rFonts w:ascii="宋体" w:hAnsi="宋体" w:cs="Arial"/>
                <w:sz w:val="18"/>
                <w:szCs w:val="18"/>
              </w:rPr>
            </w:pPr>
            <w:r>
              <w:rPr>
                <w:rFonts w:hint="eastAsia" w:ascii="宋体" w:hAnsi="宋体" w:cs="Arial"/>
                <w:sz w:val="18"/>
                <w:szCs w:val="18"/>
              </w:rPr>
              <w:t>轻度危险</w:t>
            </w:r>
          </w:p>
        </w:tc>
        <w:tc>
          <w:tcPr>
            <w:tcW w:w="1502" w:type="dxa"/>
            <w:gridSpan w:val="2"/>
            <w:shd w:val="clear" w:color="auto" w:fill="FFFF00"/>
            <w:vAlign w:val="center"/>
          </w:tcPr>
          <w:p>
            <w:pPr>
              <w:spacing w:after="312"/>
              <w:rPr>
                <w:rFonts w:ascii="宋体" w:hAnsi="宋体" w:cs="Arial"/>
                <w:sz w:val="18"/>
                <w:szCs w:val="18"/>
              </w:rPr>
            </w:pPr>
            <w:r>
              <w:rPr>
                <w:rFonts w:hint="eastAsia" w:ascii="宋体" w:hAnsi="宋体"/>
                <w:sz w:val="18"/>
                <w:szCs w:val="18"/>
              </w:rPr>
              <w:t>显著危险</w:t>
            </w:r>
          </w:p>
        </w:tc>
        <w:tc>
          <w:tcPr>
            <w:tcW w:w="1503" w:type="dxa"/>
            <w:gridSpan w:val="2"/>
            <w:shd w:val="clear" w:color="auto" w:fill="FFC000"/>
            <w:vAlign w:val="center"/>
          </w:tcPr>
          <w:p>
            <w:pPr>
              <w:spacing w:after="312"/>
              <w:rPr>
                <w:rFonts w:ascii="宋体" w:hAnsi="宋体" w:cs="Arial"/>
                <w:sz w:val="18"/>
                <w:szCs w:val="18"/>
              </w:rPr>
            </w:pPr>
            <w:r>
              <w:rPr>
                <w:rFonts w:hint="eastAsia" w:ascii="宋体" w:hAnsi="宋体"/>
                <w:sz w:val="18"/>
                <w:szCs w:val="18"/>
              </w:rPr>
              <w:t>高度危险</w:t>
            </w:r>
          </w:p>
        </w:tc>
        <w:tc>
          <w:tcPr>
            <w:tcW w:w="1503" w:type="dxa"/>
            <w:shd w:val="clear" w:color="auto" w:fill="FF0000"/>
            <w:vAlign w:val="center"/>
          </w:tcPr>
          <w:p>
            <w:pPr>
              <w:spacing w:after="312"/>
              <w:rPr>
                <w:rFonts w:ascii="宋体" w:hAnsi="宋体" w:cs="Arial"/>
                <w:sz w:val="18"/>
                <w:szCs w:val="18"/>
              </w:rPr>
            </w:pPr>
            <w:r>
              <w:rPr>
                <w:rFonts w:hint="eastAsia" w:ascii="宋体" w:hAnsi="宋体"/>
                <w:sz w:val="18"/>
                <w:szCs w:val="18"/>
              </w:rPr>
              <w:t>极其危险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452" w:type="dxa"/>
            <w:vMerge w:val="continue"/>
            <w:shd w:val="clear" w:color="auto" w:fill="auto"/>
            <w:vAlign w:val="center"/>
          </w:tcPr>
          <w:p>
            <w:pPr>
              <w:widowControl/>
              <w:jc w:val="left"/>
              <w:rPr>
                <w:rFonts w:ascii="宋体" w:hAnsi="宋体" w:cs="Arial"/>
                <w:sz w:val="18"/>
                <w:szCs w:val="18"/>
              </w:rPr>
            </w:pPr>
          </w:p>
        </w:tc>
        <w:tc>
          <w:tcPr>
            <w:tcW w:w="284" w:type="dxa"/>
            <w:shd w:val="clear" w:color="auto" w:fill="auto"/>
            <w:vAlign w:val="center"/>
          </w:tcPr>
          <w:p>
            <w:pPr>
              <w:spacing w:after="312"/>
              <w:rPr>
                <w:rFonts w:ascii="宋体" w:hAnsi="宋体" w:cs="Arial"/>
                <w:sz w:val="18"/>
                <w:szCs w:val="18"/>
              </w:rPr>
            </w:pPr>
            <w:r>
              <w:rPr>
                <w:rFonts w:hint="eastAsia" w:ascii="宋体" w:hAnsi="宋体" w:cs="Arial"/>
                <w:sz w:val="18"/>
                <w:szCs w:val="18"/>
              </w:rPr>
              <w:t>3</w:t>
            </w:r>
          </w:p>
        </w:tc>
        <w:tc>
          <w:tcPr>
            <w:tcW w:w="1502" w:type="dxa"/>
            <w:shd w:val="clear" w:color="auto" w:fill="0070C0"/>
            <w:vAlign w:val="center"/>
          </w:tcPr>
          <w:p>
            <w:pPr>
              <w:spacing w:after="312"/>
              <w:rPr>
                <w:rFonts w:ascii="宋体" w:hAnsi="宋体" w:cs="Arial"/>
                <w:sz w:val="18"/>
                <w:szCs w:val="18"/>
              </w:rPr>
            </w:pPr>
            <w:r>
              <w:rPr>
                <w:rFonts w:hint="eastAsia" w:ascii="宋体" w:hAnsi="宋体" w:cs="Arial"/>
                <w:sz w:val="18"/>
                <w:szCs w:val="18"/>
              </w:rPr>
              <w:t>稍有危险</w:t>
            </w:r>
          </w:p>
        </w:tc>
        <w:tc>
          <w:tcPr>
            <w:tcW w:w="1503" w:type="dxa"/>
            <w:gridSpan w:val="3"/>
            <w:shd w:val="clear" w:color="auto" w:fill="0070C0"/>
            <w:vAlign w:val="center"/>
          </w:tcPr>
          <w:p>
            <w:pPr>
              <w:spacing w:after="312"/>
              <w:rPr>
                <w:rFonts w:ascii="宋体" w:hAnsi="宋体" w:cs="Arial"/>
                <w:sz w:val="18"/>
                <w:szCs w:val="18"/>
              </w:rPr>
            </w:pPr>
            <w:r>
              <w:rPr>
                <w:rFonts w:hint="eastAsia" w:ascii="宋体" w:hAnsi="宋体" w:cs="Arial"/>
                <w:sz w:val="18"/>
                <w:szCs w:val="18"/>
              </w:rPr>
              <w:t>轻度危险</w:t>
            </w:r>
          </w:p>
        </w:tc>
        <w:tc>
          <w:tcPr>
            <w:tcW w:w="1502" w:type="dxa"/>
            <w:gridSpan w:val="2"/>
            <w:shd w:val="clear" w:color="auto" w:fill="FFFF00"/>
            <w:vAlign w:val="center"/>
          </w:tcPr>
          <w:p>
            <w:pPr>
              <w:spacing w:after="312"/>
              <w:rPr>
                <w:rFonts w:ascii="宋体" w:hAnsi="宋体" w:cs="Arial"/>
                <w:sz w:val="18"/>
                <w:szCs w:val="18"/>
              </w:rPr>
            </w:pPr>
            <w:r>
              <w:rPr>
                <w:rFonts w:hint="eastAsia" w:ascii="宋体" w:hAnsi="宋体"/>
                <w:sz w:val="18"/>
                <w:szCs w:val="18"/>
              </w:rPr>
              <w:t>显著危险</w:t>
            </w:r>
          </w:p>
        </w:tc>
        <w:tc>
          <w:tcPr>
            <w:tcW w:w="1503" w:type="dxa"/>
            <w:gridSpan w:val="2"/>
            <w:shd w:val="clear" w:color="auto" w:fill="FFFF00"/>
            <w:vAlign w:val="center"/>
          </w:tcPr>
          <w:p>
            <w:pPr>
              <w:spacing w:after="312"/>
              <w:rPr>
                <w:rFonts w:ascii="宋体" w:hAnsi="宋体" w:cs="Arial"/>
                <w:sz w:val="18"/>
                <w:szCs w:val="18"/>
              </w:rPr>
            </w:pPr>
            <w:r>
              <w:rPr>
                <w:rFonts w:hint="eastAsia" w:ascii="宋体" w:hAnsi="宋体"/>
                <w:sz w:val="18"/>
                <w:szCs w:val="18"/>
              </w:rPr>
              <w:t>显著危险</w:t>
            </w:r>
          </w:p>
        </w:tc>
        <w:tc>
          <w:tcPr>
            <w:tcW w:w="1503" w:type="dxa"/>
            <w:shd w:val="clear" w:color="auto" w:fill="FFC000"/>
            <w:vAlign w:val="center"/>
          </w:tcPr>
          <w:p>
            <w:pPr>
              <w:spacing w:after="312"/>
              <w:rPr>
                <w:rFonts w:ascii="宋体" w:hAnsi="宋体" w:cs="Arial"/>
                <w:sz w:val="18"/>
                <w:szCs w:val="18"/>
              </w:rPr>
            </w:pPr>
            <w:r>
              <w:rPr>
                <w:rFonts w:hint="eastAsia" w:ascii="宋体" w:hAnsi="宋体"/>
                <w:sz w:val="18"/>
                <w:szCs w:val="18"/>
              </w:rPr>
              <w:t>高度危险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jc w:val="center"/>
        </w:trPr>
        <w:tc>
          <w:tcPr>
            <w:tcW w:w="452" w:type="dxa"/>
            <w:vMerge w:val="continue"/>
            <w:shd w:val="clear" w:color="auto" w:fill="auto"/>
            <w:vAlign w:val="center"/>
          </w:tcPr>
          <w:p>
            <w:pPr>
              <w:widowControl/>
              <w:jc w:val="left"/>
              <w:rPr>
                <w:rFonts w:ascii="宋体" w:hAnsi="宋体" w:cs="Arial"/>
                <w:sz w:val="18"/>
                <w:szCs w:val="18"/>
              </w:rPr>
            </w:pPr>
          </w:p>
        </w:tc>
        <w:tc>
          <w:tcPr>
            <w:tcW w:w="284" w:type="dxa"/>
            <w:shd w:val="clear" w:color="auto" w:fill="auto"/>
            <w:vAlign w:val="center"/>
          </w:tcPr>
          <w:p>
            <w:pPr>
              <w:spacing w:after="312"/>
              <w:rPr>
                <w:rFonts w:ascii="宋体" w:hAnsi="宋体" w:cs="Arial"/>
                <w:sz w:val="18"/>
                <w:szCs w:val="18"/>
              </w:rPr>
            </w:pPr>
            <w:r>
              <w:rPr>
                <w:rFonts w:hint="eastAsia" w:ascii="宋体" w:hAnsi="宋体" w:cs="Arial"/>
                <w:sz w:val="18"/>
                <w:szCs w:val="18"/>
              </w:rPr>
              <w:t>2</w:t>
            </w:r>
          </w:p>
        </w:tc>
        <w:tc>
          <w:tcPr>
            <w:tcW w:w="1502" w:type="dxa"/>
            <w:shd w:val="clear" w:color="auto" w:fill="0070C0"/>
            <w:vAlign w:val="center"/>
          </w:tcPr>
          <w:p>
            <w:pPr>
              <w:spacing w:after="312"/>
              <w:rPr>
                <w:rFonts w:ascii="宋体" w:hAnsi="宋体" w:cs="Arial"/>
                <w:sz w:val="18"/>
                <w:szCs w:val="18"/>
              </w:rPr>
            </w:pPr>
            <w:r>
              <w:rPr>
                <w:rFonts w:hint="eastAsia" w:ascii="宋体" w:hAnsi="宋体" w:cs="Arial"/>
                <w:sz w:val="18"/>
                <w:szCs w:val="18"/>
              </w:rPr>
              <w:t>稍有危险</w:t>
            </w:r>
          </w:p>
        </w:tc>
        <w:tc>
          <w:tcPr>
            <w:tcW w:w="1503" w:type="dxa"/>
            <w:gridSpan w:val="3"/>
            <w:shd w:val="clear" w:color="auto" w:fill="0070C0"/>
            <w:vAlign w:val="center"/>
          </w:tcPr>
          <w:p>
            <w:pPr>
              <w:spacing w:after="312"/>
              <w:rPr>
                <w:rFonts w:ascii="宋体" w:hAnsi="宋体" w:cs="Arial"/>
                <w:sz w:val="18"/>
                <w:szCs w:val="18"/>
              </w:rPr>
            </w:pPr>
            <w:r>
              <w:rPr>
                <w:rFonts w:hint="eastAsia" w:ascii="宋体" w:hAnsi="宋体" w:cs="Arial"/>
                <w:sz w:val="18"/>
                <w:szCs w:val="18"/>
              </w:rPr>
              <w:t>轻度危险</w:t>
            </w:r>
          </w:p>
        </w:tc>
        <w:tc>
          <w:tcPr>
            <w:tcW w:w="1502" w:type="dxa"/>
            <w:gridSpan w:val="2"/>
            <w:shd w:val="clear" w:color="auto" w:fill="0070C0"/>
            <w:vAlign w:val="center"/>
          </w:tcPr>
          <w:p>
            <w:pPr>
              <w:spacing w:after="312"/>
              <w:rPr>
                <w:rFonts w:ascii="宋体" w:hAnsi="宋体" w:cs="Arial"/>
                <w:sz w:val="18"/>
                <w:szCs w:val="18"/>
              </w:rPr>
            </w:pPr>
            <w:r>
              <w:rPr>
                <w:rFonts w:hint="eastAsia" w:ascii="宋体" w:hAnsi="宋体" w:cs="Arial"/>
                <w:sz w:val="18"/>
                <w:szCs w:val="18"/>
              </w:rPr>
              <w:t>轻度危险</w:t>
            </w:r>
          </w:p>
        </w:tc>
        <w:tc>
          <w:tcPr>
            <w:tcW w:w="1503" w:type="dxa"/>
            <w:gridSpan w:val="2"/>
            <w:shd w:val="clear" w:color="auto" w:fill="0070C0"/>
            <w:vAlign w:val="center"/>
          </w:tcPr>
          <w:p>
            <w:pPr>
              <w:spacing w:after="312"/>
              <w:rPr>
                <w:rFonts w:ascii="宋体" w:hAnsi="宋体" w:cs="Arial"/>
                <w:sz w:val="18"/>
                <w:szCs w:val="18"/>
              </w:rPr>
            </w:pPr>
            <w:r>
              <w:rPr>
                <w:rFonts w:hint="eastAsia" w:ascii="宋体" w:hAnsi="宋体" w:cs="Arial"/>
                <w:sz w:val="18"/>
                <w:szCs w:val="18"/>
              </w:rPr>
              <w:t>轻度危险</w:t>
            </w:r>
          </w:p>
        </w:tc>
        <w:tc>
          <w:tcPr>
            <w:tcW w:w="1503" w:type="dxa"/>
            <w:shd w:val="clear" w:color="auto" w:fill="FFFF00"/>
            <w:vAlign w:val="center"/>
          </w:tcPr>
          <w:p>
            <w:pPr>
              <w:spacing w:after="312"/>
              <w:rPr>
                <w:rFonts w:ascii="宋体" w:hAnsi="宋体" w:cs="Arial"/>
                <w:sz w:val="18"/>
                <w:szCs w:val="18"/>
              </w:rPr>
            </w:pPr>
            <w:r>
              <w:rPr>
                <w:rFonts w:hint="eastAsia" w:ascii="宋体" w:hAnsi="宋体"/>
                <w:sz w:val="18"/>
                <w:szCs w:val="18"/>
              </w:rPr>
              <w:t>显著危险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atLeast"/>
          <w:jc w:val="center"/>
        </w:trPr>
        <w:tc>
          <w:tcPr>
            <w:tcW w:w="452" w:type="dxa"/>
            <w:vMerge w:val="continue"/>
            <w:shd w:val="clear" w:color="auto" w:fill="auto"/>
            <w:vAlign w:val="center"/>
          </w:tcPr>
          <w:p>
            <w:pPr>
              <w:widowControl/>
              <w:jc w:val="left"/>
              <w:rPr>
                <w:rFonts w:ascii="宋体" w:hAnsi="宋体" w:cs="Arial"/>
                <w:sz w:val="18"/>
                <w:szCs w:val="18"/>
              </w:rPr>
            </w:pPr>
          </w:p>
        </w:tc>
        <w:tc>
          <w:tcPr>
            <w:tcW w:w="284" w:type="dxa"/>
            <w:shd w:val="clear" w:color="auto" w:fill="auto"/>
            <w:vAlign w:val="center"/>
          </w:tcPr>
          <w:p>
            <w:pPr>
              <w:spacing w:after="312"/>
              <w:rPr>
                <w:rFonts w:ascii="宋体" w:hAnsi="宋体" w:cs="Arial"/>
                <w:sz w:val="18"/>
                <w:szCs w:val="18"/>
              </w:rPr>
            </w:pPr>
            <w:r>
              <w:rPr>
                <w:rFonts w:hint="eastAsia" w:ascii="宋体" w:hAnsi="宋体" w:cs="Arial"/>
                <w:sz w:val="18"/>
                <w:szCs w:val="18"/>
              </w:rPr>
              <w:t>1</w:t>
            </w:r>
          </w:p>
        </w:tc>
        <w:tc>
          <w:tcPr>
            <w:tcW w:w="1502" w:type="dxa"/>
            <w:shd w:val="clear" w:color="auto" w:fill="0070C0"/>
            <w:vAlign w:val="center"/>
          </w:tcPr>
          <w:p>
            <w:pPr>
              <w:spacing w:after="312"/>
              <w:rPr>
                <w:rFonts w:ascii="宋体" w:hAnsi="宋体" w:cs="Arial"/>
                <w:sz w:val="18"/>
                <w:szCs w:val="18"/>
              </w:rPr>
            </w:pPr>
            <w:r>
              <w:rPr>
                <w:rFonts w:hint="eastAsia" w:ascii="宋体" w:hAnsi="宋体" w:cs="Arial"/>
                <w:sz w:val="18"/>
                <w:szCs w:val="18"/>
              </w:rPr>
              <w:t>稍有危险</w:t>
            </w:r>
          </w:p>
        </w:tc>
        <w:tc>
          <w:tcPr>
            <w:tcW w:w="1503" w:type="dxa"/>
            <w:gridSpan w:val="3"/>
            <w:shd w:val="clear" w:color="auto" w:fill="0070C0"/>
            <w:vAlign w:val="center"/>
          </w:tcPr>
          <w:p>
            <w:pPr>
              <w:spacing w:after="312"/>
              <w:rPr>
                <w:rFonts w:ascii="宋体" w:hAnsi="宋体" w:cs="Arial"/>
                <w:sz w:val="18"/>
                <w:szCs w:val="18"/>
              </w:rPr>
            </w:pPr>
            <w:r>
              <w:rPr>
                <w:rFonts w:hint="eastAsia" w:ascii="宋体" w:hAnsi="宋体" w:cs="Arial"/>
                <w:sz w:val="18"/>
                <w:szCs w:val="18"/>
              </w:rPr>
              <w:t>稍有危险</w:t>
            </w:r>
          </w:p>
        </w:tc>
        <w:tc>
          <w:tcPr>
            <w:tcW w:w="1502" w:type="dxa"/>
            <w:gridSpan w:val="2"/>
            <w:shd w:val="clear" w:color="auto" w:fill="0070C0"/>
            <w:vAlign w:val="center"/>
          </w:tcPr>
          <w:p>
            <w:pPr>
              <w:spacing w:after="312"/>
              <w:rPr>
                <w:rFonts w:ascii="宋体" w:hAnsi="宋体" w:cs="Arial"/>
                <w:sz w:val="18"/>
                <w:szCs w:val="18"/>
              </w:rPr>
            </w:pPr>
            <w:r>
              <w:rPr>
                <w:rFonts w:hint="eastAsia" w:ascii="宋体" w:hAnsi="宋体" w:cs="Arial"/>
                <w:sz w:val="18"/>
                <w:szCs w:val="18"/>
              </w:rPr>
              <w:t>稍有危险</w:t>
            </w:r>
          </w:p>
        </w:tc>
        <w:tc>
          <w:tcPr>
            <w:tcW w:w="1503" w:type="dxa"/>
            <w:gridSpan w:val="2"/>
            <w:shd w:val="clear" w:color="auto" w:fill="0070C0"/>
            <w:vAlign w:val="center"/>
          </w:tcPr>
          <w:p>
            <w:pPr>
              <w:spacing w:after="312"/>
              <w:rPr>
                <w:rFonts w:ascii="宋体" w:hAnsi="宋体" w:cs="Arial"/>
                <w:sz w:val="18"/>
                <w:szCs w:val="18"/>
              </w:rPr>
            </w:pPr>
            <w:r>
              <w:rPr>
                <w:rFonts w:hint="eastAsia" w:ascii="宋体" w:hAnsi="宋体" w:cs="Arial"/>
                <w:sz w:val="18"/>
                <w:szCs w:val="18"/>
              </w:rPr>
              <w:t>轻度危险</w:t>
            </w:r>
          </w:p>
        </w:tc>
        <w:tc>
          <w:tcPr>
            <w:tcW w:w="1503" w:type="dxa"/>
            <w:shd w:val="clear" w:color="auto" w:fill="0070C0"/>
            <w:vAlign w:val="center"/>
          </w:tcPr>
          <w:p>
            <w:pPr>
              <w:spacing w:after="312"/>
              <w:rPr>
                <w:rFonts w:ascii="宋体" w:hAnsi="宋体" w:cs="Arial"/>
                <w:sz w:val="18"/>
                <w:szCs w:val="18"/>
              </w:rPr>
            </w:pPr>
            <w:r>
              <w:rPr>
                <w:rFonts w:hint="eastAsia" w:ascii="宋体" w:hAnsi="宋体" w:cs="Arial"/>
                <w:sz w:val="18"/>
                <w:szCs w:val="18"/>
              </w:rPr>
              <w:t>轻度危险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452" w:type="dxa"/>
          </w:tcPr>
          <w:p>
            <w:pPr>
              <w:snapToGrid w:val="0"/>
              <w:rPr>
                <w:rFonts w:ascii="宋体" w:hAnsi="宋体" w:cs="Arial"/>
                <w:sz w:val="18"/>
                <w:szCs w:val="18"/>
              </w:rPr>
            </w:pPr>
          </w:p>
        </w:tc>
        <w:tc>
          <w:tcPr>
            <w:tcW w:w="284" w:type="dxa"/>
          </w:tcPr>
          <w:p>
            <w:pPr>
              <w:snapToGrid w:val="0"/>
              <w:rPr>
                <w:rFonts w:ascii="宋体" w:hAnsi="宋体" w:cs="Arial"/>
                <w:sz w:val="18"/>
                <w:szCs w:val="18"/>
              </w:rPr>
            </w:pPr>
          </w:p>
        </w:tc>
        <w:tc>
          <w:tcPr>
            <w:tcW w:w="1752" w:type="dxa"/>
            <w:gridSpan w:val="2"/>
          </w:tcPr>
          <w:p>
            <w:pPr>
              <w:spacing w:after="312"/>
              <w:ind w:firstLine="450" w:firstLineChars="250"/>
              <w:rPr>
                <w:rFonts w:ascii="宋体" w:hAnsi="宋体"/>
                <w:sz w:val="18"/>
                <w:szCs w:val="18"/>
              </w:rPr>
            </w:pPr>
            <w:r>
              <w:rPr>
                <w:rFonts w:hint="eastAsia" w:ascii="宋体" w:hAnsi="宋体"/>
                <w:sz w:val="18"/>
                <w:szCs w:val="18"/>
              </w:rPr>
              <w:t>1</w:t>
            </w:r>
          </w:p>
        </w:tc>
        <w:tc>
          <w:tcPr>
            <w:tcW w:w="1118" w:type="dxa"/>
          </w:tcPr>
          <w:p>
            <w:pPr>
              <w:spacing w:after="312"/>
              <w:ind w:firstLine="270" w:firstLineChars="150"/>
              <w:rPr>
                <w:rFonts w:ascii="宋体" w:hAnsi="宋体"/>
                <w:sz w:val="18"/>
                <w:szCs w:val="18"/>
              </w:rPr>
            </w:pPr>
            <w:r>
              <w:rPr>
                <w:rFonts w:hint="eastAsia" w:ascii="宋体" w:hAnsi="宋体"/>
                <w:sz w:val="18"/>
                <w:szCs w:val="18"/>
              </w:rPr>
              <w:t>2</w:t>
            </w:r>
          </w:p>
        </w:tc>
        <w:tc>
          <w:tcPr>
            <w:tcW w:w="1118" w:type="dxa"/>
            <w:gridSpan w:val="2"/>
          </w:tcPr>
          <w:p>
            <w:pPr>
              <w:spacing w:after="312"/>
              <w:ind w:firstLine="630" w:firstLineChars="350"/>
              <w:rPr>
                <w:rFonts w:ascii="宋体" w:hAnsi="宋体"/>
                <w:sz w:val="18"/>
                <w:szCs w:val="18"/>
              </w:rPr>
            </w:pPr>
            <w:r>
              <w:rPr>
                <w:rFonts w:hint="eastAsia" w:ascii="宋体" w:hAnsi="宋体"/>
                <w:sz w:val="18"/>
                <w:szCs w:val="18"/>
              </w:rPr>
              <w:t>3</w:t>
            </w:r>
          </w:p>
        </w:tc>
        <w:tc>
          <w:tcPr>
            <w:tcW w:w="1118" w:type="dxa"/>
            <w:gridSpan w:val="2"/>
          </w:tcPr>
          <w:p>
            <w:pPr>
              <w:spacing w:after="312"/>
              <w:ind w:firstLine="900" w:firstLineChars="500"/>
              <w:rPr>
                <w:rFonts w:ascii="宋体" w:hAnsi="宋体"/>
                <w:sz w:val="18"/>
                <w:szCs w:val="18"/>
              </w:rPr>
            </w:pPr>
            <w:r>
              <w:rPr>
                <w:rFonts w:hint="eastAsia" w:ascii="宋体" w:hAnsi="宋体"/>
                <w:sz w:val="18"/>
                <w:szCs w:val="18"/>
              </w:rPr>
              <w:t>4</w:t>
            </w:r>
          </w:p>
        </w:tc>
        <w:tc>
          <w:tcPr>
            <w:tcW w:w="2407" w:type="dxa"/>
            <w:gridSpan w:val="2"/>
          </w:tcPr>
          <w:p>
            <w:pPr>
              <w:spacing w:after="312"/>
              <w:ind w:firstLine="1440" w:firstLineChars="800"/>
              <w:rPr>
                <w:rFonts w:ascii="宋体" w:hAnsi="宋体"/>
                <w:sz w:val="18"/>
                <w:szCs w:val="18"/>
              </w:rPr>
            </w:pPr>
            <w:r>
              <w:rPr>
                <w:rFonts w:hint="eastAsia" w:ascii="宋体" w:hAnsi="宋体"/>
                <w:sz w:val="18"/>
                <w:szCs w:val="18"/>
              </w:rPr>
              <w:t>5</w:t>
            </w:r>
          </w:p>
        </w:tc>
      </w:tr>
    </w:tbl>
    <w:p>
      <w:pPr>
        <w:pStyle w:val="23"/>
        <w:ind w:firstLine="320"/>
        <w:rPr>
          <w:sz w:val="16"/>
        </w:rPr>
      </w:pPr>
    </w:p>
    <w:p>
      <w:pPr>
        <w:pStyle w:val="23"/>
        <w:ind w:firstLine="320"/>
        <w:rPr>
          <w:sz w:val="16"/>
        </w:rPr>
      </w:pPr>
      <w:r>
        <w:rPr>
          <w:rFonts w:hint="eastAsia"/>
          <w:sz w:val="16"/>
        </w:rPr>
        <w:t>（附录D和附录E中人员伤亡、直接经济损失情况仅供参考，不具有确定性，可根据各企业风险可接受程度进行相应调整。）</w:t>
      </w:r>
    </w:p>
    <w:p>
      <w:pPr>
        <w:jc w:val="left"/>
        <w:rPr>
          <w:rFonts w:ascii="Times New Roman" w:hAnsi="Times New Roman" w:cs="Times New Roman"/>
          <w:spacing w:val="4"/>
          <w:szCs w:val="28"/>
        </w:rPr>
      </w:pPr>
    </w:p>
    <w:p>
      <w:pPr>
        <w:jc w:val="left"/>
        <w:rPr>
          <w:rFonts w:ascii="Times New Roman" w:hAnsi="Times New Roman" w:cs="Times New Roman"/>
          <w:spacing w:val="4"/>
          <w:szCs w:val="28"/>
        </w:rPr>
      </w:pPr>
    </w:p>
    <w:p>
      <w:pPr>
        <w:jc w:val="left"/>
        <w:rPr>
          <w:rFonts w:ascii="Times New Roman" w:hAnsi="Times New Roman" w:cs="Times New Roman"/>
          <w:spacing w:val="4"/>
          <w:szCs w:val="28"/>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pStyle w:val="10"/>
        <w:rPr>
          <w:rFonts w:ascii="黑体" w:hAnsi="黑体" w:eastAsia="黑体"/>
          <w:sz w:val="40"/>
          <w:szCs w:val="52"/>
        </w:rPr>
      </w:pPr>
      <w:bookmarkStart w:id="92" w:name="_Toc11921468"/>
      <w:r>
        <w:rPr>
          <w:rFonts w:hint="eastAsia" w:ascii="黑体" w:hAnsi="黑体" w:eastAsia="黑体"/>
          <w:sz w:val="40"/>
          <w:szCs w:val="52"/>
        </w:rPr>
        <w:t>隐患排查治理作业指导书</w:t>
      </w:r>
      <w:bookmarkEnd w:id="92"/>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autoSpaceDE w:val="0"/>
        <w:autoSpaceDN w:val="0"/>
        <w:adjustRightInd w:val="0"/>
        <w:ind w:right="437"/>
        <w:rPr>
          <w:rFonts w:ascii="宋体" w:hAnsi="宋体" w:cs="宋体"/>
          <w:kern w:val="0"/>
          <w:position w:val="-3"/>
          <w:sz w:val="32"/>
          <w:szCs w:val="44"/>
        </w:rPr>
      </w:pPr>
    </w:p>
    <w:p>
      <w:pPr>
        <w:rPr>
          <w:sz w:val="16"/>
        </w:rPr>
      </w:pPr>
    </w:p>
    <w:p>
      <w:pPr>
        <w:pStyle w:val="2"/>
        <w:spacing w:before="100" w:after="100"/>
        <w:rPr>
          <w:rFonts w:hint="default" w:ascii="黑体" w:hAnsi="黑体" w:eastAsia="黑体" w:cs="宋体"/>
          <w:spacing w:val="4"/>
          <w:kern w:val="0"/>
          <w:sz w:val="21"/>
          <w:szCs w:val="28"/>
        </w:rPr>
      </w:pPr>
      <w:bookmarkStart w:id="93" w:name="_Toc452462763"/>
      <w:bookmarkStart w:id="94" w:name="_Toc11921469"/>
      <w:r>
        <w:rPr>
          <w:rFonts w:ascii="黑体" w:hAnsi="黑体" w:eastAsia="黑体" w:cs="宋体"/>
          <w:spacing w:val="4"/>
          <w:kern w:val="0"/>
          <w:sz w:val="21"/>
          <w:szCs w:val="28"/>
        </w:rPr>
        <w:t>1 目的</w:t>
      </w:r>
      <w:bookmarkEnd w:id="93"/>
      <w:bookmarkEnd w:id="94"/>
    </w:p>
    <w:p>
      <w:pPr>
        <w:autoSpaceDE w:val="0"/>
        <w:autoSpaceDN w:val="0"/>
        <w:spacing w:before="100" w:beforeAutospacing="1" w:after="100" w:afterAutospacing="1"/>
        <w:ind w:firstLine="436" w:firstLineChars="200"/>
        <w:rPr>
          <w:rFonts w:ascii="宋体" w:hAnsi="宋体" w:cs="宋体"/>
          <w:spacing w:val="4"/>
          <w:kern w:val="0"/>
          <w:szCs w:val="28"/>
        </w:rPr>
      </w:pPr>
      <w:r>
        <w:rPr>
          <w:rFonts w:ascii="宋体" w:hAnsi="宋体" w:cs="宋体"/>
          <w:spacing w:val="4"/>
          <w:kern w:val="0"/>
          <w:szCs w:val="28"/>
        </w:rPr>
        <w:t>对生产过程及安全管理中可能存在的</w:t>
      </w:r>
      <w:r>
        <w:rPr>
          <w:rFonts w:hint="eastAsia" w:ascii="宋体" w:hAnsi="宋体" w:cs="宋体"/>
          <w:spacing w:val="4"/>
          <w:kern w:val="0"/>
          <w:szCs w:val="28"/>
        </w:rPr>
        <w:t>人的不安全行为、物的不安全状态</w:t>
      </w:r>
      <w:r>
        <w:rPr>
          <w:rFonts w:ascii="宋体" w:hAnsi="宋体" w:cs="宋体"/>
          <w:spacing w:val="4"/>
          <w:kern w:val="0"/>
          <w:szCs w:val="28"/>
        </w:rPr>
        <w:t>或</w:t>
      </w:r>
      <w:r>
        <w:rPr>
          <w:rFonts w:hint="eastAsia" w:ascii="宋体" w:hAnsi="宋体" w:cs="宋体"/>
          <w:spacing w:val="4"/>
          <w:kern w:val="0"/>
          <w:szCs w:val="28"/>
        </w:rPr>
        <w:t>管理</w:t>
      </w:r>
      <w:r>
        <w:rPr>
          <w:rFonts w:ascii="宋体" w:hAnsi="宋体" w:cs="宋体"/>
          <w:spacing w:val="4"/>
          <w:kern w:val="0"/>
          <w:szCs w:val="28"/>
        </w:rPr>
        <w:t>缺陷等进行</w:t>
      </w:r>
      <w:r>
        <w:rPr>
          <w:rFonts w:hint="eastAsia" w:ascii="宋体" w:hAnsi="宋体" w:cs="宋体"/>
          <w:spacing w:val="4"/>
          <w:kern w:val="0"/>
          <w:szCs w:val="28"/>
        </w:rPr>
        <w:t>辨识</w:t>
      </w:r>
      <w:r>
        <w:rPr>
          <w:rFonts w:ascii="宋体" w:hAnsi="宋体" w:cs="宋体"/>
          <w:spacing w:val="4"/>
          <w:kern w:val="0"/>
          <w:szCs w:val="28"/>
        </w:rPr>
        <w:t>，以确定隐患、危险、有害因素或缺陷的存在状态，以及它们转化为事故的条件，以便制定整改措施，消除或控制隐患和危险、有害因素，</w:t>
      </w:r>
      <w:r>
        <w:rPr>
          <w:rFonts w:hint="eastAsia" w:ascii="宋体" w:hAnsi="宋体" w:cs="宋体"/>
          <w:spacing w:val="4"/>
          <w:kern w:val="0"/>
          <w:szCs w:val="28"/>
        </w:rPr>
        <w:t>保证企业</w:t>
      </w:r>
      <w:r>
        <w:rPr>
          <w:rFonts w:ascii="宋体" w:hAnsi="宋体" w:cs="宋体"/>
          <w:spacing w:val="4"/>
          <w:kern w:val="0"/>
          <w:szCs w:val="28"/>
        </w:rPr>
        <w:t>生产安全。</w:t>
      </w:r>
    </w:p>
    <w:p>
      <w:pPr>
        <w:pStyle w:val="2"/>
        <w:spacing w:before="100" w:after="100"/>
        <w:rPr>
          <w:rFonts w:hint="default" w:ascii="黑体" w:hAnsi="黑体" w:eastAsia="黑体" w:cs="宋体"/>
          <w:spacing w:val="4"/>
          <w:kern w:val="0"/>
          <w:sz w:val="21"/>
          <w:szCs w:val="28"/>
        </w:rPr>
      </w:pPr>
      <w:bookmarkStart w:id="95" w:name="_Toc11921470"/>
      <w:bookmarkStart w:id="96" w:name="_Toc452462764"/>
      <w:r>
        <w:rPr>
          <w:rFonts w:ascii="黑体" w:hAnsi="黑体" w:eastAsia="黑体" w:cs="宋体"/>
          <w:spacing w:val="4"/>
          <w:kern w:val="0"/>
          <w:sz w:val="21"/>
          <w:szCs w:val="28"/>
        </w:rPr>
        <w:t>2 范围</w:t>
      </w:r>
      <w:bookmarkEnd w:id="95"/>
      <w:bookmarkEnd w:id="96"/>
    </w:p>
    <w:p>
      <w:pPr>
        <w:autoSpaceDE w:val="0"/>
        <w:autoSpaceDN w:val="0"/>
        <w:spacing w:before="100" w:beforeAutospacing="1" w:after="100" w:afterAutospacing="1"/>
        <w:ind w:firstLine="436" w:firstLineChars="200"/>
        <w:rPr>
          <w:rFonts w:ascii="宋体" w:hAnsi="宋体" w:cs="宋体"/>
          <w:spacing w:val="4"/>
          <w:kern w:val="0"/>
          <w:szCs w:val="28"/>
        </w:rPr>
      </w:pPr>
      <w:r>
        <w:rPr>
          <w:rFonts w:hint="eastAsia" w:ascii="宋体" w:hAnsi="宋体" w:cs="宋体"/>
          <w:spacing w:val="4"/>
          <w:kern w:val="0"/>
          <w:szCs w:val="28"/>
        </w:rPr>
        <w:t>本制度适用于xx有限公司事故隐患排查治理工作。</w:t>
      </w:r>
    </w:p>
    <w:p>
      <w:pPr>
        <w:pStyle w:val="2"/>
        <w:spacing w:before="100" w:after="100"/>
        <w:rPr>
          <w:rFonts w:hint="default" w:ascii="黑体" w:hAnsi="黑体" w:eastAsia="黑体" w:cs="宋体"/>
          <w:spacing w:val="4"/>
          <w:kern w:val="0"/>
          <w:sz w:val="21"/>
          <w:szCs w:val="28"/>
        </w:rPr>
      </w:pPr>
      <w:bookmarkStart w:id="97" w:name="_Toc11921471"/>
      <w:bookmarkStart w:id="98" w:name="_Toc452462765"/>
      <w:r>
        <w:rPr>
          <w:rFonts w:ascii="黑体" w:hAnsi="黑体" w:eastAsia="黑体" w:cs="宋体"/>
          <w:spacing w:val="4"/>
          <w:kern w:val="0"/>
          <w:sz w:val="21"/>
          <w:szCs w:val="28"/>
        </w:rPr>
        <w:t>3 定义</w:t>
      </w:r>
      <w:bookmarkEnd w:id="97"/>
      <w:bookmarkEnd w:id="98"/>
    </w:p>
    <w:p>
      <w:pPr>
        <w:autoSpaceDE w:val="0"/>
        <w:autoSpaceDN w:val="0"/>
        <w:rPr>
          <w:rFonts w:ascii="宋体" w:hAnsi="宋体" w:cs="宋体"/>
          <w:spacing w:val="4"/>
          <w:kern w:val="0"/>
          <w:szCs w:val="28"/>
        </w:rPr>
      </w:pPr>
      <w:r>
        <w:rPr>
          <w:rFonts w:hint="eastAsia" w:ascii="宋体" w:hAnsi="宋体" w:cs="宋体"/>
          <w:b/>
          <w:spacing w:val="4"/>
          <w:kern w:val="0"/>
          <w:szCs w:val="28"/>
        </w:rPr>
        <w:t>3.1 问题</w:t>
      </w:r>
      <w:r>
        <w:rPr>
          <w:rFonts w:hint="eastAsia" w:ascii="宋体" w:hAnsi="宋体" w:cs="宋体"/>
          <w:spacing w:val="4"/>
          <w:kern w:val="0"/>
          <w:szCs w:val="28"/>
        </w:rPr>
        <w:t>是指尚未构成事故隐患的小缺陷或不符合，发现后能立即纠正或整改，即使发生，人员也不会受伤、不会损失工作时间、损失财产，企业内部声誉不受影响，例如：现场卫生。</w:t>
      </w:r>
    </w:p>
    <w:p>
      <w:pPr>
        <w:rPr>
          <w:rFonts w:ascii="宋体" w:hAnsi="宋体" w:cs="宋体"/>
          <w:spacing w:val="4"/>
          <w:kern w:val="0"/>
          <w:szCs w:val="28"/>
        </w:rPr>
      </w:pPr>
      <w:r>
        <w:rPr>
          <w:rFonts w:hint="eastAsia" w:ascii="宋体" w:hAnsi="宋体" w:cs="宋体"/>
          <w:b/>
          <w:spacing w:val="4"/>
          <w:kern w:val="0"/>
          <w:szCs w:val="28"/>
        </w:rPr>
        <w:t>3.2</w:t>
      </w:r>
      <w:r>
        <w:rPr>
          <w:rFonts w:ascii="宋体" w:hAnsi="宋体" w:cs="宋体"/>
          <w:b/>
          <w:spacing w:val="4"/>
          <w:kern w:val="0"/>
          <w:szCs w:val="28"/>
        </w:rPr>
        <w:t>事故隐患</w:t>
      </w:r>
      <w:r>
        <w:rPr>
          <w:rFonts w:hint="eastAsia"/>
          <w:szCs w:val="28"/>
        </w:rPr>
        <w:t>是指生产经营单位违反安全生产法律、法规、规章、标准、规程和安全生产管理制度的规定，或者因其他因素在生产经营活动中存在可能导致事故发生的人的不安全行为、物的危险状态、场所的不安全因素和管理上的缺陷。</w:t>
      </w:r>
      <w:r>
        <w:rPr>
          <w:rFonts w:hint="eastAsia" w:ascii="宋体" w:hAnsi="宋体" w:cs="宋体"/>
          <w:spacing w:val="4"/>
          <w:kern w:val="0"/>
          <w:szCs w:val="28"/>
        </w:rPr>
        <w:t>包括：</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）作业场所、设备设施、人的行为及安全管理等方面存在的不符合国家安全生产法律法规、标准规范和相关规章制度规定的情况。</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）法律法规、标准规范及相关制度未作明确规定，企业危害识别过程中识别出作业场所、设备设施、人的行为及安全管理等方面存在的缺陷等。</w:t>
      </w:r>
    </w:p>
    <w:p>
      <w:pPr>
        <w:autoSpaceDE w:val="0"/>
        <w:autoSpaceDN w:val="0"/>
        <w:rPr>
          <w:rFonts w:ascii="宋体" w:hAnsi="宋体" w:cs="宋体"/>
          <w:b/>
          <w:spacing w:val="4"/>
          <w:kern w:val="0"/>
          <w:szCs w:val="28"/>
        </w:rPr>
      </w:pPr>
      <w:r>
        <w:rPr>
          <w:rFonts w:hint="eastAsia" w:ascii="宋体" w:hAnsi="宋体" w:cs="宋体"/>
          <w:b/>
          <w:spacing w:val="4"/>
          <w:kern w:val="0"/>
          <w:szCs w:val="28"/>
        </w:rPr>
        <w:t>3.3 安全检查(即隐患排查)</w:t>
      </w:r>
    </w:p>
    <w:p>
      <w:pPr>
        <w:autoSpaceDE w:val="0"/>
        <w:autoSpaceDN w:val="0"/>
        <w:rPr>
          <w:rFonts w:ascii="宋体" w:hAnsi="宋体" w:cs="宋体"/>
          <w:spacing w:val="4"/>
          <w:kern w:val="0"/>
          <w:szCs w:val="28"/>
        </w:rPr>
      </w:pPr>
      <w:r>
        <w:rPr>
          <w:rFonts w:hint="eastAsia" w:ascii="宋体" w:hAnsi="宋体" w:cs="宋体"/>
          <w:b/>
          <w:spacing w:val="4"/>
          <w:kern w:val="0"/>
          <w:szCs w:val="28"/>
        </w:rPr>
        <w:t>3.3.1 综合性检查</w:t>
      </w:r>
      <w:r>
        <w:rPr>
          <w:rFonts w:hint="eastAsia" w:ascii="宋体" w:hAnsi="宋体" w:cs="宋体"/>
          <w:spacing w:val="4"/>
          <w:kern w:val="0"/>
          <w:szCs w:val="28"/>
        </w:rPr>
        <w:t>是指以保障安全生产为目的，以安全责任制、各项专业管理制度和安全生产管理制度落实情况为重点，各有关专业和部门共同参与的全面检查。</w:t>
      </w:r>
    </w:p>
    <w:p>
      <w:pPr>
        <w:autoSpaceDE w:val="0"/>
        <w:autoSpaceDN w:val="0"/>
        <w:rPr>
          <w:rFonts w:ascii="宋体" w:hAnsi="宋体" w:cs="宋体"/>
          <w:spacing w:val="4"/>
          <w:kern w:val="0"/>
          <w:szCs w:val="28"/>
        </w:rPr>
      </w:pPr>
      <w:r>
        <w:rPr>
          <w:rFonts w:hint="eastAsia" w:ascii="宋体" w:hAnsi="宋体" w:cs="宋体"/>
          <w:b/>
          <w:spacing w:val="4"/>
          <w:kern w:val="0"/>
          <w:szCs w:val="28"/>
        </w:rPr>
        <w:t>3.3.2 专业检查</w:t>
      </w:r>
      <w:r>
        <w:rPr>
          <w:rFonts w:hint="eastAsia" w:ascii="宋体" w:hAnsi="宋体" w:cs="宋体"/>
          <w:spacing w:val="4"/>
          <w:kern w:val="0"/>
          <w:szCs w:val="28"/>
        </w:rPr>
        <w:t>主要是指对区域位置及总图布置、工艺、设备、电气、仪表、储运、消防和公用工程等系统分别进行的专业检查。</w:t>
      </w:r>
    </w:p>
    <w:p>
      <w:pPr>
        <w:autoSpaceDE w:val="0"/>
        <w:autoSpaceDN w:val="0"/>
        <w:ind w:right="-23"/>
        <w:rPr>
          <w:rFonts w:ascii="宋体" w:hAnsi="宋体" w:cs="宋体"/>
          <w:spacing w:val="4"/>
          <w:kern w:val="0"/>
          <w:szCs w:val="28"/>
        </w:rPr>
      </w:pPr>
      <w:r>
        <w:rPr>
          <w:rFonts w:hint="eastAsia" w:ascii="宋体" w:hAnsi="宋体" w:cs="宋体"/>
          <w:b/>
          <w:spacing w:val="4"/>
          <w:kern w:val="0"/>
          <w:szCs w:val="28"/>
        </w:rPr>
        <w:t>3.3.3 季节性检查</w:t>
      </w:r>
      <w:r>
        <w:rPr>
          <w:rFonts w:hint="eastAsia" w:ascii="宋体" w:hAnsi="宋体" w:cs="宋体"/>
          <w:spacing w:val="4"/>
          <w:kern w:val="0"/>
          <w:szCs w:val="28"/>
        </w:rPr>
        <w:t>是指根据各季节特点开展的专项隐患检查，主要包括：</w:t>
      </w:r>
    </w:p>
    <w:p>
      <w:pPr>
        <w:autoSpaceDE w:val="0"/>
        <w:autoSpaceDN w:val="0"/>
        <w:ind w:right="-23"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）春季以防雷、防静电、防解冻泄漏、防解冻坍塌为重点；</w:t>
      </w:r>
    </w:p>
    <w:p>
      <w:pPr>
        <w:autoSpaceDE w:val="0"/>
        <w:autoSpaceDN w:val="0"/>
        <w:ind w:right="-23"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）夏季以防雷暴、防设备容器高温超压、防台风、防洪、防暑降温为重点；</w:t>
      </w:r>
    </w:p>
    <w:p>
      <w:pPr>
        <w:autoSpaceDE w:val="0"/>
        <w:autoSpaceDN w:val="0"/>
        <w:ind w:right="-23"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）秋季以防雷暴、防火、防静电、防凝保温为重点；</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）冬季以防火、防爆、防雪、防冻防凝、防滑、防静电为重点。</w:t>
      </w:r>
    </w:p>
    <w:p>
      <w:pPr>
        <w:autoSpaceDE w:val="0"/>
        <w:autoSpaceDN w:val="0"/>
        <w:rPr>
          <w:rFonts w:ascii="宋体" w:hAnsi="宋体" w:cs="宋体"/>
          <w:spacing w:val="4"/>
          <w:kern w:val="0"/>
          <w:szCs w:val="28"/>
        </w:rPr>
      </w:pPr>
      <w:r>
        <w:rPr>
          <w:rFonts w:hint="eastAsia" w:ascii="宋体" w:hAnsi="宋体" w:cs="宋体"/>
          <w:b/>
          <w:spacing w:val="4"/>
          <w:kern w:val="0"/>
          <w:szCs w:val="28"/>
        </w:rPr>
        <w:t>3.3.4 日常检查</w:t>
      </w:r>
      <w:r>
        <w:rPr>
          <w:rFonts w:hint="eastAsia" w:ascii="宋体" w:hAnsi="宋体" w:cs="宋体"/>
          <w:spacing w:val="4"/>
          <w:kern w:val="0"/>
          <w:szCs w:val="28"/>
        </w:rPr>
        <w:t>是指班组、岗位员工的交接班检查和班中巡回检查，以及基层单位领导和工艺、设备、电气、仪表、安全等专业技术人员的日常性检查。日常隐患排查要加强对关</w:t>
      </w:r>
      <w:r>
        <w:rPr>
          <w:rFonts w:ascii="宋体" w:hAnsi="宋体" w:cs="宋体"/>
          <w:spacing w:val="4"/>
          <w:kern w:val="0"/>
          <w:szCs w:val="28"/>
        </w:rPr>
        <w:t xml:space="preserve"> </w:t>
      </w:r>
      <w:r>
        <w:rPr>
          <w:rFonts w:hint="eastAsia" w:ascii="宋体" w:hAnsi="宋体" w:cs="宋体"/>
          <w:spacing w:val="4"/>
          <w:kern w:val="0"/>
          <w:szCs w:val="28"/>
        </w:rPr>
        <w:t>键装置、要害部位、关键环节、重大危险源的检查和巡查。</w:t>
      </w:r>
    </w:p>
    <w:p>
      <w:pPr>
        <w:autoSpaceDE w:val="0"/>
        <w:autoSpaceDN w:val="0"/>
        <w:rPr>
          <w:rFonts w:ascii="宋体" w:hAnsi="宋体" w:cs="宋体"/>
          <w:spacing w:val="4"/>
          <w:kern w:val="0"/>
          <w:szCs w:val="28"/>
        </w:rPr>
      </w:pPr>
      <w:r>
        <w:rPr>
          <w:rFonts w:hint="eastAsia" w:ascii="宋体" w:hAnsi="宋体" w:cs="宋体"/>
          <w:b/>
          <w:spacing w:val="4"/>
          <w:kern w:val="0"/>
          <w:szCs w:val="28"/>
        </w:rPr>
        <w:t>3.3.5 节假日检查</w:t>
      </w:r>
      <w:r>
        <w:rPr>
          <w:rFonts w:hint="eastAsia" w:ascii="宋体" w:hAnsi="宋体" w:cs="宋体"/>
          <w:spacing w:val="4"/>
          <w:kern w:val="0"/>
          <w:szCs w:val="28"/>
        </w:rPr>
        <w:t>主要是指在重大活动和节假日前，对装置生产是否存在异常状况和隐患、备用设备</w:t>
      </w:r>
      <w:r>
        <w:rPr>
          <w:rFonts w:ascii="宋体" w:hAnsi="宋体" w:cs="宋体"/>
          <w:spacing w:val="4"/>
          <w:kern w:val="0"/>
          <w:szCs w:val="28"/>
        </w:rPr>
        <w:t xml:space="preserve"> </w:t>
      </w:r>
      <w:r>
        <w:rPr>
          <w:rFonts w:hint="eastAsia" w:ascii="宋体" w:hAnsi="宋体" w:cs="宋体"/>
          <w:spacing w:val="4"/>
          <w:kern w:val="0"/>
          <w:szCs w:val="28"/>
        </w:rPr>
        <w:t>状态、备品备件、生产及应急物资储备、保运力量安排、企业</w:t>
      </w:r>
      <w:r>
        <w:rPr>
          <w:rFonts w:ascii="宋体" w:hAnsi="宋体" w:cs="宋体"/>
          <w:spacing w:val="4"/>
          <w:kern w:val="0"/>
          <w:szCs w:val="28"/>
        </w:rPr>
        <w:t xml:space="preserve"> </w:t>
      </w:r>
      <w:r>
        <w:rPr>
          <w:rFonts w:hint="eastAsia" w:ascii="宋体" w:hAnsi="宋体" w:cs="宋体"/>
          <w:spacing w:val="4"/>
          <w:kern w:val="0"/>
          <w:szCs w:val="28"/>
        </w:rPr>
        <w:t>保卫、应急工作等进行的检查，特别是要对节日期间干部带班值班、机电仪保运及紧急抢修力量安排、备件及各类物资储备和应急工作进行重点检查。</w:t>
      </w:r>
    </w:p>
    <w:p>
      <w:pPr>
        <w:autoSpaceDE w:val="0"/>
        <w:autoSpaceDN w:val="0"/>
        <w:rPr>
          <w:rFonts w:ascii="宋体" w:hAnsi="宋体" w:cs="宋体"/>
          <w:spacing w:val="4"/>
          <w:kern w:val="0"/>
          <w:szCs w:val="28"/>
        </w:rPr>
      </w:pPr>
      <w:r>
        <w:rPr>
          <w:rFonts w:hint="eastAsia" w:ascii="宋体" w:hAnsi="宋体" w:cs="宋体"/>
          <w:b/>
          <w:spacing w:val="4"/>
          <w:kern w:val="0"/>
          <w:szCs w:val="28"/>
        </w:rPr>
        <w:t>3.3.6事故类比隐患排查</w:t>
      </w:r>
      <w:r>
        <w:rPr>
          <w:rFonts w:hint="eastAsia" w:ascii="宋体" w:hAnsi="宋体" w:cs="宋体"/>
          <w:spacing w:val="4"/>
          <w:kern w:val="0"/>
          <w:szCs w:val="28"/>
        </w:rPr>
        <w:t>是对企业内和同类企业发生事故后的举一反三的安全检查。</w:t>
      </w:r>
    </w:p>
    <w:p>
      <w:pPr>
        <w:pStyle w:val="2"/>
        <w:spacing w:before="100" w:after="100"/>
        <w:rPr>
          <w:rFonts w:hint="default" w:ascii="黑体" w:hAnsi="黑体" w:eastAsia="黑体" w:cs="宋体"/>
          <w:spacing w:val="4"/>
          <w:kern w:val="0"/>
          <w:sz w:val="21"/>
          <w:szCs w:val="28"/>
        </w:rPr>
      </w:pPr>
      <w:bookmarkStart w:id="99" w:name="_Toc452462766"/>
      <w:bookmarkStart w:id="100" w:name="_Toc11921472"/>
      <w:r>
        <w:rPr>
          <w:rFonts w:ascii="黑体" w:hAnsi="黑体" w:eastAsia="黑体" w:cs="宋体"/>
          <w:spacing w:val="4"/>
          <w:kern w:val="0"/>
          <w:sz w:val="21"/>
          <w:szCs w:val="28"/>
        </w:rPr>
        <w:t>4 职责</w:t>
      </w:r>
      <w:bookmarkEnd w:id="99"/>
      <w:bookmarkEnd w:id="100"/>
    </w:p>
    <w:p>
      <w:pPr>
        <w:snapToGrid w:val="0"/>
        <w:rPr>
          <w:rFonts w:ascii="宋体" w:hAnsi="宋体" w:cs="宋体"/>
          <w:spacing w:val="4"/>
          <w:kern w:val="0"/>
          <w:szCs w:val="28"/>
        </w:rPr>
      </w:pPr>
      <w:bookmarkStart w:id="101" w:name="_Toc452462767"/>
      <w:r>
        <w:rPr>
          <w:rFonts w:hint="eastAsia" w:ascii="宋体" w:hAnsi="宋体" w:cs="宋体"/>
          <w:b/>
          <w:spacing w:val="4"/>
          <w:kern w:val="0"/>
          <w:szCs w:val="28"/>
        </w:rPr>
        <w:t>4.1</w:t>
      </w:r>
      <w:r>
        <w:rPr>
          <w:rFonts w:hint="eastAsia" w:ascii="宋体" w:hAnsi="宋体" w:cs="宋体"/>
          <w:spacing w:val="4"/>
          <w:kern w:val="0"/>
          <w:szCs w:val="28"/>
        </w:rPr>
        <w:t>企业负责人是事故隐患排查、治理、报告和防控的责任主体，组织建立健全事故隐患排查治理制度及方案，完善事故隐患自查、自改、自报的管理机制，落实从主要负责人到每位从业人员的事故隐患排查治理责任，并定期对隐患排查治理情况进行调度、监督和考核，保证隐患排查治理的落实。</w:t>
      </w:r>
    </w:p>
    <w:p>
      <w:pPr>
        <w:autoSpaceDE w:val="0"/>
        <w:autoSpaceDN w:val="0"/>
        <w:rPr>
          <w:rFonts w:ascii="宋体" w:hAnsi="宋体" w:cs="宋体"/>
          <w:spacing w:val="4"/>
          <w:kern w:val="0"/>
          <w:szCs w:val="28"/>
        </w:rPr>
      </w:pPr>
      <w:r>
        <w:rPr>
          <w:rFonts w:hint="eastAsia" w:ascii="宋体" w:hAnsi="宋体" w:cs="宋体"/>
          <w:b/>
          <w:spacing w:val="4"/>
          <w:kern w:val="0"/>
          <w:szCs w:val="28"/>
        </w:rPr>
        <w:t>4.2</w:t>
      </w:r>
      <w:r>
        <w:rPr>
          <w:rFonts w:hint="eastAsia" w:ascii="宋体" w:hAnsi="宋体" w:cs="宋体"/>
          <w:spacing w:val="4"/>
          <w:kern w:val="0"/>
          <w:szCs w:val="28"/>
        </w:rPr>
        <w:t xml:space="preserve"> 企业主要负责人对本单位事故隐患排查治理工作全面负责，保证隐患治理资金投入，及时掌握重大隐患治理情况，治理重大隐患前督促有关部门制定有效的防范措施。</w:t>
      </w:r>
    </w:p>
    <w:p>
      <w:pPr>
        <w:autoSpaceDE w:val="0"/>
        <w:autoSpaceDN w:val="0"/>
        <w:rPr>
          <w:rFonts w:ascii="宋体" w:hAnsi="宋体" w:cs="宋体"/>
          <w:spacing w:val="4"/>
          <w:kern w:val="0"/>
          <w:szCs w:val="28"/>
        </w:rPr>
      </w:pPr>
      <w:r>
        <w:rPr>
          <w:rFonts w:hint="eastAsia" w:ascii="宋体" w:hAnsi="宋体" w:cs="宋体"/>
          <w:b/>
          <w:spacing w:val="4"/>
          <w:kern w:val="0"/>
          <w:szCs w:val="28"/>
        </w:rPr>
        <w:t>4.2.2</w:t>
      </w:r>
      <w:r>
        <w:rPr>
          <w:rFonts w:hint="eastAsia" w:ascii="宋体" w:hAnsi="宋体" w:cs="宋体"/>
          <w:spacing w:val="4"/>
          <w:kern w:val="0"/>
          <w:szCs w:val="28"/>
        </w:rPr>
        <w:t>各分管负责人对分管业务范围内的事故隐患排查治理工作负责。企业分管负责人负责</w:t>
      </w:r>
      <w:r>
        <w:rPr>
          <w:rFonts w:ascii="宋体" w:hAnsi="宋体" w:cs="宋体"/>
          <w:spacing w:val="4"/>
          <w:kern w:val="0"/>
          <w:szCs w:val="28"/>
        </w:rPr>
        <w:t>督促、检查</w:t>
      </w:r>
      <w:r>
        <w:rPr>
          <w:rFonts w:hint="eastAsia" w:ascii="宋体" w:hAnsi="宋体" w:cs="宋体"/>
          <w:spacing w:val="4"/>
          <w:kern w:val="0"/>
          <w:szCs w:val="28"/>
        </w:rPr>
        <w:t>各自业务范围内隐患排查治理制度落实情况，定期召开会议研究解决隐患排查治理工作中出现的问题，及时向主要负责人报告重大情况，</w:t>
      </w:r>
      <w:r>
        <w:rPr>
          <w:rFonts w:ascii="宋体" w:hAnsi="宋体" w:cs="宋体"/>
          <w:spacing w:val="4"/>
          <w:kern w:val="0"/>
          <w:szCs w:val="28"/>
        </w:rPr>
        <w:t>对本单位无力解决的重大隐患，及时向上级有关部门提出报告。</w:t>
      </w:r>
    </w:p>
    <w:p>
      <w:pPr>
        <w:autoSpaceDE w:val="0"/>
        <w:autoSpaceDN w:val="0"/>
        <w:rPr>
          <w:rFonts w:ascii="宋体" w:hAnsi="宋体" w:cs="宋体"/>
          <w:spacing w:val="4"/>
          <w:kern w:val="0"/>
          <w:szCs w:val="28"/>
        </w:rPr>
      </w:pPr>
      <w:r>
        <w:rPr>
          <w:rFonts w:hint="eastAsia" w:ascii="宋体" w:hAnsi="宋体" w:cs="宋体"/>
          <w:b/>
          <w:spacing w:val="4"/>
          <w:kern w:val="0"/>
          <w:szCs w:val="28"/>
        </w:rPr>
        <w:t>4.3</w:t>
      </w:r>
      <w:r>
        <w:rPr>
          <w:rFonts w:hint="eastAsia" w:ascii="宋体" w:hAnsi="宋体" w:cs="宋体"/>
          <w:spacing w:val="4"/>
          <w:kern w:val="0"/>
          <w:szCs w:val="28"/>
        </w:rPr>
        <w:t>安全环保部或生产管理部</w:t>
      </w:r>
      <w:r>
        <w:rPr>
          <w:rFonts w:ascii="宋体" w:hAnsi="宋体" w:cs="宋体"/>
          <w:spacing w:val="4"/>
          <w:kern w:val="0"/>
          <w:szCs w:val="28"/>
        </w:rPr>
        <w:t>在接到有关自然灾害预报时，应当及时向</w:t>
      </w:r>
      <w:r>
        <w:rPr>
          <w:rFonts w:hint="eastAsia" w:ascii="宋体" w:hAnsi="宋体" w:cs="宋体"/>
          <w:spacing w:val="4"/>
          <w:kern w:val="0"/>
          <w:szCs w:val="28"/>
        </w:rPr>
        <w:t>企业各</w:t>
      </w:r>
      <w:r>
        <w:rPr>
          <w:rFonts w:ascii="宋体" w:hAnsi="宋体" w:cs="宋体"/>
          <w:spacing w:val="4"/>
          <w:kern w:val="0"/>
          <w:szCs w:val="28"/>
        </w:rPr>
        <w:t>单位发出预警通知。发生自然灾害可能危及生产</w:t>
      </w:r>
      <w:r>
        <w:rPr>
          <w:rFonts w:hint="eastAsia" w:ascii="宋体" w:hAnsi="宋体" w:cs="宋体"/>
          <w:spacing w:val="4"/>
          <w:kern w:val="0"/>
          <w:szCs w:val="28"/>
        </w:rPr>
        <w:t>装置运行</w:t>
      </w:r>
      <w:r>
        <w:rPr>
          <w:rFonts w:ascii="宋体" w:hAnsi="宋体" w:cs="宋体"/>
          <w:spacing w:val="4"/>
          <w:kern w:val="0"/>
          <w:szCs w:val="28"/>
        </w:rPr>
        <w:t>和人员安全的情况时，应当</w:t>
      </w:r>
      <w:r>
        <w:rPr>
          <w:rFonts w:hint="eastAsia" w:ascii="宋体" w:hAnsi="宋体" w:cs="宋体"/>
          <w:spacing w:val="4"/>
          <w:kern w:val="0"/>
          <w:szCs w:val="28"/>
        </w:rPr>
        <w:t>及时</w:t>
      </w:r>
      <w:r>
        <w:rPr>
          <w:rFonts w:ascii="宋体" w:hAnsi="宋体" w:cs="宋体"/>
          <w:spacing w:val="4"/>
          <w:kern w:val="0"/>
          <w:szCs w:val="28"/>
        </w:rPr>
        <w:t>采取撤离人员、停止作业、加强监测等安全措施。</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4.4 </w:t>
      </w:r>
      <w:r>
        <w:rPr>
          <w:rFonts w:hint="eastAsia" w:ascii="宋体" w:hAnsi="宋体" w:cs="宋体"/>
          <w:spacing w:val="4"/>
          <w:kern w:val="0"/>
          <w:szCs w:val="28"/>
        </w:rPr>
        <w:t>安全环保部门负责公司（厂）级安全检查的组织、检查、整改，如实记录事故隐患排查治理情况，并向从业人员通报；同时</w:t>
      </w:r>
      <w:r>
        <w:rPr>
          <w:rFonts w:ascii="宋体" w:hAnsi="宋体" w:cs="宋体"/>
          <w:spacing w:val="4"/>
          <w:kern w:val="0"/>
          <w:szCs w:val="28"/>
        </w:rPr>
        <w:t>负责</w:t>
      </w:r>
      <w:r>
        <w:rPr>
          <w:rFonts w:hint="eastAsia" w:ascii="宋体" w:hAnsi="宋体" w:cs="宋体"/>
          <w:spacing w:val="4"/>
          <w:kern w:val="0"/>
          <w:szCs w:val="28"/>
        </w:rPr>
        <w:t>组织</w:t>
      </w:r>
      <w:r>
        <w:rPr>
          <w:rFonts w:ascii="宋体" w:hAnsi="宋体" w:cs="宋体"/>
          <w:spacing w:val="4"/>
          <w:kern w:val="0"/>
          <w:szCs w:val="28"/>
        </w:rPr>
        <w:t>公司各类事故隐患排查、评估、整改的评审评价工作</w:t>
      </w:r>
      <w:r>
        <w:rPr>
          <w:rFonts w:hint="eastAsia" w:ascii="宋体" w:hAnsi="宋体" w:cs="宋体"/>
          <w:spacing w:val="4"/>
          <w:kern w:val="0"/>
          <w:szCs w:val="28"/>
        </w:rPr>
        <w:t>，负责各单位上报事故隐患的统计、汇总工作，负责定期组织各专业职能管理部门和各专业技术委员会或人员评审、修订安全检查（隐患排查治理）制度和安全检查表，不断提高安全检查深度和广度。</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5</w:t>
      </w:r>
      <w:r>
        <w:rPr>
          <w:rFonts w:ascii="宋体" w:hAnsi="宋体" w:cs="宋体"/>
          <w:spacing w:val="4"/>
          <w:kern w:val="0"/>
          <w:szCs w:val="28"/>
        </w:rPr>
        <w:t xml:space="preserve"> </w:t>
      </w:r>
      <w:r>
        <w:rPr>
          <w:rFonts w:hint="eastAsia" w:ascii="宋体" w:hAnsi="宋体" w:cs="宋体"/>
          <w:spacing w:val="4"/>
          <w:kern w:val="0"/>
          <w:szCs w:val="28"/>
        </w:rPr>
        <w:t>企业各部室车间负责人负责</w:t>
      </w:r>
      <w:r>
        <w:rPr>
          <w:rFonts w:ascii="宋体" w:hAnsi="宋体" w:cs="宋体"/>
          <w:spacing w:val="4"/>
          <w:kern w:val="0"/>
          <w:szCs w:val="28"/>
        </w:rPr>
        <w:t>组织本单位安全生产检查，落实安全生产事故隐患的整改。负责本单位安全生产检查及事故隐患的排查、评估</w:t>
      </w:r>
      <w:r>
        <w:rPr>
          <w:rFonts w:hint="eastAsia" w:ascii="宋体" w:hAnsi="宋体" w:cs="宋体"/>
          <w:spacing w:val="4"/>
          <w:kern w:val="0"/>
          <w:szCs w:val="28"/>
        </w:rPr>
        <w:t>、</w:t>
      </w:r>
      <w:r>
        <w:rPr>
          <w:rFonts w:ascii="宋体" w:hAnsi="宋体" w:cs="宋体"/>
          <w:spacing w:val="4"/>
          <w:kern w:val="0"/>
          <w:szCs w:val="28"/>
        </w:rPr>
        <w:t>整改的评审评价工作</w:t>
      </w:r>
      <w:r>
        <w:rPr>
          <w:rFonts w:hint="eastAsia" w:ascii="宋体" w:hAnsi="宋体" w:cs="宋体"/>
          <w:spacing w:val="4"/>
          <w:kern w:val="0"/>
          <w:szCs w:val="28"/>
        </w:rPr>
        <w:t>；负责事故隐患的原因分析、倒查和统计上报工作</w:t>
      </w:r>
      <w:r>
        <w:rPr>
          <w:rFonts w:ascii="宋体" w:hAnsi="宋体" w:cs="宋体"/>
          <w:spacing w:val="4"/>
          <w:kern w:val="0"/>
          <w:szCs w:val="28"/>
        </w:rPr>
        <w:t>。</w:t>
      </w:r>
      <w:r>
        <w:rPr>
          <w:rFonts w:hint="eastAsia" w:ascii="宋体" w:hAnsi="宋体" w:cs="宋体"/>
          <w:spacing w:val="4"/>
          <w:kern w:val="0"/>
          <w:szCs w:val="28"/>
        </w:rPr>
        <w:t>同时应当如实记录事故隐患排查治理情况，并向本单位从业人员通报。</w:t>
      </w:r>
    </w:p>
    <w:p>
      <w:pPr>
        <w:autoSpaceDE w:val="0"/>
        <w:autoSpaceDN w:val="0"/>
        <w:rPr>
          <w:rFonts w:ascii="宋体" w:hAnsi="宋体" w:cs="宋体"/>
          <w:spacing w:val="4"/>
          <w:kern w:val="0"/>
          <w:szCs w:val="28"/>
        </w:rPr>
      </w:pPr>
      <w:r>
        <w:rPr>
          <w:rFonts w:hint="eastAsia" w:ascii="宋体" w:hAnsi="宋体" w:cs="宋体"/>
          <w:b/>
          <w:spacing w:val="4"/>
          <w:kern w:val="0"/>
          <w:szCs w:val="28"/>
        </w:rPr>
        <w:t>4.6</w:t>
      </w:r>
      <w:r>
        <w:rPr>
          <w:rFonts w:ascii="宋体" w:hAnsi="宋体" w:cs="宋体"/>
          <w:spacing w:val="4"/>
          <w:kern w:val="0"/>
          <w:szCs w:val="28"/>
        </w:rPr>
        <w:t>各专业职能</w:t>
      </w:r>
      <w:r>
        <w:rPr>
          <w:rFonts w:hint="eastAsia" w:ascii="宋体" w:hAnsi="宋体" w:cs="宋体"/>
          <w:spacing w:val="4"/>
          <w:kern w:val="0"/>
          <w:szCs w:val="28"/>
        </w:rPr>
        <w:t>和行政</w:t>
      </w:r>
      <w:r>
        <w:rPr>
          <w:rFonts w:ascii="宋体" w:hAnsi="宋体" w:cs="宋体"/>
          <w:spacing w:val="4"/>
          <w:kern w:val="0"/>
          <w:szCs w:val="28"/>
        </w:rPr>
        <w:t>管理部门</w:t>
      </w:r>
      <w:r>
        <w:rPr>
          <w:rFonts w:hint="eastAsia" w:ascii="宋体" w:hAnsi="宋体" w:cs="宋体"/>
          <w:spacing w:val="4"/>
          <w:kern w:val="0"/>
          <w:szCs w:val="28"/>
        </w:rPr>
        <w:t>负责</w:t>
      </w:r>
      <w:r>
        <w:rPr>
          <w:rFonts w:ascii="宋体" w:hAnsi="宋体" w:cs="宋体"/>
          <w:spacing w:val="4"/>
          <w:kern w:val="0"/>
          <w:szCs w:val="28"/>
        </w:rPr>
        <w:t>本</w:t>
      </w:r>
      <w:r>
        <w:rPr>
          <w:rFonts w:hint="eastAsia" w:ascii="宋体" w:hAnsi="宋体" w:cs="宋体"/>
          <w:spacing w:val="4"/>
          <w:kern w:val="0"/>
          <w:szCs w:val="28"/>
        </w:rPr>
        <w:t>单位</w:t>
      </w:r>
      <w:r>
        <w:rPr>
          <w:rFonts w:ascii="宋体" w:hAnsi="宋体" w:cs="宋体"/>
          <w:spacing w:val="4"/>
          <w:kern w:val="0"/>
          <w:szCs w:val="28"/>
        </w:rPr>
        <w:t>专业系统</w:t>
      </w:r>
      <w:r>
        <w:rPr>
          <w:rFonts w:hint="eastAsia" w:ascii="宋体" w:hAnsi="宋体" w:cs="宋体"/>
          <w:spacing w:val="4"/>
          <w:kern w:val="0"/>
          <w:szCs w:val="28"/>
        </w:rPr>
        <w:t>内安全检查</w:t>
      </w:r>
      <w:r>
        <w:rPr>
          <w:rFonts w:ascii="宋体" w:hAnsi="宋体" w:cs="宋体"/>
          <w:spacing w:val="4"/>
          <w:kern w:val="0"/>
          <w:szCs w:val="28"/>
        </w:rPr>
        <w:t>及事故隐患的排查、评估</w:t>
      </w:r>
      <w:r>
        <w:rPr>
          <w:rFonts w:hint="eastAsia" w:ascii="宋体" w:hAnsi="宋体" w:cs="宋体"/>
          <w:spacing w:val="4"/>
          <w:kern w:val="0"/>
          <w:szCs w:val="28"/>
        </w:rPr>
        <w:t>、</w:t>
      </w:r>
      <w:r>
        <w:rPr>
          <w:rFonts w:ascii="宋体" w:hAnsi="宋体" w:cs="宋体"/>
          <w:spacing w:val="4"/>
          <w:kern w:val="0"/>
          <w:szCs w:val="28"/>
        </w:rPr>
        <w:t>整改的评审评价工作</w:t>
      </w:r>
      <w:r>
        <w:rPr>
          <w:rFonts w:hint="eastAsia" w:ascii="宋体" w:hAnsi="宋体" w:cs="宋体"/>
          <w:spacing w:val="4"/>
          <w:kern w:val="0"/>
          <w:szCs w:val="28"/>
        </w:rPr>
        <w:t>；负责事故隐患的原因分析、倒查和统计上报工作；同时应当如实记录事故隐患排查治理情况，并及时向隐患所在单位负责人通报。</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7</w:t>
      </w:r>
      <w:r>
        <w:rPr>
          <w:rFonts w:ascii="宋体" w:hAnsi="宋体" w:cs="宋体"/>
          <w:b/>
          <w:spacing w:val="4"/>
          <w:kern w:val="0"/>
          <w:szCs w:val="28"/>
        </w:rPr>
        <w:t xml:space="preserve"> </w:t>
      </w:r>
      <w:r>
        <w:rPr>
          <w:rFonts w:ascii="宋体" w:hAnsi="宋体" w:cs="宋体"/>
          <w:spacing w:val="4"/>
          <w:kern w:val="0"/>
          <w:szCs w:val="28"/>
        </w:rPr>
        <w:t>综合检查</w:t>
      </w:r>
      <w:r>
        <w:rPr>
          <w:rFonts w:hint="eastAsia" w:ascii="宋体" w:hAnsi="宋体" w:cs="宋体"/>
          <w:spacing w:val="4"/>
          <w:kern w:val="0"/>
          <w:szCs w:val="28"/>
        </w:rPr>
        <w:t>、</w:t>
      </w:r>
      <w:r>
        <w:rPr>
          <w:rFonts w:ascii="宋体" w:hAnsi="宋体" w:cs="宋体"/>
          <w:spacing w:val="4"/>
          <w:kern w:val="0"/>
          <w:szCs w:val="28"/>
        </w:rPr>
        <w:t>节假日检查分别由</w:t>
      </w:r>
      <w:r>
        <w:rPr>
          <w:rFonts w:hint="eastAsia" w:ascii="宋体" w:hAnsi="宋体" w:cs="宋体"/>
          <w:spacing w:val="4"/>
          <w:kern w:val="0"/>
          <w:szCs w:val="28"/>
        </w:rPr>
        <w:t>安全环保部</w:t>
      </w:r>
      <w:r>
        <w:rPr>
          <w:rFonts w:ascii="宋体" w:hAnsi="宋体" w:cs="宋体"/>
          <w:spacing w:val="4"/>
          <w:kern w:val="0"/>
          <w:szCs w:val="28"/>
        </w:rPr>
        <w:t>、</w:t>
      </w:r>
      <w:r>
        <w:rPr>
          <w:rFonts w:hint="eastAsia" w:ascii="宋体" w:hAnsi="宋体" w:cs="宋体"/>
          <w:spacing w:val="4"/>
          <w:kern w:val="0"/>
          <w:szCs w:val="28"/>
        </w:rPr>
        <w:t>各职能部门、</w:t>
      </w:r>
      <w:r>
        <w:rPr>
          <w:rFonts w:ascii="宋体" w:hAnsi="宋体" w:cs="宋体"/>
          <w:spacing w:val="4"/>
          <w:kern w:val="0"/>
          <w:szCs w:val="28"/>
        </w:rPr>
        <w:t>车间</w:t>
      </w:r>
      <w:r>
        <w:rPr>
          <w:rFonts w:hint="eastAsia" w:ascii="宋体" w:hAnsi="宋体" w:cs="宋体"/>
          <w:spacing w:val="4"/>
          <w:kern w:val="0"/>
          <w:szCs w:val="28"/>
        </w:rPr>
        <w:t>（科室）</w:t>
      </w:r>
      <w:r>
        <w:rPr>
          <w:rFonts w:ascii="宋体" w:hAnsi="宋体" w:cs="宋体"/>
          <w:spacing w:val="4"/>
          <w:kern w:val="0"/>
          <w:szCs w:val="28"/>
        </w:rPr>
        <w:t>、班组</w:t>
      </w:r>
      <w:r>
        <w:rPr>
          <w:rFonts w:hint="eastAsia" w:ascii="宋体" w:hAnsi="宋体" w:cs="宋体"/>
          <w:spacing w:val="4"/>
          <w:kern w:val="0"/>
          <w:szCs w:val="28"/>
        </w:rPr>
        <w:t>（工段）</w:t>
      </w:r>
      <w:r>
        <w:rPr>
          <w:rFonts w:ascii="宋体" w:hAnsi="宋体" w:cs="宋体"/>
          <w:spacing w:val="4"/>
          <w:kern w:val="0"/>
          <w:szCs w:val="28"/>
        </w:rPr>
        <w:t>组织本单位人员实施。</w:t>
      </w:r>
      <w:r>
        <w:rPr>
          <w:rFonts w:hint="eastAsia" w:ascii="宋体" w:hAnsi="宋体" w:cs="宋体"/>
          <w:spacing w:val="4"/>
          <w:kern w:val="0"/>
          <w:szCs w:val="28"/>
        </w:rPr>
        <w:t>公司（厂）级的由企业安全生产委员会办公室（安全管理部门）组织实施，其它部门配合并组织本单位、本专业的检查，综合性检查公司级每月进行一次，部室车间每15天进行一次，班组（工段）每周进行一次。</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8</w:t>
      </w:r>
      <w:r>
        <w:rPr>
          <w:rFonts w:hint="eastAsia" w:ascii="宋体" w:hAnsi="宋体" w:cs="宋体"/>
          <w:spacing w:val="4"/>
          <w:kern w:val="0"/>
          <w:szCs w:val="28"/>
        </w:rPr>
        <w:t xml:space="preserve"> </w:t>
      </w:r>
      <w:r>
        <w:rPr>
          <w:rFonts w:ascii="宋体" w:hAnsi="宋体" w:cs="宋体"/>
          <w:spacing w:val="4"/>
          <w:kern w:val="0"/>
          <w:szCs w:val="28"/>
        </w:rPr>
        <w:t>专业性检查分别由各专业职能管理部门的负责人组织</w:t>
      </w:r>
      <w:r>
        <w:rPr>
          <w:rFonts w:hint="eastAsia" w:ascii="宋体" w:hAnsi="宋体" w:cs="宋体"/>
          <w:spacing w:val="4"/>
          <w:kern w:val="0"/>
          <w:szCs w:val="28"/>
        </w:rPr>
        <w:t>本单位、</w:t>
      </w:r>
      <w:r>
        <w:rPr>
          <w:rFonts w:ascii="宋体" w:hAnsi="宋体" w:cs="宋体"/>
          <w:spacing w:val="4"/>
          <w:kern w:val="0"/>
          <w:szCs w:val="28"/>
        </w:rPr>
        <w:t>本专业人员实施</w:t>
      </w:r>
      <w:r>
        <w:rPr>
          <w:rFonts w:hint="eastAsia" w:ascii="宋体" w:hAnsi="宋体" w:cs="宋体"/>
          <w:spacing w:val="4"/>
          <w:kern w:val="0"/>
          <w:szCs w:val="28"/>
        </w:rPr>
        <w:t>，专项检查每年进行2次</w:t>
      </w:r>
      <w:r>
        <w:rPr>
          <w:rFonts w:ascii="宋体" w:hAnsi="宋体" w:cs="宋体"/>
          <w:spacing w:val="4"/>
          <w:kern w:val="0"/>
          <w:szCs w:val="28"/>
        </w:rPr>
        <w:t>。</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8.1</w:t>
      </w:r>
      <w:r>
        <w:rPr>
          <w:rFonts w:ascii="宋体" w:hAnsi="宋体" w:cs="宋体"/>
          <w:b/>
          <w:spacing w:val="4"/>
          <w:kern w:val="0"/>
          <w:szCs w:val="28"/>
        </w:rPr>
        <w:t xml:space="preserve"> </w:t>
      </w:r>
      <w:r>
        <w:rPr>
          <w:rFonts w:hint="eastAsia" w:ascii="宋体" w:hAnsi="宋体" w:cs="宋体"/>
          <w:spacing w:val="4"/>
          <w:kern w:val="0"/>
          <w:szCs w:val="28"/>
        </w:rPr>
        <w:t>技术部门负责组织工艺技术方面的专业性检查；</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4.8.2 </w:t>
      </w:r>
      <w:r>
        <w:rPr>
          <w:rFonts w:hint="eastAsia" w:ascii="宋体" w:hAnsi="宋体" w:cs="宋体"/>
          <w:spacing w:val="4"/>
          <w:kern w:val="0"/>
          <w:szCs w:val="28"/>
        </w:rPr>
        <w:t>设备部门负责组织设备设施方面的专业性检查；</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4.8.3 </w:t>
      </w:r>
      <w:r>
        <w:rPr>
          <w:rFonts w:hint="eastAsia" w:ascii="宋体" w:hAnsi="宋体" w:cs="宋体"/>
          <w:spacing w:val="4"/>
          <w:kern w:val="0"/>
          <w:szCs w:val="28"/>
        </w:rPr>
        <w:t>电气管理部门负责组织电气方面的专业性检查；</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8.4</w:t>
      </w:r>
      <w:r>
        <w:rPr>
          <w:rFonts w:ascii="宋体" w:hAnsi="宋体" w:cs="宋体"/>
          <w:b/>
          <w:spacing w:val="4"/>
          <w:kern w:val="0"/>
          <w:szCs w:val="28"/>
        </w:rPr>
        <w:t xml:space="preserve"> </w:t>
      </w:r>
      <w:r>
        <w:rPr>
          <w:rFonts w:hint="eastAsia" w:ascii="宋体" w:hAnsi="宋体" w:cs="宋体"/>
          <w:spacing w:val="4"/>
          <w:kern w:val="0"/>
          <w:szCs w:val="28"/>
        </w:rPr>
        <w:t>仪表负责组织仪表等监视测量方面的专业性检查；</w:t>
      </w:r>
      <w:r>
        <w:rPr>
          <w:rFonts w:ascii="宋体" w:hAnsi="宋体" w:cs="宋体"/>
          <w:spacing w:val="4"/>
          <w:kern w:val="0"/>
          <w:szCs w:val="28"/>
        </w:rPr>
        <w:t xml:space="preserve"> </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8.5</w:t>
      </w:r>
      <w:r>
        <w:rPr>
          <w:rFonts w:ascii="宋体" w:hAnsi="宋体" w:cs="宋体"/>
          <w:b/>
          <w:spacing w:val="4"/>
          <w:kern w:val="0"/>
          <w:szCs w:val="28"/>
        </w:rPr>
        <w:t xml:space="preserve"> </w:t>
      </w:r>
      <w:r>
        <w:rPr>
          <w:rFonts w:ascii="宋体" w:hAnsi="宋体" w:cs="宋体"/>
          <w:spacing w:val="4"/>
          <w:kern w:val="0"/>
          <w:szCs w:val="28"/>
        </w:rPr>
        <w:t>基建部</w:t>
      </w:r>
      <w:r>
        <w:rPr>
          <w:rFonts w:hint="eastAsia" w:ascii="宋体" w:hAnsi="宋体" w:cs="宋体"/>
          <w:spacing w:val="4"/>
          <w:kern w:val="0"/>
          <w:szCs w:val="28"/>
        </w:rPr>
        <w:t>门负责组织在建构筑物（竣工移交后的建构筑物由使用单位负责检查维修）、外来施工队伍及施工安全措施及物资存放方面的专业性检查；</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8.6</w:t>
      </w:r>
      <w:r>
        <w:rPr>
          <w:rFonts w:ascii="宋体" w:hAnsi="宋体" w:cs="宋体"/>
          <w:b/>
          <w:spacing w:val="4"/>
          <w:kern w:val="0"/>
          <w:szCs w:val="28"/>
        </w:rPr>
        <w:t xml:space="preserve"> </w:t>
      </w:r>
      <w:r>
        <w:rPr>
          <w:rFonts w:ascii="宋体" w:hAnsi="宋体" w:cs="宋体"/>
          <w:spacing w:val="4"/>
          <w:kern w:val="0"/>
          <w:szCs w:val="28"/>
        </w:rPr>
        <w:t>企业管理部</w:t>
      </w:r>
      <w:r>
        <w:rPr>
          <w:rFonts w:hint="eastAsia" w:ascii="宋体" w:hAnsi="宋体" w:cs="宋体"/>
          <w:spacing w:val="4"/>
          <w:kern w:val="0"/>
          <w:szCs w:val="28"/>
        </w:rPr>
        <w:t>门负责组织文件、记录、管理方面的专业性检查；</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8.7</w:t>
      </w:r>
      <w:r>
        <w:rPr>
          <w:rFonts w:ascii="宋体" w:hAnsi="宋体" w:cs="宋体"/>
          <w:spacing w:val="4"/>
          <w:kern w:val="0"/>
          <w:szCs w:val="28"/>
        </w:rPr>
        <w:t xml:space="preserve"> </w:t>
      </w:r>
      <w:r>
        <w:rPr>
          <w:rFonts w:hint="eastAsia" w:ascii="宋体" w:hAnsi="宋体" w:cs="宋体"/>
          <w:spacing w:val="4"/>
          <w:kern w:val="0"/>
          <w:szCs w:val="28"/>
        </w:rPr>
        <w:t>营销采购部门负责组织原料供应、产品销售、车辆运输方面的专业性检查；</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8.8</w:t>
      </w:r>
      <w:r>
        <w:rPr>
          <w:rFonts w:hint="eastAsia" w:ascii="宋体" w:hAnsi="宋体" w:cs="宋体"/>
          <w:spacing w:val="4"/>
          <w:kern w:val="0"/>
          <w:szCs w:val="28"/>
        </w:rPr>
        <w:t xml:space="preserve"> 安全、消防、保卫部门负责组织防火、防爆、应急器材、劳动防护用品、治安防控方面的专业性检查。</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8.9</w:t>
      </w:r>
      <w:r>
        <w:rPr>
          <w:rFonts w:ascii="宋体" w:hAnsi="宋体" w:cs="宋体"/>
          <w:spacing w:val="4"/>
          <w:kern w:val="0"/>
          <w:szCs w:val="28"/>
        </w:rPr>
        <w:t xml:space="preserve"> </w:t>
      </w:r>
      <w:r>
        <w:rPr>
          <w:rFonts w:hint="eastAsia" w:ascii="宋体" w:hAnsi="宋体" w:cs="宋体"/>
          <w:spacing w:val="4"/>
          <w:kern w:val="0"/>
          <w:szCs w:val="28"/>
        </w:rPr>
        <w:t>企业办公室、人力资源、</w:t>
      </w:r>
      <w:r>
        <w:rPr>
          <w:rFonts w:ascii="宋体" w:hAnsi="宋体" w:cs="宋体"/>
          <w:spacing w:val="4"/>
          <w:kern w:val="0"/>
          <w:szCs w:val="28"/>
        </w:rPr>
        <w:t>财务</w:t>
      </w:r>
      <w:r>
        <w:rPr>
          <w:rFonts w:hint="eastAsia" w:ascii="宋体" w:hAnsi="宋体" w:cs="宋体"/>
          <w:spacing w:val="4"/>
          <w:kern w:val="0"/>
          <w:szCs w:val="28"/>
        </w:rPr>
        <w:t>等其他部门负责本单位范围内的安全检查和事故隐患排查治理工作</w:t>
      </w:r>
      <w:r>
        <w:rPr>
          <w:rFonts w:ascii="宋体" w:hAnsi="宋体" w:cs="宋体"/>
          <w:spacing w:val="4"/>
          <w:kern w:val="0"/>
          <w:szCs w:val="28"/>
        </w:rPr>
        <w:t>。</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8.10</w:t>
      </w:r>
      <w:r>
        <w:rPr>
          <w:rFonts w:hint="eastAsia" w:ascii="宋体" w:hAnsi="宋体" w:cs="宋体"/>
          <w:spacing w:val="4"/>
          <w:kern w:val="0"/>
          <w:szCs w:val="28"/>
        </w:rPr>
        <w:t>仓储部门负责厂区内物料的装卸、保管、储存方面的专业性检查。</w:t>
      </w:r>
    </w:p>
    <w:p>
      <w:pPr>
        <w:autoSpaceDE w:val="0"/>
        <w:autoSpaceDN w:val="0"/>
        <w:rPr>
          <w:rFonts w:ascii="宋体" w:hAnsi="宋体" w:cs="宋体"/>
          <w:b/>
          <w:spacing w:val="4"/>
          <w:kern w:val="0"/>
          <w:szCs w:val="28"/>
        </w:rPr>
      </w:pPr>
      <w:r>
        <w:rPr>
          <w:rFonts w:hint="eastAsia" w:ascii="宋体" w:hAnsi="宋体" w:cs="宋体"/>
          <w:b/>
          <w:spacing w:val="4"/>
          <w:kern w:val="0"/>
          <w:szCs w:val="28"/>
        </w:rPr>
        <w:t>4.8.11</w:t>
      </w:r>
      <w:r>
        <w:rPr>
          <w:rFonts w:hint="eastAsia" w:ascii="宋体" w:hAnsi="宋体" w:cs="宋体"/>
          <w:spacing w:val="4"/>
          <w:kern w:val="0"/>
          <w:szCs w:val="28"/>
        </w:rPr>
        <w:t>质检部负责对厂内质检部涉及的化学品进行专业性检查。</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9</w:t>
      </w:r>
      <w:r>
        <w:rPr>
          <w:rFonts w:ascii="宋体" w:hAnsi="宋体" w:cs="宋体"/>
          <w:spacing w:val="4"/>
          <w:kern w:val="0"/>
          <w:szCs w:val="28"/>
        </w:rPr>
        <w:t xml:space="preserve"> 季节性检查分别由安全</w:t>
      </w:r>
      <w:r>
        <w:rPr>
          <w:rFonts w:hint="eastAsia" w:ascii="宋体" w:hAnsi="宋体" w:cs="宋体"/>
          <w:spacing w:val="4"/>
          <w:kern w:val="0"/>
          <w:szCs w:val="28"/>
        </w:rPr>
        <w:t>环保部</w:t>
      </w:r>
      <w:r>
        <w:rPr>
          <w:rFonts w:ascii="宋体" w:hAnsi="宋体" w:cs="宋体"/>
          <w:spacing w:val="4"/>
          <w:kern w:val="0"/>
          <w:szCs w:val="28"/>
        </w:rPr>
        <w:t>、各专业职能管理部门的负责人，根据不同季节气候特点组织本单位</w:t>
      </w:r>
      <w:r>
        <w:rPr>
          <w:rFonts w:hint="eastAsia" w:ascii="宋体" w:hAnsi="宋体" w:cs="宋体"/>
          <w:spacing w:val="4"/>
          <w:kern w:val="0"/>
          <w:szCs w:val="28"/>
        </w:rPr>
        <w:t>或本专业</w:t>
      </w:r>
      <w:r>
        <w:rPr>
          <w:rFonts w:ascii="宋体" w:hAnsi="宋体" w:cs="宋体"/>
          <w:spacing w:val="4"/>
          <w:kern w:val="0"/>
          <w:szCs w:val="28"/>
        </w:rPr>
        <w:t>人员，进行预防性季节检查</w:t>
      </w:r>
      <w:r>
        <w:rPr>
          <w:rFonts w:hint="eastAsia" w:ascii="宋体" w:hAnsi="宋体" w:cs="宋体"/>
          <w:spacing w:val="4"/>
          <w:kern w:val="0"/>
          <w:szCs w:val="28"/>
        </w:rPr>
        <w:t>，每季度进行一次</w:t>
      </w:r>
      <w:r>
        <w:rPr>
          <w:rFonts w:ascii="宋体" w:hAnsi="宋体" w:cs="宋体"/>
          <w:spacing w:val="4"/>
          <w:kern w:val="0"/>
          <w:szCs w:val="28"/>
        </w:rPr>
        <w:t>。</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10</w:t>
      </w:r>
      <w:r>
        <w:rPr>
          <w:rFonts w:ascii="宋体" w:hAnsi="宋体" w:cs="宋体"/>
          <w:b/>
          <w:spacing w:val="4"/>
          <w:kern w:val="0"/>
          <w:szCs w:val="28"/>
        </w:rPr>
        <w:t xml:space="preserve"> </w:t>
      </w:r>
      <w:r>
        <w:rPr>
          <w:rFonts w:ascii="宋体" w:hAnsi="宋体" w:cs="宋体"/>
          <w:spacing w:val="4"/>
          <w:kern w:val="0"/>
          <w:szCs w:val="28"/>
        </w:rPr>
        <w:t>日常检查由</w:t>
      </w:r>
      <w:r>
        <w:rPr>
          <w:rFonts w:hint="eastAsia" w:ascii="宋体" w:hAnsi="宋体" w:cs="宋体"/>
          <w:spacing w:val="4"/>
          <w:kern w:val="0"/>
          <w:szCs w:val="28"/>
        </w:rPr>
        <w:t>各级</w:t>
      </w:r>
      <w:r>
        <w:rPr>
          <w:rFonts w:ascii="宋体" w:hAnsi="宋体" w:cs="宋体"/>
          <w:spacing w:val="4"/>
          <w:kern w:val="0"/>
          <w:szCs w:val="28"/>
        </w:rPr>
        <w:t>管理人员和岗位员工巡回检查，各级管理人员应在各自的职责范围内进行检查；岗位</w:t>
      </w:r>
      <w:r>
        <w:rPr>
          <w:rFonts w:hint="eastAsia" w:ascii="宋体" w:hAnsi="宋体" w:cs="宋体"/>
          <w:spacing w:val="4"/>
          <w:kern w:val="0"/>
          <w:szCs w:val="28"/>
        </w:rPr>
        <w:t>员工按照各自的</w:t>
      </w:r>
      <w:r>
        <w:rPr>
          <w:rFonts w:ascii="宋体" w:hAnsi="宋体" w:cs="宋体"/>
          <w:spacing w:val="4"/>
          <w:kern w:val="0"/>
          <w:szCs w:val="28"/>
        </w:rPr>
        <w:t>岗位</w:t>
      </w:r>
      <w:r>
        <w:rPr>
          <w:rFonts w:hint="eastAsia" w:ascii="宋体" w:hAnsi="宋体" w:cs="宋体"/>
          <w:spacing w:val="4"/>
          <w:kern w:val="0"/>
          <w:szCs w:val="28"/>
        </w:rPr>
        <w:t>职责</w:t>
      </w:r>
      <w:r>
        <w:rPr>
          <w:rFonts w:ascii="宋体" w:hAnsi="宋体" w:cs="宋体"/>
          <w:spacing w:val="4"/>
          <w:kern w:val="0"/>
          <w:szCs w:val="28"/>
        </w:rPr>
        <w:t>，进行交接班检查和班中</w:t>
      </w:r>
      <w:r>
        <w:rPr>
          <w:rFonts w:hint="eastAsia" w:ascii="宋体" w:hAnsi="宋体" w:cs="宋体"/>
          <w:spacing w:val="4"/>
          <w:kern w:val="0"/>
          <w:szCs w:val="28"/>
        </w:rPr>
        <w:t>定期</w:t>
      </w:r>
      <w:r>
        <w:rPr>
          <w:rFonts w:ascii="宋体" w:hAnsi="宋体" w:cs="宋体"/>
          <w:spacing w:val="4"/>
          <w:kern w:val="0"/>
          <w:szCs w:val="28"/>
        </w:rPr>
        <w:t>巡回检查</w:t>
      </w:r>
      <w:r>
        <w:rPr>
          <w:rFonts w:hint="eastAsia" w:ascii="宋体" w:hAnsi="宋体" w:cs="宋体"/>
          <w:spacing w:val="4"/>
          <w:kern w:val="0"/>
          <w:szCs w:val="28"/>
        </w:rPr>
        <w:t>，日常性检查：各岗位包含重大危险源管理岗位至少每小时巡检一次，车间班组长每2小时巡检一次，车间负责人每天至少巡检2次</w:t>
      </w:r>
      <w:r>
        <w:rPr>
          <w:rFonts w:ascii="宋体" w:hAnsi="宋体" w:cs="宋体"/>
          <w:spacing w:val="4"/>
          <w:kern w:val="0"/>
          <w:szCs w:val="28"/>
        </w:rPr>
        <w:t>。</w:t>
      </w:r>
    </w:p>
    <w:p>
      <w:pPr>
        <w:autoSpaceDE w:val="0"/>
        <w:autoSpaceDN w:val="0"/>
        <w:rPr>
          <w:rFonts w:ascii="宋体" w:hAnsi="宋体" w:cs="宋体"/>
          <w:spacing w:val="4"/>
          <w:kern w:val="0"/>
          <w:szCs w:val="28"/>
        </w:rPr>
      </w:pPr>
      <w:r>
        <w:rPr>
          <w:rFonts w:hint="eastAsia" w:ascii="宋体" w:hAnsi="宋体" w:cs="宋体"/>
          <w:b/>
          <w:spacing w:val="4"/>
          <w:kern w:val="0"/>
          <w:szCs w:val="28"/>
        </w:rPr>
        <w:t>4.11</w:t>
      </w:r>
      <w:r>
        <w:rPr>
          <w:rFonts w:hint="eastAsia" w:ascii="宋体" w:hAnsi="宋体" w:cs="宋体"/>
          <w:spacing w:val="4"/>
          <w:kern w:val="0"/>
          <w:szCs w:val="28"/>
        </w:rPr>
        <w:t xml:space="preserve"> 事故类比隐患检查</w:t>
      </w:r>
      <w:r>
        <w:rPr>
          <w:rFonts w:ascii="宋体" w:hAnsi="宋体" w:cs="宋体"/>
          <w:spacing w:val="4"/>
          <w:kern w:val="0"/>
          <w:szCs w:val="28"/>
        </w:rPr>
        <w:t>由安全</w:t>
      </w:r>
      <w:r>
        <w:rPr>
          <w:rFonts w:hint="eastAsia" w:ascii="宋体" w:hAnsi="宋体" w:cs="宋体"/>
          <w:spacing w:val="4"/>
          <w:kern w:val="0"/>
          <w:szCs w:val="28"/>
        </w:rPr>
        <w:t>管理部门</w:t>
      </w:r>
      <w:r>
        <w:rPr>
          <w:rFonts w:ascii="宋体" w:hAnsi="宋体" w:cs="宋体"/>
          <w:spacing w:val="4"/>
          <w:kern w:val="0"/>
          <w:szCs w:val="28"/>
        </w:rPr>
        <w:t>部</w:t>
      </w:r>
      <w:r>
        <w:rPr>
          <w:rFonts w:hint="eastAsia" w:ascii="宋体" w:hAnsi="宋体" w:cs="宋体"/>
          <w:spacing w:val="4"/>
          <w:kern w:val="0"/>
          <w:szCs w:val="28"/>
        </w:rPr>
        <w:t>组织相关单位实施。</w:t>
      </w:r>
    </w:p>
    <w:p>
      <w:pPr>
        <w:rPr>
          <w:rFonts w:ascii="宋体" w:hAnsi="宋体" w:cs="宋体"/>
          <w:spacing w:val="4"/>
          <w:kern w:val="0"/>
          <w:szCs w:val="28"/>
        </w:rPr>
      </w:pPr>
      <w:r>
        <w:rPr>
          <w:rFonts w:hint="eastAsia" w:ascii="宋体" w:hAnsi="宋体" w:cs="宋体"/>
          <w:b/>
          <w:spacing w:val="4"/>
          <w:kern w:val="0"/>
          <w:szCs w:val="28"/>
        </w:rPr>
        <w:t>4.12</w:t>
      </w:r>
      <w:r>
        <w:rPr>
          <w:rFonts w:ascii="宋体" w:hAnsi="宋体" w:cs="宋体"/>
          <w:spacing w:val="4"/>
          <w:kern w:val="0"/>
          <w:szCs w:val="28"/>
        </w:rPr>
        <w:t xml:space="preserve"> </w:t>
      </w:r>
      <w:r>
        <w:rPr>
          <w:rFonts w:hint="eastAsia" w:ascii="宋体" w:hAnsi="宋体" w:cs="宋体"/>
          <w:spacing w:val="4"/>
          <w:kern w:val="0"/>
          <w:szCs w:val="28"/>
        </w:rPr>
        <w:t>节假日隐患排查，</w:t>
      </w:r>
    </w:p>
    <w:p>
      <w:pPr>
        <w:rPr>
          <w:rFonts w:ascii="宋体" w:hAnsi="宋体" w:cs="宋体"/>
          <w:spacing w:val="4"/>
          <w:kern w:val="0"/>
          <w:szCs w:val="28"/>
        </w:rPr>
      </w:pPr>
      <w:r>
        <w:rPr>
          <w:rFonts w:hint="eastAsia" w:ascii="宋体" w:hAnsi="宋体" w:cs="宋体"/>
          <w:spacing w:val="4"/>
          <w:kern w:val="0"/>
          <w:szCs w:val="28"/>
        </w:rPr>
        <w:t>（一）重要节假日（如：元旦、春节、五一、十一等）前，为保证节假日期间的安全生产，应进行安全隐患检查；</w:t>
      </w:r>
    </w:p>
    <w:p>
      <w:pPr>
        <w:rPr>
          <w:rFonts w:ascii="宋体" w:hAnsi="宋体" w:cs="宋体"/>
          <w:spacing w:val="4"/>
          <w:kern w:val="0"/>
          <w:szCs w:val="28"/>
        </w:rPr>
      </w:pPr>
      <w:r>
        <w:rPr>
          <w:rFonts w:hint="eastAsia" w:ascii="宋体" w:hAnsi="宋体" w:cs="宋体"/>
          <w:spacing w:val="4"/>
          <w:kern w:val="0"/>
          <w:szCs w:val="28"/>
        </w:rPr>
        <w:t>（二）节假日安全隐患检查由安全管理部门组织人员进行自查并做好记录； </w:t>
      </w:r>
    </w:p>
    <w:p>
      <w:pPr>
        <w:rPr>
          <w:rFonts w:ascii="宋体" w:hAnsi="宋体" w:cs="宋体"/>
          <w:spacing w:val="4"/>
          <w:kern w:val="0"/>
          <w:szCs w:val="28"/>
        </w:rPr>
      </w:pPr>
      <w:r>
        <w:rPr>
          <w:rFonts w:hint="eastAsia" w:ascii="宋体" w:hAnsi="宋体" w:cs="宋体"/>
          <w:spacing w:val="4"/>
          <w:kern w:val="0"/>
          <w:szCs w:val="28"/>
        </w:rPr>
        <w:t>（三）节日前需认真检查下列情况：</w:t>
      </w:r>
    </w:p>
    <w:p>
      <w:pPr>
        <w:rPr>
          <w:rFonts w:ascii="宋体" w:hAnsi="宋体" w:cs="宋体"/>
          <w:spacing w:val="4"/>
          <w:kern w:val="0"/>
          <w:szCs w:val="28"/>
        </w:rPr>
      </w:pPr>
      <w:r>
        <w:rPr>
          <w:rFonts w:hint="eastAsia" w:ascii="宋体" w:hAnsi="宋体" w:cs="宋体"/>
          <w:spacing w:val="4"/>
          <w:kern w:val="0"/>
          <w:szCs w:val="28"/>
        </w:rPr>
        <w:t> 1、易燃易爆物品的存放和普通物品存放保管情况；</w:t>
      </w:r>
    </w:p>
    <w:p>
      <w:pPr>
        <w:rPr>
          <w:rFonts w:ascii="宋体" w:hAnsi="宋体" w:cs="宋体"/>
          <w:spacing w:val="4"/>
          <w:kern w:val="0"/>
          <w:szCs w:val="28"/>
        </w:rPr>
      </w:pPr>
      <w:r>
        <w:rPr>
          <w:rFonts w:hint="eastAsia" w:ascii="宋体" w:hAnsi="宋体" w:cs="宋体"/>
          <w:spacing w:val="4"/>
          <w:kern w:val="0"/>
          <w:szCs w:val="28"/>
        </w:rPr>
        <w:t> 2、假日生产安全措施的安排落实情况； </w:t>
      </w:r>
    </w:p>
    <w:p>
      <w:pPr>
        <w:rPr>
          <w:rFonts w:ascii="宋体" w:hAnsi="宋体" w:cs="宋体"/>
          <w:spacing w:val="4"/>
          <w:kern w:val="0"/>
          <w:szCs w:val="28"/>
        </w:rPr>
      </w:pPr>
      <w:r>
        <w:rPr>
          <w:rFonts w:hint="eastAsia" w:ascii="宋体" w:hAnsi="宋体" w:cs="宋体"/>
          <w:spacing w:val="4"/>
          <w:kern w:val="0"/>
          <w:szCs w:val="28"/>
        </w:rPr>
        <w:t>3、劳动纪律、操作规程的执行以及节前安全教育情况；</w:t>
      </w:r>
    </w:p>
    <w:p>
      <w:pPr>
        <w:rPr>
          <w:rFonts w:ascii="宋体" w:hAnsi="宋体" w:cs="宋体"/>
          <w:spacing w:val="4"/>
          <w:kern w:val="0"/>
          <w:szCs w:val="28"/>
        </w:rPr>
      </w:pPr>
      <w:r>
        <w:rPr>
          <w:rFonts w:hint="eastAsia" w:ascii="宋体" w:hAnsi="宋体" w:cs="宋体"/>
          <w:spacing w:val="4"/>
          <w:kern w:val="0"/>
          <w:szCs w:val="28"/>
        </w:rPr>
        <w:t>4、各类设备的安全运行以及隐患整改情况； </w:t>
      </w:r>
    </w:p>
    <w:p>
      <w:pPr>
        <w:rPr>
          <w:rFonts w:ascii="宋体" w:hAnsi="宋体" w:cs="宋体"/>
          <w:spacing w:val="4"/>
          <w:kern w:val="0"/>
          <w:szCs w:val="28"/>
        </w:rPr>
      </w:pPr>
      <w:r>
        <w:rPr>
          <w:rFonts w:hint="eastAsia" w:ascii="宋体" w:hAnsi="宋体" w:cs="宋体"/>
          <w:spacing w:val="4"/>
          <w:kern w:val="0"/>
          <w:szCs w:val="28"/>
        </w:rPr>
        <w:t>5、节假日值班人员的落实情况。</w:t>
      </w:r>
    </w:p>
    <w:p>
      <w:pPr>
        <w:rPr>
          <w:rFonts w:ascii="宋体" w:hAnsi="宋体" w:cs="宋体"/>
          <w:spacing w:val="4"/>
          <w:kern w:val="0"/>
          <w:szCs w:val="28"/>
        </w:rPr>
      </w:pPr>
      <w:r>
        <w:rPr>
          <w:rFonts w:hint="eastAsia" w:ascii="宋体" w:hAnsi="宋体" w:cs="宋体"/>
          <w:b/>
          <w:spacing w:val="4"/>
          <w:kern w:val="0"/>
          <w:szCs w:val="28"/>
        </w:rPr>
        <w:t>4.13</w:t>
      </w:r>
      <w:r>
        <w:rPr>
          <w:rFonts w:hint="eastAsia" w:ascii="宋体" w:hAnsi="宋体" w:cs="宋体"/>
          <w:spacing w:val="4"/>
          <w:kern w:val="0"/>
          <w:szCs w:val="28"/>
        </w:rPr>
        <w:t> 年度检查</w:t>
      </w:r>
    </w:p>
    <w:p>
      <w:pPr>
        <w:rPr>
          <w:rFonts w:ascii="宋体" w:hAnsi="宋体" w:cs="宋体"/>
          <w:spacing w:val="4"/>
          <w:kern w:val="0"/>
          <w:szCs w:val="28"/>
        </w:rPr>
      </w:pPr>
      <w:r>
        <w:rPr>
          <w:rFonts w:hint="eastAsia" w:ascii="宋体" w:hAnsi="宋体" w:cs="宋体"/>
          <w:spacing w:val="4"/>
          <w:kern w:val="0"/>
          <w:szCs w:val="28"/>
        </w:rPr>
        <w:t>年度检查围绕“六查”进行，查思想、查制度、查管理、查隐患、查事故处理、查安全技术措施落实和安全资金的投入情况。主要负责人组织、各级管理人员、工程技术人员、操作人员全员参与安全检查，通过检查客观评价公司安全隐患治理情况，年度检查每年进行一次。</w:t>
      </w:r>
    </w:p>
    <w:p>
      <w:pPr>
        <w:pStyle w:val="2"/>
        <w:spacing w:before="100" w:after="100"/>
        <w:rPr>
          <w:rFonts w:hint="default" w:ascii="黑体" w:hAnsi="黑体" w:eastAsia="黑体" w:cs="宋体"/>
          <w:spacing w:val="4"/>
          <w:kern w:val="0"/>
          <w:sz w:val="21"/>
          <w:szCs w:val="28"/>
        </w:rPr>
      </w:pPr>
      <w:bookmarkStart w:id="102" w:name="_Toc11921473"/>
      <w:r>
        <w:rPr>
          <w:rFonts w:ascii="黑体" w:hAnsi="黑体" w:eastAsia="黑体" w:cs="宋体"/>
          <w:spacing w:val="4"/>
          <w:kern w:val="0"/>
          <w:sz w:val="21"/>
          <w:szCs w:val="28"/>
        </w:rPr>
        <w:t>5 事故隐患排查治理基本要求</w:t>
      </w:r>
      <w:bookmarkEnd w:id="101"/>
      <w:bookmarkEnd w:id="102"/>
    </w:p>
    <w:p>
      <w:pPr>
        <w:autoSpaceDE w:val="0"/>
        <w:autoSpaceDN w:val="0"/>
        <w:rPr>
          <w:rFonts w:ascii="宋体" w:hAnsi="宋体" w:cs="宋体"/>
          <w:spacing w:val="4"/>
          <w:kern w:val="0"/>
          <w:szCs w:val="28"/>
          <w:highlight w:val="yellow"/>
        </w:rPr>
      </w:pPr>
      <w:r>
        <w:rPr>
          <w:rFonts w:hint="eastAsia" w:ascii="宋体" w:hAnsi="宋体" w:cs="宋体"/>
          <w:b/>
          <w:spacing w:val="4"/>
          <w:kern w:val="0"/>
          <w:szCs w:val="28"/>
        </w:rPr>
        <w:t>5</w:t>
      </w:r>
      <w:r>
        <w:rPr>
          <w:rFonts w:ascii="宋体" w:hAnsi="宋体" w:cs="宋体"/>
          <w:b/>
          <w:spacing w:val="4"/>
          <w:kern w:val="0"/>
          <w:szCs w:val="28"/>
        </w:rPr>
        <w:t>.1</w:t>
      </w:r>
      <w:r>
        <w:rPr>
          <w:rFonts w:hint="eastAsia" w:ascii="宋体" w:hAnsi="宋体" w:cs="宋体"/>
          <w:b/>
          <w:spacing w:val="4"/>
          <w:kern w:val="0"/>
          <w:szCs w:val="28"/>
        </w:rPr>
        <w:t xml:space="preserve"> </w:t>
      </w:r>
      <w:r>
        <w:rPr>
          <w:rFonts w:hint="eastAsia" w:ascii="宋体" w:hAnsi="宋体" w:cs="宋体"/>
          <w:spacing w:val="4"/>
          <w:kern w:val="0"/>
          <w:szCs w:val="28"/>
        </w:rPr>
        <w:t>隐患排查治理是企业安全管理的基础工作，企业应</w:t>
      </w:r>
      <w:r>
        <w:rPr>
          <w:rFonts w:ascii="宋体" w:hAnsi="宋体" w:cs="宋体"/>
          <w:spacing w:val="4"/>
          <w:kern w:val="0"/>
          <w:szCs w:val="28"/>
        </w:rPr>
        <w:t>根据</w:t>
      </w:r>
      <w:r>
        <w:rPr>
          <w:rFonts w:hint="eastAsia" w:ascii="宋体" w:hAnsi="宋体" w:cs="宋体"/>
          <w:spacing w:val="4"/>
          <w:kern w:val="0"/>
          <w:szCs w:val="28"/>
        </w:rPr>
        <w:t>生产运</w:t>
      </w:r>
      <w:r>
        <w:rPr>
          <w:rFonts w:hint="eastAsia" w:ascii="宋体" w:hAnsi="宋体" w:cs="宋体"/>
          <w:spacing w:val="4"/>
          <w:kern w:val="0"/>
          <w:szCs w:val="28"/>
          <w:highlight w:val="yellow"/>
        </w:rPr>
        <w:t>行特点</w:t>
      </w:r>
      <w:r>
        <w:rPr>
          <w:rFonts w:ascii="宋体" w:hAnsi="宋体" w:cs="宋体"/>
          <w:spacing w:val="4"/>
          <w:kern w:val="0"/>
          <w:szCs w:val="28"/>
          <w:highlight w:val="yellow"/>
        </w:rPr>
        <w:t>，制定</w:t>
      </w:r>
      <w:r>
        <w:rPr>
          <w:rFonts w:hint="eastAsia" w:ascii="宋体" w:hAnsi="宋体" w:cs="宋体"/>
          <w:spacing w:val="4"/>
          <w:kern w:val="0"/>
          <w:szCs w:val="28"/>
          <w:highlight w:val="yellow"/>
        </w:rPr>
        <w:t>安全</w:t>
      </w:r>
      <w:r>
        <w:rPr>
          <w:rFonts w:ascii="宋体" w:hAnsi="宋体" w:cs="宋体"/>
          <w:spacing w:val="4"/>
          <w:kern w:val="0"/>
          <w:szCs w:val="28"/>
          <w:highlight w:val="yellow"/>
        </w:rPr>
        <w:t>检查计划，明确检查的目的、内容</w:t>
      </w:r>
      <w:r>
        <w:rPr>
          <w:rFonts w:hint="eastAsia" w:ascii="宋体" w:hAnsi="宋体" w:cs="宋体"/>
          <w:spacing w:val="4"/>
          <w:kern w:val="0"/>
          <w:szCs w:val="28"/>
          <w:highlight w:val="yellow"/>
        </w:rPr>
        <w:t>、</w:t>
      </w:r>
      <w:r>
        <w:rPr>
          <w:rFonts w:ascii="宋体" w:hAnsi="宋体" w:cs="宋体"/>
          <w:spacing w:val="4"/>
          <w:kern w:val="0"/>
          <w:szCs w:val="28"/>
          <w:highlight w:val="yellow"/>
        </w:rPr>
        <w:t>要求，</w:t>
      </w:r>
      <w:r>
        <w:rPr>
          <w:rFonts w:hint="eastAsia" w:ascii="宋体" w:hAnsi="宋体" w:cs="宋体"/>
          <w:spacing w:val="4"/>
          <w:kern w:val="0"/>
          <w:szCs w:val="28"/>
          <w:highlight w:val="yellow"/>
        </w:rPr>
        <w:t>并编制《安全检查表》（附录F，各专业检查表见附件）。</w:t>
      </w:r>
    </w:p>
    <w:p>
      <w:pPr>
        <w:autoSpaceDE w:val="0"/>
        <w:autoSpaceDN w:val="0"/>
        <w:rPr>
          <w:rFonts w:ascii="宋体" w:hAnsi="宋体" w:cs="宋体"/>
          <w:spacing w:val="4"/>
          <w:kern w:val="0"/>
          <w:szCs w:val="28"/>
          <w:highlight w:val="yellow"/>
        </w:rPr>
      </w:pPr>
      <w:r>
        <w:rPr>
          <w:rFonts w:hint="eastAsia" w:ascii="宋体" w:hAnsi="宋体" w:cs="宋体"/>
          <w:b/>
          <w:spacing w:val="4"/>
          <w:kern w:val="0"/>
          <w:szCs w:val="28"/>
          <w:highlight w:val="yellow"/>
        </w:rPr>
        <w:t xml:space="preserve">5.1.1 </w:t>
      </w:r>
      <w:r>
        <w:rPr>
          <w:rFonts w:hint="eastAsia" w:ascii="宋体" w:hAnsi="宋体" w:cs="宋体"/>
          <w:spacing w:val="4"/>
          <w:kern w:val="0"/>
          <w:szCs w:val="28"/>
          <w:highlight w:val="yellow"/>
        </w:rPr>
        <w:t>《安全检查表》应包括检查项目、检查内容、检查标准或依据、检查结果等内容。安全检查时应按照安全检查表内容逐项进行检查，建立《安全检查台账》（附录A）、《事故隐患整改台账》（附录B），并与安全目标责任考核挂钩。</w:t>
      </w:r>
    </w:p>
    <w:p>
      <w:pPr>
        <w:autoSpaceDE w:val="0"/>
        <w:autoSpaceDN w:val="0"/>
        <w:rPr>
          <w:rFonts w:ascii="宋体" w:hAnsi="宋体" w:cs="宋体"/>
          <w:spacing w:val="4"/>
          <w:kern w:val="0"/>
          <w:szCs w:val="28"/>
        </w:rPr>
      </w:pPr>
      <w:r>
        <w:rPr>
          <w:rFonts w:hint="eastAsia" w:ascii="宋体" w:hAnsi="宋体" w:cs="宋体"/>
          <w:b/>
          <w:spacing w:val="4"/>
          <w:kern w:val="0"/>
          <w:szCs w:val="28"/>
        </w:rPr>
        <w:t>5</w:t>
      </w:r>
      <w:r>
        <w:rPr>
          <w:rFonts w:ascii="宋体" w:hAnsi="宋体" w:cs="宋体"/>
          <w:b/>
          <w:spacing w:val="4"/>
          <w:kern w:val="0"/>
          <w:szCs w:val="28"/>
        </w:rPr>
        <w:t>.</w:t>
      </w:r>
      <w:r>
        <w:rPr>
          <w:rFonts w:hint="eastAsia" w:ascii="宋体" w:hAnsi="宋体" w:cs="宋体"/>
          <w:b/>
          <w:spacing w:val="4"/>
          <w:kern w:val="0"/>
          <w:szCs w:val="28"/>
        </w:rPr>
        <w:t>1.2</w:t>
      </w:r>
      <w:r>
        <w:rPr>
          <w:rFonts w:ascii="宋体" w:hAnsi="宋体" w:cs="宋体"/>
          <w:b/>
          <w:spacing w:val="4"/>
          <w:kern w:val="0"/>
          <w:szCs w:val="28"/>
        </w:rPr>
        <w:t xml:space="preserve"> </w:t>
      </w:r>
      <w:r>
        <w:rPr>
          <w:rFonts w:hint="eastAsia" w:ascii="宋体" w:hAnsi="宋体" w:cs="宋体"/>
          <w:b/>
          <w:spacing w:val="4"/>
          <w:kern w:val="0"/>
          <w:szCs w:val="28"/>
        </w:rPr>
        <w:t xml:space="preserve"> </w:t>
      </w:r>
      <w:r>
        <w:rPr>
          <w:rFonts w:ascii="宋体" w:hAnsi="宋体" w:cs="宋体"/>
          <w:spacing w:val="4"/>
          <w:kern w:val="0"/>
          <w:szCs w:val="28"/>
        </w:rPr>
        <w:t>编制安全检查表的主要依据：</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（1）国家安全法律法规、规章、标准及企业安全安全管理制度和安全操作规程；</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（2</w:t>
      </w:r>
      <w:r>
        <w:rPr>
          <w:rFonts w:ascii="宋体" w:hAnsi="宋体" w:cs="宋体"/>
          <w:spacing w:val="4"/>
          <w:kern w:val="0"/>
          <w:szCs w:val="28"/>
        </w:rPr>
        <w:t>）国内外事故案例和企业以往的事故情况；</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（3）生产装置危险有害因素辨识报告；</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（4</w:t>
      </w:r>
      <w:r>
        <w:rPr>
          <w:rFonts w:ascii="宋体" w:hAnsi="宋体" w:cs="宋体"/>
          <w:spacing w:val="4"/>
          <w:kern w:val="0"/>
          <w:szCs w:val="28"/>
        </w:rPr>
        <w:t>）分析人个人的经验和可靠的参考资料；</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（5</w:t>
      </w:r>
      <w:r>
        <w:rPr>
          <w:rFonts w:ascii="宋体" w:hAnsi="宋体" w:cs="宋体"/>
          <w:spacing w:val="4"/>
          <w:kern w:val="0"/>
          <w:szCs w:val="28"/>
        </w:rPr>
        <w:t>）有关研究成果，同行业或类似行业检查表等。</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5.1.3 </w:t>
      </w:r>
      <w:r>
        <w:rPr>
          <w:rFonts w:hint="eastAsia" w:ascii="宋体" w:hAnsi="宋体" w:cs="宋体"/>
          <w:spacing w:val="4"/>
          <w:kern w:val="0"/>
          <w:szCs w:val="28"/>
        </w:rPr>
        <w:t>企业应定期组织对安全检查表进行评审、修订和完善，并做好检查人员的培训工作。</w:t>
      </w:r>
      <w:r>
        <w:rPr>
          <w:rFonts w:ascii="宋体" w:hAnsi="宋体" w:cs="宋体"/>
          <w:spacing w:val="4"/>
          <w:kern w:val="0"/>
          <w:szCs w:val="28"/>
        </w:rPr>
        <w:br w:type="textWrapping"/>
      </w:r>
      <w:r>
        <w:rPr>
          <w:rFonts w:hint="eastAsia" w:ascii="宋体" w:hAnsi="宋体" w:cs="宋体"/>
          <w:spacing w:val="4"/>
          <w:kern w:val="0"/>
          <w:szCs w:val="28"/>
        </w:rPr>
        <w:t xml:space="preserve">    有下列情形之一的应及时对安全检查表进行修订：</w:t>
      </w:r>
    </w:p>
    <w:p>
      <w:pPr>
        <w:autoSpaceDE w:val="0"/>
        <w:autoSpaceDN w:val="0"/>
        <w:ind w:firstLine="320" w:firstLineChars="14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）颁布实施有关新的安全法律法规、标准规范或原有适用法律法规、标准规范重新修订的；</w:t>
      </w:r>
      <w:r>
        <w:rPr>
          <w:rFonts w:ascii="宋体" w:hAnsi="宋体" w:cs="宋体"/>
          <w:spacing w:val="4"/>
          <w:kern w:val="0"/>
          <w:szCs w:val="28"/>
        </w:rPr>
        <w:t xml:space="preserve"> </w:t>
      </w:r>
    </w:p>
    <w:p>
      <w:pPr>
        <w:autoSpaceDE w:val="0"/>
        <w:autoSpaceDN w:val="0"/>
        <w:ind w:firstLine="320" w:firstLineChars="147"/>
        <w:rPr>
          <w:rFonts w:ascii="宋体" w:hAnsi="宋体" w:cs="宋体"/>
          <w:spacing w:val="4"/>
          <w:kern w:val="0"/>
          <w:szCs w:val="28"/>
        </w:rPr>
      </w:pPr>
      <w:r>
        <w:rPr>
          <w:rFonts w:hint="eastAsia" w:ascii="宋体" w:hAnsi="宋体" w:cs="宋体"/>
          <w:spacing w:val="4"/>
          <w:kern w:val="0"/>
          <w:szCs w:val="28"/>
        </w:rPr>
        <w:t>（2）装置工艺、设备、电气、仪表、公用工程或操作参数发生重大改变的；</w:t>
      </w:r>
      <w:r>
        <w:rPr>
          <w:rFonts w:ascii="宋体" w:hAnsi="宋体" w:cs="宋体"/>
          <w:spacing w:val="4"/>
          <w:kern w:val="0"/>
          <w:szCs w:val="28"/>
        </w:rPr>
        <w:t xml:space="preserve"> </w:t>
      </w:r>
    </w:p>
    <w:p>
      <w:pPr>
        <w:autoSpaceDE w:val="0"/>
        <w:autoSpaceDN w:val="0"/>
        <w:ind w:firstLine="320" w:firstLineChars="147"/>
        <w:rPr>
          <w:rFonts w:ascii="宋体" w:hAnsi="宋体" w:cs="宋体"/>
          <w:spacing w:val="4"/>
          <w:kern w:val="0"/>
          <w:szCs w:val="28"/>
        </w:rPr>
      </w:pPr>
      <w:r>
        <w:rPr>
          <w:rFonts w:hint="eastAsia" w:ascii="宋体" w:hAnsi="宋体" w:cs="宋体"/>
          <w:spacing w:val="4"/>
          <w:kern w:val="0"/>
          <w:szCs w:val="28"/>
        </w:rPr>
        <w:t>（3）发生事故或对事故、事件有新的认识；</w:t>
      </w:r>
    </w:p>
    <w:p>
      <w:pPr>
        <w:autoSpaceDE w:val="0"/>
        <w:autoSpaceDN w:val="0"/>
        <w:ind w:firstLine="320" w:firstLineChars="147"/>
        <w:rPr>
          <w:rFonts w:ascii="宋体" w:hAnsi="宋体" w:cs="宋体"/>
          <w:spacing w:val="4"/>
          <w:kern w:val="0"/>
          <w:szCs w:val="28"/>
        </w:rPr>
      </w:pPr>
      <w:r>
        <w:rPr>
          <w:rFonts w:hint="eastAsia" w:ascii="宋体" w:hAnsi="宋体" w:cs="宋体"/>
          <w:spacing w:val="4"/>
          <w:kern w:val="0"/>
          <w:szCs w:val="28"/>
        </w:rPr>
        <w:t>（5）周边安全生产环境发生重大变化；</w:t>
      </w:r>
    </w:p>
    <w:p>
      <w:pPr>
        <w:autoSpaceDE w:val="0"/>
        <w:autoSpaceDN w:val="0"/>
        <w:ind w:firstLine="320" w:firstLineChars="147"/>
        <w:rPr>
          <w:rFonts w:ascii="宋体" w:hAnsi="宋体" w:cs="宋体"/>
          <w:spacing w:val="4"/>
          <w:kern w:val="0"/>
          <w:szCs w:val="28"/>
        </w:rPr>
      </w:pPr>
      <w:r>
        <w:rPr>
          <w:rFonts w:hint="eastAsia" w:ascii="宋体" w:hAnsi="宋体" w:cs="宋体"/>
          <w:spacing w:val="4"/>
          <w:kern w:val="0"/>
          <w:szCs w:val="28"/>
        </w:rPr>
        <w:t>（4）危害因素辨识结果有较大变动或识别出新的危害因素。</w:t>
      </w:r>
      <w:r>
        <w:rPr>
          <w:rFonts w:ascii="宋体" w:hAnsi="宋体" w:cs="宋体"/>
          <w:spacing w:val="4"/>
          <w:kern w:val="0"/>
          <w:szCs w:val="28"/>
        </w:rPr>
        <w:t xml:space="preserve"> </w:t>
      </w:r>
    </w:p>
    <w:p>
      <w:pPr>
        <w:autoSpaceDE w:val="0"/>
        <w:autoSpaceDN w:val="0"/>
        <w:rPr>
          <w:rFonts w:ascii="宋体" w:hAnsi="宋体" w:cs="宋体"/>
          <w:spacing w:val="4"/>
          <w:kern w:val="0"/>
          <w:szCs w:val="28"/>
        </w:rPr>
      </w:pPr>
      <w:r>
        <w:rPr>
          <w:rFonts w:hint="eastAsia" w:ascii="宋体" w:hAnsi="宋体" w:cs="宋体"/>
          <w:b/>
          <w:spacing w:val="4"/>
          <w:kern w:val="0"/>
          <w:szCs w:val="28"/>
        </w:rPr>
        <w:t>5</w:t>
      </w:r>
      <w:r>
        <w:rPr>
          <w:rFonts w:ascii="宋体" w:hAnsi="宋体" w:cs="宋体"/>
          <w:b/>
          <w:spacing w:val="4"/>
          <w:kern w:val="0"/>
          <w:szCs w:val="28"/>
        </w:rPr>
        <w:t>.</w:t>
      </w:r>
      <w:r>
        <w:rPr>
          <w:rFonts w:hint="eastAsia" w:ascii="宋体" w:hAnsi="宋体" w:cs="宋体"/>
          <w:b/>
          <w:spacing w:val="4"/>
          <w:kern w:val="0"/>
          <w:szCs w:val="28"/>
        </w:rPr>
        <w:t>2</w:t>
      </w:r>
      <w:r>
        <w:rPr>
          <w:rFonts w:ascii="宋体" w:hAnsi="宋体" w:cs="宋体"/>
          <w:spacing w:val="4"/>
          <w:kern w:val="0"/>
          <w:szCs w:val="28"/>
        </w:rPr>
        <w:t xml:space="preserve"> </w:t>
      </w:r>
      <w:r>
        <w:rPr>
          <w:rFonts w:hint="eastAsia" w:ascii="宋体" w:hAnsi="宋体" w:cs="宋体"/>
          <w:spacing w:val="4"/>
          <w:kern w:val="0"/>
          <w:szCs w:val="28"/>
        </w:rPr>
        <w:t>技术力量不足或危险化学品安全生产管理经验欠缺的企业应聘请有经验的化工专家或注册安全工程师指导开展隐患排查治理工作。</w:t>
      </w:r>
    </w:p>
    <w:p>
      <w:pPr>
        <w:autoSpaceDE w:val="0"/>
        <w:autoSpaceDN w:val="0"/>
        <w:rPr>
          <w:rFonts w:ascii="宋体" w:hAnsi="宋体" w:cs="宋体"/>
          <w:spacing w:val="4"/>
          <w:kern w:val="0"/>
          <w:szCs w:val="28"/>
        </w:rPr>
      </w:pPr>
      <w:r>
        <w:rPr>
          <w:rFonts w:hint="eastAsia" w:ascii="宋体" w:hAnsi="宋体" w:cs="宋体"/>
          <w:b/>
          <w:spacing w:val="4"/>
          <w:kern w:val="0"/>
          <w:szCs w:val="28"/>
        </w:rPr>
        <w:t>5</w:t>
      </w:r>
      <w:r>
        <w:rPr>
          <w:rFonts w:ascii="宋体" w:hAnsi="宋体" w:cs="宋体"/>
          <w:b/>
          <w:spacing w:val="4"/>
          <w:kern w:val="0"/>
          <w:szCs w:val="28"/>
        </w:rPr>
        <w:t>.</w:t>
      </w:r>
      <w:r>
        <w:rPr>
          <w:rFonts w:hint="eastAsia" w:ascii="宋体" w:hAnsi="宋体" w:cs="宋体"/>
          <w:b/>
          <w:spacing w:val="4"/>
          <w:kern w:val="0"/>
          <w:szCs w:val="28"/>
        </w:rPr>
        <w:t xml:space="preserve">3 </w:t>
      </w:r>
      <w:r>
        <w:rPr>
          <w:rFonts w:hint="eastAsia" w:ascii="宋体" w:hAnsi="宋体" w:cs="宋体"/>
          <w:spacing w:val="4"/>
          <w:kern w:val="0"/>
          <w:szCs w:val="28"/>
        </w:rPr>
        <w:t>企业涉及高危工艺的应定期开展危险与可操作性分析（</w:t>
      </w:r>
      <w:r>
        <w:rPr>
          <w:rFonts w:ascii="宋体" w:hAnsi="宋体" w:cs="宋体"/>
          <w:spacing w:val="4"/>
          <w:kern w:val="0"/>
          <w:szCs w:val="28"/>
        </w:rPr>
        <w:t>HAZOP</w:t>
      </w:r>
      <w:r>
        <w:rPr>
          <w:rFonts w:hint="eastAsia" w:ascii="宋体" w:hAnsi="宋体" w:cs="宋体"/>
          <w:spacing w:val="4"/>
          <w:kern w:val="0"/>
          <w:szCs w:val="28"/>
        </w:rPr>
        <w:t>），用先进科学的管理方法系统排查事故隐患。</w:t>
      </w:r>
    </w:p>
    <w:p>
      <w:pPr>
        <w:autoSpaceDE w:val="0"/>
        <w:autoSpaceDN w:val="0"/>
        <w:rPr>
          <w:rFonts w:ascii="宋体" w:hAnsi="宋体" w:cs="宋体"/>
          <w:spacing w:val="4"/>
          <w:kern w:val="0"/>
          <w:szCs w:val="28"/>
        </w:rPr>
      </w:pPr>
      <w:r>
        <w:rPr>
          <w:rFonts w:hint="eastAsia" w:ascii="宋体" w:hAnsi="宋体" w:cs="宋体"/>
          <w:b/>
          <w:spacing w:val="4"/>
          <w:kern w:val="0"/>
          <w:szCs w:val="28"/>
        </w:rPr>
        <w:t>5.4</w:t>
      </w:r>
      <w:r>
        <w:rPr>
          <w:rFonts w:hint="eastAsia" w:ascii="仿宋_GB2312" w:hAnsi="???????" w:eastAsia="仿宋_GB2312" w:cs="仿宋"/>
          <w:kern w:val="0"/>
          <w:sz w:val="22"/>
          <w:szCs w:val="32"/>
          <w:lang w:val="zh-CN"/>
        </w:rPr>
        <w:t xml:space="preserve"> 企业</w:t>
      </w:r>
      <w:r>
        <w:rPr>
          <w:rFonts w:hint="eastAsia" w:ascii="宋体" w:hAnsi="宋体" w:cs="宋体"/>
          <w:spacing w:val="4"/>
          <w:kern w:val="0"/>
          <w:szCs w:val="28"/>
        </w:rPr>
        <w:t>将生产经营项目、场所、设备发包、出租的，应当与承包、承租单位签订安全生产管理协议，并在协议中明确各方对事故隐患排查、治理和防控的管理职责。企业对承包、承租单位的事故隐患排查治理工作进行统一协调、管理，定期进行检查，发现问题及时督促整改。承包、承租单位拒不整改的，企业可以按照协议约定的方式处理，或者向安全监管监察部门和有关部门报告。</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5.5 </w:t>
      </w:r>
      <w:r>
        <w:rPr>
          <w:rFonts w:hint="eastAsia" w:ascii="宋体" w:hAnsi="宋体" w:cs="宋体"/>
          <w:spacing w:val="4"/>
          <w:kern w:val="0"/>
          <w:szCs w:val="28"/>
        </w:rPr>
        <w:t xml:space="preserve">企业应当每月对本单位事故隐患排查治理情况进行统计分析，并按照规定的时间和形式报送安全监管监察部门和有关部门。对于重大事故隐患，企业除依照前款规定报送外，应当向安全监管监察部门和有关部门提交书面材料。重大事故隐患报送内容应当包括： </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 xml:space="preserve">（1）隐患的现状及其产生原因； </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 xml:space="preserve">（2）隐患的危害程度和整改难易程度分析； </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（3）隐患的治理方案。</w:t>
      </w:r>
    </w:p>
    <w:p>
      <w:pPr>
        <w:autoSpaceDE w:val="0"/>
        <w:autoSpaceDN w:val="0"/>
        <w:rPr>
          <w:rFonts w:ascii="宋体" w:hAnsi="宋体" w:cs="宋体"/>
          <w:spacing w:val="4"/>
          <w:kern w:val="0"/>
          <w:szCs w:val="28"/>
        </w:rPr>
      </w:pPr>
      <w:r>
        <w:rPr>
          <w:rFonts w:hint="eastAsia" w:ascii="宋体" w:hAnsi="宋体" w:cs="宋体"/>
          <w:b/>
          <w:spacing w:val="4"/>
          <w:kern w:val="0"/>
          <w:szCs w:val="28"/>
        </w:rPr>
        <w:t>5.6</w:t>
      </w:r>
      <w:r>
        <w:rPr>
          <w:rFonts w:hint="eastAsia" w:ascii="宋体" w:hAnsi="宋体" w:cs="宋体"/>
          <w:spacing w:val="4"/>
          <w:kern w:val="0"/>
          <w:szCs w:val="28"/>
        </w:rPr>
        <w:t xml:space="preserve"> 对于一般事故隐患，由企业各级（分/子公司、车间/科室、工段/班组等）负责人或者有关人员及时组织整改。对于重大事故隐患，由企业主要负责人组织制定并实施事故隐患治理方案。</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5.7 </w:t>
      </w:r>
      <w:r>
        <w:rPr>
          <w:rFonts w:hint="eastAsia" w:ascii="宋体" w:hAnsi="宋体" w:cs="宋体"/>
          <w:spacing w:val="4"/>
          <w:kern w:val="0"/>
          <w:szCs w:val="28"/>
        </w:rPr>
        <w:t>企业在事故隐患治理过程中，应当采取相应的安全防范措施，防止事故发生。对暂时难以停产或者停止使用后极易引发生产安全事故的相关设施、设备，应当加强维护保养和监测监控，防止事故发生。</w:t>
      </w:r>
    </w:p>
    <w:p>
      <w:pPr>
        <w:pStyle w:val="2"/>
        <w:spacing w:before="100" w:after="100"/>
        <w:rPr>
          <w:rFonts w:hint="default" w:ascii="黑体" w:hAnsi="黑体" w:eastAsia="黑体" w:cs="宋体"/>
          <w:spacing w:val="4"/>
          <w:kern w:val="0"/>
          <w:sz w:val="21"/>
          <w:szCs w:val="28"/>
        </w:rPr>
      </w:pPr>
      <w:bookmarkStart w:id="103" w:name="_Toc452462768"/>
      <w:bookmarkStart w:id="104" w:name="_Toc11921474"/>
      <w:r>
        <w:rPr>
          <w:rFonts w:ascii="黑体" w:hAnsi="黑体" w:eastAsia="黑体" w:cs="宋体"/>
          <w:spacing w:val="4"/>
          <w:kern w:val="0"/>
          <w:sz w:val="21"/>
          <w:szCs w:val="28"/>
        </w:rPr>
        <w:t>6 事故隐患分类和等级认定</w:t>
      </w:r>
      <w:bookmarkEnd w:id="103"/>
      <w:bookmarkEnd w:id="104"/>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6.1 </w:t>
      </w:r>
      <w:r>
        <w:rPr>
          <w:rFonts w:ascii="宋体" w:hAnsi="宋体" w:cs="宋体"/>
          <w:b/>
          <w:spacing w:val="4"/>
          <w:kern w:val="0"/>
          <w:szCs w:val="28"/>
        </w:rPr>
        <w:t>事故隐患</w:t>
      </w:r>
      <w:r>
        <w:rPr>
          <w:rFonts w:hint="eastAsia" w:ascii="宋体" w:hAnsi="宋体" w:cs="宋体"/>
          <w:b/>
          <w:spacing w:val="4"/>
          <w:kern w:val="0"/>
          <w:szCs w:val="28"/>
        </w:rPr>
        <w:t>分类</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事故隐患按检查内容和专业分为：工艺、设备、电气、仪表、标识、建构筑物、储运、劳动防护用品、文件记录、安全消防设施（含消防器材、应急装备）、其他现场问题及管理缺陷11类。</w:t>
      </w:r>
    </w:p>
    <w:p>
      <w:pPr>
        <w:autoSpaceDE w:val="0"/>
        <w:autoSpaceDN w:val="0"/>
        <w:rPr>
          <w:rFonts w:ascii="宋体" w:hAnsi="宋体" w:cs="宋体"/>
          <w:spacing w:val="4"/>
          <w:kern w:val="0"/>
          <w:szCs w:val="28"/>
          <w:highlight w:val="yellow"/>
        </w:rPr>
      </w:pPr>
      <w:r>
        <w:rPr>
          <w:rFonts w:hint="eastAsia" w:ascii="宋体" w:hAnsi="宋体" w:cs="宋体"/>
          <w:b/>
          <w:spacing w:val="4"/>
          <w:kern w:val="0"/>
          <w:szCs w:val="28"/>
        </w:rPr>
        <w:t>6.2 事故隐患等级</w:t>
      </w:r>
    </w:p>
    <w:p>
      <w:pPr>
        <w:autoSpaceDE w:val="0"/>
        <w:autoSpaceDN w:val="0"/>
        <w:ind w:firstLine="436" w:firstLineChars="200"/>
        <w:rPr>
          <w:rFonts w:ascii="宋体" w:hAnsi="宋体" w:cs="宋体"/>
          <w:b/>
          <w:spacing w:val="4"/>
          <w:kern w:val="0"/>
          <w:szCs w:val="28"/>
        </w:rPr>
      </w:pPr>
      <w:r>
        <w:rPr>
          <w:rFonts w:hint="eastAsia" w:ascii="宋体" w:hAnsi="宋体" w:cs="宋体"/>
          <w:spacing w:val="4"/>
          <w:kern w:val="0"/>
          <w:szCs w:val="28"/>
        </w:rPr>
        <w:t>企业应该组织相关专业技术人员，依据事故隐患的定义，按事故隐患风险程度（即发生的可能性和后果严重程度）进行隐患等级认定。</w:t>
      </w:r>
      <w:r>
        <w:rPr>
          <w:rFonts w:hint="eastAsia" w:ascii="宋体" w:hAnsi="宋体" w:cs="宋体"/>
          <w:b/>
          <w:spacing w:val="4"/>
          <w:kern w:val="0"/>
          <w:szCs w:val="28"/>
        </w:rPr>
        <w:t>事故隐患分为一般事故隐患和重大事故隐患。</w:t>
      </w:r>
    </w:p>
    <w:p>
      <w:pPr>
        <w:autoSpaceDE w:val="0"/>
        <w:autoSpaceDN w:val="0"/>
        <w:rPr>
          <w:rFonts w:ascii="宋体" w:hAnsi="宋体" w:cs="宋体"/>
          <w:spacing w:val="4"/>
          <w:kern w:val="0"/>
          <w:szCs w:val="28"/>
        </w:rPr>
      </w:pPr>
      <w:r>
        <w:rPr>
          <w:rFonts w:hint="eastAsia" w:ascii="宋体" w:hAnsi="宋体" w:cs="宋体"/>
          <w:b/>
          <w:spacing w:val="4"/>
          <w:kern w:val="0"/>
          <w:szCs w:val="28"/>
        </w:rPr>
        <w:t>6.2.1 一般事故隐患，</w:t>
      </w:r>
      <w:r>
        <w:rPr>
          <w:rFonts w:hint="eastAsia" w:ascii="宋体" w:hAnsi="宋体" w:cs="宋体"/>
          <w:spacing w:val="4"/>
          <w:kern w:val="0"/>
          <w:szCs w:val="28"/>
        </w:rPr>
        <w:t>是指危害和整改难度较小，发现后能够立即整改消除的隐患。</w:t>
      </w:r>
    </w:p>
    <w:p>
      <w:pPr>
        <w:autoSpaceDE w:val="0"/>
        <w:autoSpaceDN w:val="0"/>
        <w:rPr>
          <w:rFonts w:ascii="宋体" w:hAnsi="宋体" w:cs="宋体"/>
          <w:spacing w:val="4"/>
          <w:kern w:val="0"/>
          <w:szCs w:val="28"/>
        </w:rPr>
      </w:pPr>
      <w:r>
        <w:rPr>
          <w:rFonts w:hint="eastAsia" w:ascii="宋体" w:hAnsi="宋体" w:cs="宋体"/>
          <w:b/>
          <w:spacing w:val="4"/>
          <w:kern w:val="0"/>
          <w:szCs w:val="28"/>
        </w:rPr>
        <w:t>6.2.2 重大事故隐患</w:t>
      </w:r>
      <w:r>
        <w:rPr>
          <w:rFonts w:hint="eastAsia" w:ascii="宋体" w:hAnsi="宋体" w:cs="宋体"/>
          <w:spacing w:val="4"/>
          <w:kern w:val="0"/>
          <w:szCs w:val="28"/>
        </w:rPr>
        <w:t>，是指危害和整改难度较大，需要全部或者局部停产停业，并经过一定时间整改治理方能消除的隐患，或者因外部因素影响致使生产经营单位自身难以消除的隐患。</w:t>
      </w:r>
    </w:p>
    <w:p>
      <w:pPr>
        <w:autoSpaceDE w:val="0"/>
        <w:autoSpaceDN w:val="0"/>
        <w:rPr>
          <w:rFonts w:ascii="宋体" w:hAnsi="宋体" w:cs="宋体"/>
          <w:b/>
          <w:spacing w:val="4"/>
          <w:kern w:val="0"/>
          <w:szCs w:val="28"/>
        </w:rPr>
      </w:pPr>
      <w:r>
        <w:rPr>
          <w:rFonts w:hint="eastAsia" w:ascii="宋体" w:hAnsi="宋体" w:cs="宋体"/>
          <w:b/>
          <w:spacing w:val="4"/>
          <w:kern w:val="0"/>
          <w:szCs w:val="28"/>
        </w:rPr>
        <w:t>6.3 重大事故隐患的评估认定</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企业对重大事故隐患应结合自身的生产经营实际情况，采用风险评估方法对事故隐患后果进行定性分析，并根据风险等级标准和风险评估结果，确定事故隐患的风险等级。</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具有重大及以上风险的事故隐患，应认定为重大事故隐患。此外，化工生产企业</w:t>
      </w:r>
      <w:r>
        <w:rPr>
          <w:rFonts w:ascii="宋体" w:hAnsi="宋体" w:cs="宋体"/>
          <w:spacing w:val="4"/>
          <w:kern w:val="0"/>
          <w:szCs w:val="28"/>
        </w:rPr>
        <w:t>有下列情形之一的，</w:t>
      </w:r>
      <w:r>
        <w:rPr>
          <w:rFonts w:hint="eastAsia" w:ascii="宋体" w:hAnsi="宋体" w:cs="宋体"/>
          <w:spacing w:val="4"/>
          <w:kern w:val="0"/>
          <w:szCs w:val="28"/>
        </w:rPr>
        <w:t>应按照重大事故隐患进行治理。</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w:t>
      </w:r>
      <w:r>
        <w:rPr>
          <w:rFonts w:ascii="宋体" w:hAnsi="宋体" w:cs="宋体"/>
          <w:spacing w:val="4"/>
          <w:kern w:val="0"/>
          <w:szCs w:val="28"/>
        </w:rPr>
        <w:t>乙类火灾危险性和产生有毒有害气体的生产装置，仓库、罐区等储存设施，与周边居住区、人员密集区、厂外道路、相邻工矿企业生产储存设施的安全间距不符合有关标准、规定要求的。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（2）</w:t>
      </w:r>
      <w:r>
        <w:rPr>
          <w:rFonts w:ascii="宋体" w:hAnsi="宋体" w:cs="宋体"/>
          <w:spacing w:val="4"/>
          <w:kern w:val="0"/>
          <w:szCs w:val="28"/>
        </w:rPr>
        <w:t>生产装置、储存设施、辅助生产装置、公用工程设施、运输装卸设施、电力线路、办公生活区等，相互之间的安全间距不符合有关标准、规定要求的。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（3）</w:t>
      </w:r>
      <w:r>
        <w:rPr>
          <w:rFonts w:ascii="宋体" w:hAnsi="宋体" w:cs="宋体"/>
          <w:spacing w:val="4"/>
          <w:kern w:val="0"/>
          <w:szCs w:val="28"/>
        </w:rPr>
        <w:t>危险化学品生产车间、储存仓库与员工宿舍在同一座建筑物内，或与员工宿舍的安全距离不符合有关标准、规定要求的。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（4）</w:t>
      </w:r>
      <w:r>
        <w:rPr>
          <w:rFonts w:ascii="宋体" w:hAnsi="宋体" w:cs="宋体"/>
          <w:spacing w:val="4"/>
          <w:kern w:val="0"/>
          <w:szCs w:val="28"/>
        </w:rPr>
        <w:t>在有火灾爆炸危险的乙类厂房和有毒有害作业场所内设置休息室和非生产直接需要的办公室的。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（5）</w:t>
      </w:r>
      <w:r>
        <w:rPr>
          <w:rFonts w:ascii="宋体" w:hAnsi="宋体" w:cs="宋体"/>
          <w:spacing w:val="4"/>
          <w:kern w:val="0"/>
          <w:szCs w:val="28"/>
        </w:rPr>
        <w:t>使用国家明令淘汰、禁止使用的危及生产安全的工艺、设备的。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（6）</w:t>
      </w:r>
      <w:r>
        <w:rPr>
          <w:rFonts w:ascii="宋体" w:hAnsi="宋体" w:cs="宋体"/>
          <w:spacing w:val="4"/>
          <w:kern w:val="0"/>
          <w:szCs w:val="28"/>
        </w:rPr>
        <w:t>生产或使用乙类液体的工艺装置和储运设施的区域内，未按规定设置可燃气体监测报警装置的；生产或使用有毒气体的工艺装置和储运设施的区域内，未按规定设置有毒气体监测报警装置的。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（7）</w:t>
      </w:r>
      <w:r>
        <w:rPr>
          <w:rFonts w:ascii="宋体" w:hAnsi="宋体" w:cs="宋体"/>
          <w:spacing w:val="4"/>
          <w:kern w:val="0"/>
          <w:szCs w:val="28"/>
        </w:rPr>
        <w:t>易燃易爆和有毒作业场所未按规定设置通风设施的；未按规定和生产工艺要求设置必要的自动报警和安全联锁装置的。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建构筑物的耐火等级、泄压面积、安全疏散不符合有关标准、规定要求的；仓库的耐火等级、防火分区、安全疏散不符合有关标准、规定要求的。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（9）</w:t>
      </w:r>
      <w:r>
        <w:rPr>
          <w:rFonts w:ascii="宋体" w:hAnsi="宋体" w:cs="宋体"/>
          <w:spacing w:val="4"/>
          <w:kern w:val="0"/>
          <w:szCs w:val="28"/>
        </w:rPr>
        <w:t>危险化学品的贮存不符合《常用化学危险品贮存通则》（GB15603）等规定要求的。包括：</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a）</w:t>
      </w:r>
      <w:r>
        <w:rPr>
          <w:rFonts w:ascii="宋体" w:hAnsi="宋体" w:cs="宋体"/>
          <w:spacing w:val="4"/>
          <w:kern w:val="0"/>
          <w:szCs w:val="28"/>
        </w:rPr>
        <w:t>遇火、遇热、遇潮能引起燃烧、爆炸或发生化学反应，产生有毒气体的危险物品露天贮存的；或在潮湿、易积水的建筑物中贮存的；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b）</w:t>
      </w:r>
      <w:r>
        <w:rPr>
          <w:rFonts w:ascii="宋体" w:hAnsi="宋体" w:cs="宋体"/>
          <w:spacing w:val="4"/>
          <w:kern w:val="0"/>
          <w:szCs w:val="28"/>
        </w:rPr>
        <w:t>压缩气体和液化气体与爆炸物品、氧化剂、易燃物品、自燃物品、腐蚀性物品未隔离贮存的；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c）</w:t>
      </w:r>
      <w:r>
        <w:rPr>
          <w:rFonts w:ascii="宋体" w:hAnsi="宋体" w:cs="宋体"/>
          <w:spacing w:val="4"/>
          <w:kern w:val="0"/>
          <w:szCs w:val="28"/>
        </w:rPr>
        <w:t>易燃气体与助燃气体、剧毒气体同贮的；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d）</w:t>
      </w:r>
      <w:r>
        <w:rPr>
          <w:rFonts w:ascii="宋体" w:hAnsi="宋体" w:cs="宋体"/>
          <w:spacing w:val="4"/>
          <w:kern w:val="0"/>
          <w:szCs w:val="28"/>
        </w:rPr>
        <w:t>助燃气体氧气与油脂类物质混合贮存的；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e）</w:t>
      </w:r>
      <w:r>
        <w:rPr>
          <w:rFonts w:ascii="宋体" w:hAnsi="宋体" w:cs="宋体"/>
          <w:spacing w:val="4"/>
          <w:kern w:val="0"/>
          <w:szCs w:val="28"/>
        </w:rPr>
        <w:t>易燃液体、遇湿易燃物品、易燃固体与氧化剂混合贮存的；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f）</w:t>
      </w:r>
      <w:r>
        <w:rPr>
          <w:rFonts w:ascii="宋体" w:hAnsi="宋体" w:cs="宋体"/>
          <w:spacing w:val="4"/>
          <w:kern w:val="0"/>
          <w:szCs w:val="28"/>
        </w:rPr>
        <w:t>具有还原性的氧化剂未单独存放的。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（10）</w:t>
      </w:r>
      <w:r>
        <w:rPr>
          <w:rFonts w:ascii="宋体" w:hAnsi="宋体" w:cs="宋体"/>
          <w:spacing w:val="4"/>
          <w:kern w:val="0"/>
          <w:szCs w:val="28"/>
        </w:rPr>
        <w:t>乙类液体储罐区未按规定要求设置防火堤，或防火堤的容量、高度、强度、以及与储罐的间距等不符合有关标准、规定要求的；罐区布置（罐区总容量、罐间距、罐排数、罐区间距等）不符合有关标准、规定要求的；罐区的专用泵（或泵房）布置在防火堤内，或专用泵（或泵房）和装卸设施与罐区的安全间距不符合有关标准、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（11）</w:t>
      </w:r>
      <w:r>
        <w:rPr>
          <w:rFonts w:ascii="宋体" w:hAnsi="宋体" w:cs="宋体"/>
          <w:spacing w:val="4"/>
          <w:kern w:val="0"/>
          <w:szCs w:val="28"/>
        </w:rPr>
        <w:t>乙类液体固定顶罐未按要求设置阻火器和呼吸阀的；甲B、乙类液体为喷溅式卸车（进液）方式或进液管伸至罐底的距离不足的。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（12）液氨等储存</w:t>
      </w:r>
      <w:r>
        <w:rPr>
          <w:rFonts w:ascii="宋体" w:hAnsi="宋体" w:cs="宋体"/>
          <w:spacing w:val="4"/>
          <w:kern w:val="0"/>
          <w:szCs w:val="28"/>
        </w:rPr>
        <w:t>、装卸区无泄漏后的吸收、破坏措施的；储罐未按规定设置液位计、压力表和安全阀的；储罐与罐车之间的装卸管线上未设置止回阀和紧急切断阀的；未按要求设置防超装装置的；</w:t>
      </w:r>
      <w:r>
        <w:rPr>
          <w:rFonts w:hint="eastAsia" w:ascii="宋体" w:hAnsi="宋体" w:cs="宋体"/>
          <w:spacing w:val="4"/>
          <w:kern w:val="0"/>
          <w:szCs w:val="28"/>
        </w:rPr>
        <w:t>未使用万向充装卸车装置的</w:t>
      </w:r>
      <w:r>
        <w:rPr>
          <w:rFonts w:ascii="宋体" w:hAnsi="宋体" w:cs="宋体"/>
          <w:spacing w:val="4"/>
          <w:kern w:val="0"/>
          <w:szCs w:val="28"/>
        </w:rPr>
        <w:t>；强腐蚀性介质储罐未按规定设置防护围堰的。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（13）</w:t>
      </w:r>
      <w:r>
        <w:rPr>
          <w:rFonts w:ascii="宋体" w:hAnsi="宋体" w:cs="宋体"/>
          <w:spacing w:val="4"/>
          <w:kern w:val="0"/>
          <w:szCs w:val="28"/>
        </w:rPr>
        <w:t>压力容器、压力管道等特种设备未按规定办理使用登记证；超期未检或未按检验要求检修（停用）的。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（14）</w:t>
      </w:r>
      <w:r>
        <w:rPr>
          <w:rFonts w:ascii="宋体" w:hAnsi="宋体" w:cs="宋体"/>
          <w:spacing w:val="4"/>
          <w:kern w:val="0"/>
          <w:szCs w:val="28"/>
        </w:rPr>
        <w:t>压力容器、压力管道的压力表、安全阀超期未检，防爆膜未定期更换的。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（15）</w:t>
      </w:r>
      <w:r>
        <w:rPr>
          <w:rFonts w:ascii="宋体" w:hAnsi="宋体" w:cs="宋体"/>
          <w:spacing w:val="4"/>
          <w:kern w:val="0"/>
          <w:szCs w:val="28"/>
        </w:rPr>
        <w:t>使用非法制造的压力容器、锅炉等特种设备及安全附件的。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（16）</w:t>
      </w:r>
      <w:r>
        <w:rPr>
          <w:rFonts w:ascii="宋体" w:hAnsi="宋体" w:cs="宋体"/>
          <w:spacing w:val="4"/>
          <w:kern w:val="0"/>
          <w:szCs w:val="28"/>
        </w:rPr>
        <w:t>爆炸和火灾危险环境区域内的电力装置（电机、灯具、开关等）不防爆，或防爆等级（类别、级别、组别）及线路敷设不符合有关标准、规定要求的。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（17）</w:t>
      </w:r>
      <w:r>
        <w:rPr>
          <w:rFonts w:ascii="宋体" w:hAnsi="宋体" w:cs="宋体"/>
          <w:spacing w:val="4"/>
          <w:kern w:val="0"/>
          <w:szCs w:val="28"/>
        </w:rPr>
        <w:t>爆炸和火灾危险环境区域内生产装置的控制室、变配电室、化验室、车间办公室、更衣室等生产辅助房间的电气设备达不到防爆要求的。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（18）</w:t>
      </w:r>
      <w:r>
        <w:rPr>
          <w:rFonts w:ascii="宋体" w:hAnsi="宋体" w:cs="宋体"/>
          <w:spacing w:val="4"/>
          <w:kern w:val="0"/>
          <w:szCs w:val="28"/>
        </w:rPr>
        <w:t>易燃易爆生产装置区、仓储装卸区的厂房、库房、设备、设施未按规定设置防雷设施，或未按规定进行检测并符合要求的。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（19）</w:t>
      </w:r>
      <w:r>
        <w:rPr>
          <w:rFonts w:ascii="宋体" w:hAnsi="宋体" w:cs="宋体"/>
          <w:spacing w:val="4"/>
          <w:kern w:val="0"/>
          <w:szCs w:val="28"/>
        </w:rPr>
        <w:t>易燃易爆场所的设备、管线等设施未按规定设置静电接地设施；汽车罐车、铁路罐车和装卸栈台未设置静电专用接地线，或未按规定进行检测并符合要求的。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（20）</w:t>
      </w:r>
      <w:r>
        <w:rPr>
          <w:rFonts w:ascii="宋体" w:hAnsi="宋体" w:cs="宋体"/>
          <w:spacing w:val="4"/>
          <w:kern w:val="0"/>
          <w:szCs w:val="28"/>
        </w:rPr>
        <w:t>未按规定设置水、泡沫、蒸汽等消防灭火系统的；未按标准规定配置消防双电源的；消防水池、消防水泵、消防管路及消防栓的配置不符合规定要求的。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（21）</w:t>
      </w:r>
      <w:r>
        <w:rPr>
          <w:rFonts w:ascii="宋体" w:hAnsi="宋体" w:cs="宋体"/>
          <w:spacing w:val="4"/>
          <w:kern w:val="0"/>
          <w:szCs w:val="28"/>
        </w:rPr>
        <w:t>生产装置区、储罐区、仓库未按规定设置固定（或半固定）式水（或泡沫）喷淋灭火系统的，或未按规定设置小型灭火器材，或灭火器材的种类、数量及设置方式不符合有关标准、规定要求的。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（22）</w:t>
      </w:r>
      <w:r>
        <w:rPr>
          <w:rFonts w:ascii="宋体" w:hAnsi="宋体" w:cs="宋体"/>
          <w:spacing w:val="4"/>
          <w:kern w:val="0"/>
          <w:szCs w:val="28"/>
        </w:rPr>
        <w:t>厂区内的消防道路（环行通道或回车场地、道路宽度、净空高度、转弯半径）不符合有关标准、规定要求的。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（23）</w:t>
      </w:r>
      <w:r>
        <w:rPr>
          <w:rFonts w:ascii="宋体" w:hAnsi="宋体" w:cs="宋体"/>
          <w:spacing w:val="4"/>
          <w:kern w:val="0"/>
          <w:szCs w:val="28"/>
        </w:rPr>
        <w:t>存在其他危害和整改难度较大，应当全部或者局部停产停业，并经过一定时间整改治理方能排除的隐患，或者因外部因素影响致使生产经营单位自身难以排除的隐患。</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（24）</w:t>
      </w:r>
      <w:r>
        <w:rPr>
          <w:rFonts w:ascii="宋体" w:hAnsi="宋体" w:cs="宋体"/>
          <w:spacing w:val="4"/>
          <w:kern w:val="0"/>
          <w:szCs w:val="28"/>
        </w:rPr>
        <w:t>构成重大危险源的液氯、</w:t>
      </w:r>
      <w:r>
        <w:rPr>
          <w:rFonts w:hint="eastAsia" w:ascii="宋体" w:hAnsi="宋体" w:cs="宋体"/>
          <w:spacing w:val="4"/>
          <w:kern w:val="0"/>
          <w:szCs w:val="28"/>
        </w:rPr>
        <w:t>液氨</w:t>
      </w:r>
      <w:r>
        <w:rPr>
          <w:rFonts w:ascii="宋体" w:hAnsi="宋体" w:cs="宋体"/>
          <w:spacing w:val="4"/>
          <w:kern w:val="0"/>
          <w:szCs w:val="28"/>
        </w:rPr>
        <w:t>等有毒物质罐区、液化烃罐区、甲类易燃液体罐区，以及大于或等于10Mpa的高压设备（介质为易燃、易爆、有毒物质），与周边居住区、人员密集场所、厂外主要道路的安全间距不符合有关标准、规定要求的。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（25）</w:t>
      </w:r>
      <w:r>
        <w:rPr>
          <w:rFonts w:ascii="宋体" w:hAnsi="宋体" w:cs="宋体"/>
          <w:spacing w:val="4"/>
          <w:kern w:val="0"/>
          <w:szCs w:val="28"/>
        </w:rPr>
        <w:t>构成重大危险源的</w:t>
      </w:r>
      <w:r>
        <w:rPr>
          <w:rFonts w:hint="eastAsia" w:ascii="宋体" w:hAnsi="宋体" w:cs="宋体"/>
          <w:spacing w:val="4"/>
          <w:kern w:val="0"/>
          <w:szCs w:val="28"/>
        </w:rPr>
        <w:t>液氨</w:t>
      </w:r>
      <w:r>
        <w:rPr>
          <w:rFonts w:ascii="宋体" w:hAnsi="宋体" w:cs="宋体"/>
          <w:spacing w:val="4"/>
          <w:kern w:val="0"/>
          <w:szCs w:val="28"/>
        </w:rPr>
        <w:t>储罐，以及大于或等于10Mpa的高压设备（介质为易燃、易爆、有毒物质），未按规定办理使用登记证、超期未检或检验不合格的；未按规定设置防雷、防静电设施，或未按规定定期检测及检测不合格的。</w:t>
      </w:r>
    </w:p>
    <w:p>
      <w:pPr>
        <w:pStyle w:val="2"/>
        <w:rPr>
          <w:rFonts w:hint="default" w:ascii="黑体" w:hAnsi="黑体" w:eastAsia="黑体" w:cs="宋体"/>
          <w:spacing w:val="4"/>
          <w:kern w:val="0"/>
          <w:sz w:val="21"/>
          <w:szCs w:val="28"/>
        </w:rPr>
      </w:pPr>
      <w:bookmarkStart w:id="105" w:name="_Toc452462769"/>
      <w:bookmarkStart w:id="106" w:name="_Toc11921475"/>
      <w:r>
        <w:rPr>
          <w:rFonts w:ascii="黑体" w:hAnsi="黑体" w:eastAsia="黑体" w:cs="宋体"/>
          <w:spacing w:val="4"/>
          <w:kern w:val="0"/>
          <w:sz w:val="21"/>
          <w:szCs w:val="28"/>
        </w:rPr>
        <w:t>7事故隐患排查方式、频次</w:t>
      </w:r>
      <w:bookmarkEnd w:id="105"/>
      <w:bookmarkEnd w:id="106"/>
    </w:p>
    <w:p>
      <w:pPr>
        <w:autoSpaceDE w:val="0"/>
        <w:autoSpaceDN w:val="0"/>
        <w:rPr>
          <w:rFonts w:ascii="宋体" w:hAnsi="宋体" w:cs="宋体"/>
          <w:b/>
          <w:spacing w:val="4"/>
          <w:kern w:val="0"/>
          <w:szCs w:val="28"/>
        </w:rPr>
      </w:pPr>
      <w:r>
        <w:rPr>
          <w:rFonts w:hint="eastAsia" w:ascii="宋体" w:hAnsi="宋体" w:cs="宋体"/>
          <w:b/>
          <w:spacing w:val="4"/>
          <w:kern w:val="0"/>
          <w:szCs w:val="28"/>
        </w:rPr>
        <w:t>7</w:t>
      </w:r>
      <w:r>
        <w:rPr>
          <w:rFonts w:ascii="宋体" w:hAnsi="宋体" w:cs="宋体"/>
          <w:b/>
          <w:spacing w:val="4"/>
          <w:kern w:val="0"/>
          <w:szCs w:val="28"/>
        </w:rPr>
        <w:t xml:space="preserve">.1 </w:t>
      </w:r>
      <w:r>
        <w:rPr>
          <w:rFonts w:hint="eastAsia" w:ascii="宋体" w:hAnsi="宋体" w:cs="宋体"/>
          <w:b/>
          <w:spacing w:val="4"/>
          <w:kern w:val="0"/>
          <w:szCs w:val="28"/>
        </w:rPr>
        <w:t>事故隐患排查方式</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事故隐患排查可与日常巡查和专项安全检查相结合的方式进行。</w:t>
      </w:r>
    </w:p>
    <w:p>
      <w:pPr>
        <w:autoSpaceDE w:val="0"/>
        <w:autoSpaceDN w:val="0"/>
        <w:rPr>
          <w:rFonts w:ascii="宋体" w:hAnsi="宋体" w:cs="宋体"/>
          <w:b/>
          <w:spacing w:val="4"/>
          <w:kern w:val="0"/>
          <w:szCs w:val="28"/>
        </w:rPr>
      </w:pPr>
      <w:r>
        <w:rPr>
          <w:rFonts w:hint="eastAsia" w:ascii="宋体" w:hAnsi="宋体" w:cs="宋体"/>
          <w:b/>
          <w:spacing w:val="4"/>
          <w:kern w:val="0"/>
          <w:szCs w:val="28"/>
        </w:rPr>
        <w:t>7</w:t>
      </w:r>
      <w:r>
        <w:rPr>
          <w:rFonts w:ascii="宋体" w:hAnsi="宋体" w:cs="宋体"/>
          <w:b/>
          <w:spacing w:val="4"/>
          <w:kern w:val="0"/>
          <w:szCs w:val="28"/>
        </w:rPr>
        <w:t>.</w:t>
      </w:r>
      <w:r>
        <w:rPr>
          <w:rFonts w:hint="eastAsia" w:ascii="宋体" w:hAnsi="宋体" w:cs="宋体"/>
          <w:b/>
          <w:spacing w:val="4"/>
          <w:kern w:val="0"/>
          <w:szCs w:val="28"/>
        </w:rPr>
        <w:t>2事故隐患排查频次</w:t>
      </w:r>
    </w:p>
    <w:p>
      <w:pPr>
        <w:autoSpaceDE w:val="0"/>
        <w:autoSpaceDN w:val="0"/>
        <w:ind w:right="-23"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）装置操作人员现场巡检间隔不得大于</w:t>
      </w:r>
      <w:r>
        <w:rPr>
          <w:rFonts w:ascii="宋体" w:hAnsi="宋体" w:cs="宋体"/>
          <w:spacing w:val="4"/>
          <w:kern w:val="0"/>
          <w:szCs w:val="28"/>
        </w:rPr>
        <w:t>2</w:t>
      </w:r>
      <w:r>
        <w:rPr>
          <w:rFonts w:hint="eastAsia" w:ascii="宋体" w:hAnsi="宋体" w:cs="宋体"/>
          <w:spacing w:val="4"/>
          <w:kern w:val="0"/>
          <w:szCs w:val="28"/>
        </w:rPr>
        <w:t>小时，涉及“两重点一重大”的生产、储存装置和部位的操作人员现场巡检间隔不得大于</w:t>
      </w:r>
      <w:r>
        <w:rPr>
          <w:rFonts w:ascii="宋体" w:hAnsi="宋体" w:cs="宋体"/>
          <w:spacing w:val="4"/>
          <w:kern w:val="0"/>
          <w:szCs w:val="28"/>
        </w:rPr>
        <w:t>1</w:t>
      </w:r>
      <w:r>
        <w:rPr>
          <w:rFonts w:hint="eastAsia" w:ascii="宋体" w:hAnsi="宋体" w:cs="宋体"/>
          <w:spacing w:val="4"/>
          <w:kern w:val="0"/>
          <w:szCs w:val="28"/>
        </w:rPr>
        <w:t>小时，宜采用不间断巡检方式进行现场巡检。</w:t>
      </w:r>
    </w:p>
    <w:p>
      <w:pPr>
        <w:autoSpaceDE w:val="0"/>
        <w:autoSpaceDN w:val="0"/>
        <w:ind w:right="-23"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）基层车间（装置，下同）直接管理人员</w:t>
      </w:r>
      <w:r>
        <w:rPr>
          <w:rFonts w:ascii="宋体" w:hAnsi="宋体" w:cs="宋体"/>
          <w:spacing w:val="4"/>
          <w:kern w:val="0"/>
          <w:szCs w:val="28"/>
        </w:rPr>
        <w:t>(</w:t>
      </w:r>
      <w:r>
        <w:rPr>
          <w:rFonts w:hint="eastAsia" w:ascii="宋体" w:hAnsi="宋体" w:cs="宋体"/>
          <w:spacing w:val="4"/>
          <w:kern w:val="0"/>
          <w:szCs w:val="28"/>
        </w:rPr>
        <w:t>主任、工艺设备技术人员</w:t>
      </w:r>
      <w:r>
        <w:rPr>
          <w:rFonts w:ascii="宋体" w:hAnsi="宋体" w:cs="宋体"/>
          <w:spacing w:val="4"/>
          <w:kern w:val="0"/>
          <w:szCs w:val="28"/>
        </w:rPr>
        <w:t>)</w:t>
      </w:r>
      <w:r>
        <w:rPr>
          <w:rFonts w:hint="eastAsia" w:ascii="宋体" w:hAnsi="宋体" w:cs="宋体"/>
          <w:spacing w:val="4"/>
          <w:kern w:val="0"/>
          <w:szCs w:val="28"/>
        </w:rPr>
        <w:t>、电气、仪表人员每天至少两次对装置现场进行相关专业检查。</w:t>
      </w:r>
    </w:p>
    <w:p>
      <w:pPr>
        <w:autoSpaceDE w:val="0"/>
        <w:autoSpaceDN w:val="0"/>
        <w:ind w:right="-23"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）基层车间应结合岗位责任制检查，至少每周组织一次隐患排查，并和日常交接班检查和班中巡回检查中发现的隐患一起进行汇总；基层单位（厂）应结合岗位责任制检查，至少每月组织一次隐患排查。</w:t>
      </w:r>
    </w:p>
    <w:p>
      <w:pPr>
        <w:autoSpaceDE w:val="0"/>
        <w:autoSpaceDN w:val="0"/>
        <w:ind w:right="-23"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）企业应根据季节性特征及本单位的生产实际，每季度开展一次有针对性的季节性隐患排查；重大活动及节假日前必须进行一次隐患排查。</w:t>
      </w:r>
    </w:p>
    <w:p>
      <w:pPr>
        <w:autoSpaceDE w:val="0"/>
        <w:autoSpaceDN w:val="0"/>
        <w:ind w:right="-23"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）企业至少每半年组织一次，基层单位至少每季度组织一次综合性隐患排查和专业隐患排查，两者可结合进行。</w:t>
      </w:r>
    </w:p>
    <w:p>
      <w:pPr>
        <w:autoSpaceDE w:val="0"/>
        <w:autoSpaceDN w:val="0"/>
        <w:ind w:right="-23"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6</w:t>
      </w:r>
      <w:r>
        <w:rPr>
          <w:rFonts w:hint="eastAsia" w:ascii="宋体" w:hAnsi="宋体" w:cs="宋体"/>
          <w:spacing w:val="4"/>
          <w:kern w:val="0"/>
          <w:szCs w:val="28"/>
        </w:rPr>
        <w:t>）当获知同类企业发生伤亡及泄漏、火灾爆炸等事故时，应举一反三，及时进行事故类比隐患专项排查。</w:t>
      </w:r>
    </w:p>
    <w:p>
      <w:pPr>
        <w:autoSpaceDE w:val="0"/>
        <w:autoSpaceDN w:val="0"/>
        <w:ind w:right="-23"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7</w:t>
      </w:r>
      <w:r>
        <w:rPr>
          <w:rFonts w:hint="eastAsia" w:ascii="宋体" w:hAnsi="宋体" w:cs="宋体"/>
          <w:spacing w:val="4"/>
          <w:kern w:val="0"/>
          <w:szCs w:val="28"/>
        </w:rPr>
        <w:t>）对于区域位置、工艺技术等不经常发生变化的，可依据实际变化情况确定排查周期，如果发生变化，应及时进行隐患排查。</w:t>
      </w:r>
    </w:p>
    <w:p>
      <w:pPr>
        <w:autoSpaceDE w:val="0"/>
        <w:autoSpaceDN w:val="0"/>
        <w:rPr>
          <w:rFonts w:ascii="宋体" w:hAnsi="宋体" w:cs="宋体"/>
          <w:b/>
          <w:spacing w:val="4"/>
          <w:kern w:val="0"/>
          <w:szCs w:val="28"/>
        </w:rPr>
      </w:pPr>
      <w:r>
        <w:rPr>
          <w:rFonts w:hint="eastAsia" w:ascii="宋体" w:hAnsi="宋体" w:cs="宋体"/>
          <w:b/>
          <w:spacing w:val="4"/>
          <w:kern w:val="0"/>
          <w:szCs w:val="28"/>
        </w:rPr>
        <w:t>7.3 当发生以下情形之一，应及时组织进行隐患排查：</w:t>
      </w:r>
      <w:r>
        <w:rPr>
          <w:rFonts w:ascii="宋体" w:hAnsi="宋体" w:cs="宋体"/>
          <w:b/>
          <w:spacing w:val="4"/>
          <w:kern w:val="0"/>
          <w:szCs w:val="28"/>
        </w:rPr>
        <w:t xml:space="preserve"> </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）颁布实施有关新的法律法规、标准规范或原有适用法律法规、标准规范重新修订的；</w:t>
      </w:r>
      <w:r>
        <w:rPr>
          <w:rFonts w:ascii="宋体" w:hAnsi="宋体" w:cs="宋体"/>
          <w:spacing w:val="4"/>
          <w:kern w:val="0"/>
          <w:szCs w:val="28"/>
        </w:rPr>
        <w:t xml:space="preserve"> </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）组织机构和人员发生重大调整的；</w:t>
      </w:r>
      <w:r>
        <w:rPr>
          <w:rFonts w:ascii="宋体" w:hAnsi="宋体" w:cs="宋体"/>
          <w:spacing w:val="4"/>
          <w:kern w:val="0"/>
          <w:szCs w:val="28"/>
        </w:rPr>
        <w:t xml:space="preserve"> </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）装置工艺、设备、电气、仪表、公用工程或操作参数发生重大改变的，应按变更管理要求进行风险评估；</w:t>
      </w:r>
      <w:r>
        <w:rPr>
          <w:rFonts w:ascii="宋体" w:hAnsi="宋体" w:cs="宋体"/>
          <w:spacing w:val="4"/>
          <w:kern w:val="0"/>
          <w:szCs w:val="28"/>
        </w:rPr>
        <w:t xml:space="preserve"> </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）外部安全生产环境发生重大变化；</w:t>
      </w:r>
      <w:r>
        <w:rPr>
          <w:rFonts w:ascii="宋体" w:hAnsi="宋体" w:cs="宋体"/>
          <w:spacing w:val="4"/>
          <w:kern w:val="0"/>
          <w:szCs w:val="28"/>
        </w:rPr>
        <w:t xml:space="preserve"> </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）发生事故或对事故、事件有新的认识；</w:t>
      </w:r>
      <w:r>
        <w:rPr>
          <w:rFonts w:ascii="宋体" w:hAnsi="宋体" w:cs="宋体"/>
          <w:spacing w:val="4"/>
          <w:kern w:val="0"/>
          <w:szCs w:val="28"/>
        </w:rPr>
        <w:t xml:space="preserve"> </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6</w:t>
      </w:r>
      <w:r>
        <w:rPr>
          <w:rFonts w:hint="eastAsia" w:ascii="宋体" w:hAnsi="宋体" w:cs="宋体"/>
          <w:spacing w:val="4"/>
          <w:kern w:val="0"/>
          <w:szCs w:val="28"/>
        </w:rPr>
        <w:t>）气候条件发生大的变化或预报可能发生重大自然灾害。</w:t>
      </w:r>
      <w:r>
        <w:rPr>
          <w:rFonts w:ascii="宋体" w:hAnsi="宋体" w:cs="宋体"/>
          <w:spacing w:val="4"/>
          <w:kern w:val="0"/>
          <w:szCs w:val="28"/>
        </w:rPr>
        <w:t xml:space="preserve"> </w:t>
      </w:r>
    </w:p>
    <w:p>
      <w:pPr>
        <w:autoSpaceDE w:val="0"/>
        <w:autoSpaceDN w:val="0"/>
        <w:rPr>
          <w:rFonts w:ascii="宋体" w:hAnsi="宋体" w:cs="宋体"/>
          <w:b/>
          <w:spacing w:val="4"/>
          <w:kern w:val="0"/>
          <w:szCs w:val="28"/>
        </w:rPr>
      </w:pPr>
      <w:r>
        <w:rPr>
          <w:rFonts w:hint="eastAsia" w:ascii="宋体" w:hAnsi="宋体" w:cs="宋体"/>
          <w:b/>
          <w:spacing w:val="4"/>
          <w:kern w:val="0"/>
          <w:szCs w:val="28"/>
        </w:rPr>
        <w:t>7.4 重大危险源区域应每五年至少开展一次危险与可操作性分析（HAZOP）。</w:t>
      </w:r>
    </w:p>
    <w:p>
      <w:pPr>
        <w:pStyle w:val="2"/>
        <w:spacing w:before="100" w:after="100"/>
        <w:rPr>
          <w:rFonts w:hint="default" w:ascii="黑体" w:hAnsi="黑体" w:eastAsia="黑体" w:cs="宋体"/>
          <w:spacing w:val="4"/>
          <w:kern w:val="0"/>
          <w:sz w:val="21"/>
          <w:szCs w:val="28"/>
        </w:rPr>
      </w:pPr>
      <w:bookmarkStart w:id="107" w:name="_Toc452462770"/>
      <w:bookmarkStart w:id="108" w:name="_Toc11921476"/>
      <w:r>
        <w:rPr>
          <w:rFonts w:ascii="黑体" w:hAnsi="黑体" w:eastAsia="黑体" w:cs="宋体"/>
          <w:spacing w:val="4"/>
          <w:kern w:val="0"/>
          <w:sz w:val="21"/>
          <w:szCs w:val="28"/>
        </w:rPr>
        <w:t>8 事故隐患排查内容</w:t>
      </w:r>
      <w:bookmarkEnd w:id="107"/>
      <w:bookmarkEnd w:id="108"/>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根据本企业生产装置的特点，隐患排查包括但不限于以下内容：</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）安全基础管理；</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）区域位置和总图布置；</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）工艺；</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）设备；</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）电气系统；</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6</w:t>
      </w:r>
      <w:r>
        <w:rPr>
          <w:rFonts w:hint="eastAsia" w:ascii="宋体" w:hAnsi="宋体" w:cs="宋体"/>
          <w:spacing w:val="4"/>
          <w:kern w:val="0"/>
          <w:szCs w:val="28"/>
        </w:rPr>
        <w:t>）仪表系统；</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（7）危险化学品管理；</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8</w:t>
      </w:r>
      <w:r>
        <w:rPr>
          <w:rFonts w:hint="eastAsia" w:ascii="宋体" w:hAnsi="宋体" w:cs="宋体"/>
          <w:spacing w:val="4"/>
          <w:kern w:val="0"/>
          <w:szCs w:val="28"/>
        </w:rPr>
        <w:t>）储运系统；</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9</w:t>
      </w:r>
      <w:r>
        <w:rPr>
          <w:rFonts w:hint="eastAsia" w:ascii="宋体" w:hAnsi="宋体" w:cs="宋体"/>
          <w:spacing w:val="4"/>
          <w:kern w:val="0"/>
          <w:szCs w:val="28"/>
        </w:rPr>
        <w:t>）公用工程；</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10</w:t>
      </w:r>
      <w:r>
        <w:rPr>
          <w:rFonts w:hint="eastAsia" w:ascii="宋体" w:hAnsi="宋体" w:cs="宋体"/>
          <w:spacing w:val="4"/>
          <w:kern w:val="0"/>
          <w:szCs w:val="28"/>
        </w:rPr>
        <w:t>）消防系统。</w:t>
      </w:r>
    </w:p>
    <w:p>
      <w:pPr>
        <w:autoSpaceDE w:val="0"/>
        <w:autoSpaceDN w:val="0"/>
        <w:rPr>
          <w:rFonts w:ascii="宋体" w:hAnsi="宋体" w:cs="宋体"/>
          <w:b/>
          <w:spacing w:val="4"/>
          <w:kern w:val="0"/>
          <w:szCs w:val="28"/>
        </w:rPr>
      </w:pPr>
      <w:r>
        <w:rPr>
          <w:rFonts w:hint="eastAsia" w:ascii="宋体" w:hAnsi="宋体" w:cs="宋体"/>
          <w:b/>
          <w:spacing w:val="4"/>
          <w:kern w:val="0"/>
          <w:szCs w:val="28"/>
        </w:rPr>
        <w:t>8</w:t>
      </w:r>
      <w:r>
        <w:rPr>
          <w:rFonts w:ascii="宋体" w:hAnsi="宋体" w:cs="宋体"/>
          <w:b/>
          <w:spacing w:val="4"/>
          <w:kern w:val="0"/>
          <w:szCs w:val="28"/>
        </w:rPr>
        <w:t xml:space="preserve">.1 </w:t>
      </w:r>
      <w:r>
        <w:rPr>
          <w:rFonts w:hint="eastAsia" w:ascii="宋体" w:hAnsi="宋体" w:cs="宋体"/>
          <w:b/>
          <w:spacing w:val="4"/>
          <w:kern w:val="0"/>
          <w:szCs w:val="28"/>
        </w:rPr>
        <w:t>安全基础管理</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.1.1 </w:t>
      </w:r>
      <w:r>
        <w:rPr>
          <w:rFonts w:hint="eastAsia" w:ascii="宋体" w:hAnsi="宋体" w:cs="宋体"/>
          <w:spacing w:val="4"/>
          <w:kern w:val="0"/>
          <w:szCs w:val="28"/>
        </w:rPr>
        <w:t>安全生产管理机构建立健全情况、安全生产责任制和安全管理制度建立健全及落实情况。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.1.2 </w:t>
      </w:r>
      <w:r>
        <w:rPr>
          <w:rFonts w:hint="eastAsia" w:ascii="宋体" w:hAnsi="宋体" w:cs="宋体"/>
          <w:spacing w:val="4"/>
          <w:kern w:val="0"/>
          <w:szCs w:val="28"/>
        </w:rPr>
        <w:t>安全投入保障情况，参加工伤保险、安全生产责任险的情况。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.1.3  </w:t>
      </w:r>
      <w:r>
        <w:rPr>
          <w:rFonts w:hint="eastAsia" w:ascii="宋体" w:hAnsi="宋体" w:cs="宋体"/>
          <w:spacing w:val="4"/>
          <w:kern w:val="0"/>
          <w:szCs w:val="28"/>
        </w:rPr>
        <w:t>安全培训与教育情况，主要包括：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）企业主要负责人、安全管理人员的培训及持证上岗情况；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）特种作业人员的培训及持证上岗情况；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）从业人员安全教育和技能培训情况。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.1.4  </w:t>
      </w:r>
      <w:r>
        <w:rPr>
          <w:rFonts w:hint="eastAsia" w:ascii="宋体" w:hAnsi="宋体" w:cs="宋体"/>
          <w:spacing w:val="4"/>
          <w:kern w:val="0"/>
          <w:szCs w:val="28"/>
        </w:rPr>
        <w:t>企业开展风险评价与隐患排查治理情况，主要包括：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）法律、法规和标准的识别和获取情况；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）定期和及时对作业活动和生产设施进行风险评价情况；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）风险评价结果的落实、宣传及培训情况；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）企业隐患排查治理制度是否满足安全生产需要。</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.1.5  </w:t>
      </w:r>
      <w:r>
        <w:rPr>
          <w:rFonts w:hint="eastAsia" w:ascii="宋体" w:hAnsi="宋体" w:cs="宋体"/>
          <w:spacing w:val="4"/>
          <w:kern w:val="0"/>
          <w:szCs w:val="28"/>
        </w:rPr>
        <w:t>事故管理、变更管理及承包商的管理情况。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.1.6  </w:t>
      </w:r>
      <w:r>
        <w:rPr>
          <w:rFonts w:hint="eastAsia" w:ascii="宋体" w:hAnsi="宋体" w:cs="宋体"/>
          <w:spacing w:val="4"/>
          <w:kern w:val="0"/>
          <w:szCs w:val="28"/>
        </w:rPr>
        <w:t>危险作业和检维修的管理情况，主要包括：</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）危险性作业活动作业前的危险有害因素识别与控制情况；</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）动火作业、进入受限空间作业、破土作业、临时用电作业、高处作业、断路作业、吊装作业、设备检修作业和抽堵盲板作业等危险性作业的作业许可管理与过程监督情况。</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）从业人员劳动防护用品和器具的配置、佩戴与使用情况；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.1.7 </w:t>
      </w:r>
      <w:r>
        <w:rPr>
          <w:rFonts w:hint="eastAsia" w:ascii="宋体" w:hAnsi="宋体" w:cs="宋体"/>
          <w:spacing w:val="4"/>
          <w:kern w:val="0"/>
          <w:szCs w:val="28"/>
        </w:rPr>
        <w:t>危险化学品事故的应急管理情况。</w:t>
      </w:r>
    </w:p>
    <w:p>
      <w:pPr>
        <w:autoSpaceDE w:val="0"/>
        <w:autoSpaceDN w:val="0"/>
        <w:rPr>
          <w:rFonts w:ascii="宋体" w:hAnsi="宋体" w:cs="宋体"/>
          <w:b/>
          <w:spacing w:val="4"/>
          <w:kern w:val="0"/>
          <w:szCs w:val="28"/>
        </w:rPr>
      </w:pPr>
      <w:r>
        <w:rPr>
          <w:rFonts w:hint="eastAsia" w:ascii="宋体" w:hAnsi="宋体" w:cs="宋体"/>
          <w:b/>
          <w:spacing w:val="4"/>
          <w:kern w:val="0"/>
          <w:szCs w:val="28"/>
        </w:rPr>
        <w:t>8</w:t>
      </w:r>
      <w:r>
        <w:rPr>
          <w:rFonts w:ascii="宋体" w:hAnsi="宋体" w:cs="宋体"/>
          <w:b/>
          <w:spacing w:val="4"/>
          <w:kern w:val="0"/>
          <w:szCs w:val="28"/>
        </w:rPr>
        <w:t xml:space="preserve">.2 </w:t>
      </w:r>
      <w:r>
        <w:rPr>
          <w:rFonts w:hint="eastAsia" w:ascii="宋体" w:hAnsi="宋体" w:cs="宋体"/>
          <w:b/>
          <w:spacing w:val="4"/>
          <w:kern w:val="0"/>
          <w:szCs w:val="28"/>
        </w:rPr>
        <w:t>区域位置和总图布置</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.2.1  </w:t>
      </w:r>
      <w:r>
        <w:rPr>
          <w:rFonts w:hint="eastAsia" w:ascii="宋体" w:hAnsi="宋体" w:cs="宋体"/>
          <w:spacing w:val="4"/>
          <w:kern w:val="0"/>
          <w:szCs w:val="28"/>
        </w:rPr>
        <w:t>危险化学品生产装置和重大危险源储存设施与《危险化学品安全管理条例》中规定的重要场所的安全距离。</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.2.2  </w:t>
      </w:r>
      <w:r>
        <w:rPr>
          <w:rFonts w:hint="eastAsia" w:ascii="宋体" w:hAnsi="宋体" w:cs="宋体"/>
          <w:spacing w:val="4"/>
          <w:kern w:val="0"/>
          <w:szCs w:val="28"/>
        </w:rPr>
        <w:t>可能造成水域环境污染的危险化学品危险源的防范情况。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.2.3  </w:t>
      </w:r>
      <w:r>
        <w:rPr>
          <w:rFonts w:hint="eastAsia" w:ascii="宋体" w:hAnsi="宋体" w:cs="宋体"/>
          <w:spacing w:val="4"/>
          <w:kern w:val="0"/>
          <w:szCs w:val="28"/>
        </w:rPr>
        <w:t>企业周边或作业过程中存在的易由自然灾害引发事故灾难的危险点排查、防范和治理情况。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.2.4  </w:t>
      </w:r>
      <w:r>
        <w:rPr>
          <w:rFonts w:hint="eastAsia" w:ascii="宋体" w:hAnsi="宋体" w:cs="宋体"/>
          <w:spacing w:val="4"/>
          <w:kern w:val="0"/>
          <w:szCs w:val="28"/>
        </w:rPr>
        <w:t>企业内部重要设施的平面布置以及安全距离，主要包括：</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）控制室、变配电所、化验室、办公室、机柜间以及人员密集区或场所；</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）消防站及消防泵房；</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）空分装置、空压站；</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）点火源（包括火炬）；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）危险化学品生产与储存设施等；</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6</w:t>
      </w:r>
      <w:r>
        <w:rPr>
          <w:rFonts w:hint="eastAsia" w:ascii="宋体" w:hAnsi="宋体" w:cs="宋体"/>
          <w:spacing w:val="4"/>
          <w:kern w:val="0"/>
          <w:szCs w:val="28"/>
        </w:rPr>
        <w:t>）其他重要设施及场所。</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.2.5  </w:t>
      </w:r>
      <w:r>
        <w:rPr>
          <w:rFonts w:hint="eastAsia" w:ascii="宋体" w:hAnsi="宋体" w:cs="宋体"/>
          <w:spacing w:val="4"/>
          <w:kern w:val="0"/>
          <w:szCs w:val="28"/>
        </w:rPr>
        <w:t>其他总图布置情况，主要包括：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）建构筑物的安全通道；</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）厂区道路、消防道路、安全疏散通道和应急通道等重要道路（通道）的设计、建设与维护情况；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）安全警示标志的设置情况；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）其他与总图相关的安全隐患。</w:t>
      </w:r>
    </w:p>
    <w:p>
      <w:pPr>
        <w:autoSpaceDE w:val="0"/>
        <w:autoSpaceDN w:val="0"/>
        <w:rPr>
          <w:rFonts w:ascii="宋体" w:hAnsi="宋体" w:cs="宋体"/>
          <w:b/>
          <w:spacing w:val="4"/>
          <w:kern w:val="0"/>
          <w:szCs w:val="28"/>
        </w:rPr>
      </w:pPr>
      <w:r>
        <w:rPr>
          <w:rFonts w:hint="eastAsia" w:ascii="宋体" w:hAnsi="宋体" w:cs="宋体"/>
          <w:b/>
          <w:spacing w:val="4"/>
          <w:kern w:val="0"/>
          <w:szCs w:val="28"/>
        </w:rPr>
        <w:t>8</w:t>
      </w:r>
      <w:r>
        <w:rPr>
          <w:rFonts w:ascii="宋体" w:hAnsi="宋体" w:cs="宋体"/>
          <w:b/>
          <w:spacing w:val="4"/>
          <w:kern w:val="0"/>
          <w:szCs w:val="28"/>
        </w:rPr>
        <w:t xml:space="preserve">.3 </w:t>
      </w:r>
      <w:r>
        <w:rPr>
          <w:rFonts w:hint="eastAsia" w:ascii="宋体" w:hAnsi="宋体" w:cs="宋体"/>
          <w:b/>
          <w:spacing w:val="4"/>
          <w:kern w:val="0"/>
          <w:szCs w:val="28"/>
        </w:rPr>
        <w:t>工艺管理</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.3.1  </w:t>
      </w:r>
      <w:r>
        <w:rPr>
          <w:rFonts w:hint="eastAsia" w:ascii="宋体" w:hAnsi="宋体" w:cs="宋体"/>
          <w:spacing w:val="4"/>
          <w:kern w:val="0"/>
          <w:szCs w:val="28"/>
        </w:rPr>
        <w:t>工艺的安全管理，主要包括：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）工艺安全信息的管理；</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）工艺风险分析制度的建立和执行；</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）操作规程的编制、审查、使用与控制；</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）工艺安全培训程序、内容、频次及记录的管理。</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.3.2  </w:t>
      </w:r>
      <w:r>
        <w:rPr>
          <w:rFonts w:hint="eastAsia" w:ascii="宋体" w:hAnsi="宋体" w:cs="宋体"/>
          <w:spacing w:val="4"/>
          <w:kern w:val="0"/>
          <w:szCs w:val="28"/>
        </w:rPr>
        <w:t>工艺技术及工艺装置的安全控制，主要包括：</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）装置可能引起火灾、爆炸等严重事故的部位是否设置超温、超压等检测仪表、声和</w:t>
      </w:r>
      <w:r>
        <w:rPr>
          <w:rFonts w:ascii="宋体" w:hAnsi="宋体" w:cs="宋体"/>
          <w:spacing w:val="4"/>
          <w:kern w:val="0"/>
          <w:szCs w:val="28"/>
        </w:rPr>
        <w:t>/</w:t>
      </w:r>
      <w:r>
        <w:rPr>
          <w:rFonts w:hint="eastAsia" w:ascii="宋体" w:hAnsi="宋体" w:cs="宋体"/>
          <w:spacing w:val="4"/>
          <w:kern w:val="0"/>
          <w:szCs w:val="28"/>
        </w:rPr>
        <w:t>或光报警、泄压设施和安全联锁装置等设施；</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）针对温度、压力、流量、液位等工艺参数设计的安全泄压系统以及安全泄压措施的完好性；</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）危险物料的泄压排放或放空的安全性；</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）按照《首批重点监管的危险化工工艺目录》和《首批</w:t>
      </w:r>
      <w:r>
        <w:rPr>
          <w:rFonts w:ascii="宋体" w:hAnsi="宋体" w:cs="宋体"/>
          <w:spacing w:val="4"/>
          <w:kern w:val="0"/>
          <w:szCs w:val="28"/>
        </w:rPr>
        <w:t xml:space="preserve"> </w:t>
      </w:r>
      <w:r>
        <w:rPr>
          <w:rFonts w:hint="eastAsia" w:ascii="宋体" w:hAnsi="宋体" w:cs="宋体"/>
          <w:spacing w:val="4"/>
          <w:kern w:val="0"/>
          <w:szCs w:val="28"/>
        </w:rPr>
        <w:t>重点监管的危险化工工艺安全控制要求、重点监控参数及推荐</w:t>
      </w:r>
      <w:r>
        <w:rPr>
          <w:rFonts w:ascii="宋体" w:hAnsi="宋体" w:cs="宋体"/>
          <w:spacing w:val="4"/>
          <w:kern w:val="0"/>
          <w:szCs w:val="28"/>
        </w:rPr>
        <w:t xml:space="preserve"> </w:t>
      </w:r>
      <w:r>
        <w:rPr>
          <w:rFonts w:hint="eastAsia" w:ascii="宋体" w:hAnsi="宋体" w:cs="宋体"/>
          <w:spacing w:val="4"/>
          <w:kern w:val="0"/>
          <w:szCs w:val="28"/>
        </w:rPr>
        <w:t>的控制方案》（安监总管三〔</w:t>
      </w:r>
      <w:r>
        <w:rPr>
          <w:rFonts w:ascii="宋体" w:hAnsi="宋体" w:cs="宋体"/>
          <w:spacing w:val="4"/>
          <w:kern w:val="0"/>
          <w:szCs w:val="28"/>
        </w:rPr>
        <w:t>2009</w:t>
      </w:r>
      <w:r>
        <w:rPr>
          <w:rFonts w:hint="eastAsia" w:ascii="宋体" w:hAnsi="宋体" w:cs="宋体"/>
          <w:spacing w:val="4"/>
          <w:kern w:val="0"/>
          <w:szCs w:val="28"/>
        </w:rPr>
        <w:t>〕</w:t>
      </w:r>
      <w:r>
        <w:rPr>
          <w:rFonts w:ascii="宋体" w:hAnsi="宋体" w:cs="宋体"/>
          <w:spacing w:val="4"/>
          <w:kern w:val="0"/>
          <w:szCs w:val="28"/>
        </w:rPr>
        <w:t xml:space="preserve">116 </w:t>
      </w:r>
      <w:r>
        <w:rPr>
          <w:rFonts w:hint="eastAsia" w:ascii="宋体" w:hAnsi="宋体" w:cs="宋体"/>
          <w:spacing w:val="4"/>
          <w:kern w:val="0"/>
          <w:szCs w:val="28"/>
        </w:rPr>
        <w:t>号）的要求进行危险化工工艺的安全控制情况；</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）火炬系统的安全性；</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6</w:t>
      </w:r>
      <w:r>
        <w:rPr>
          <w:rFonts w:hint="eastAsia" w:ascii="宋体" w:hAnsi="宋体" w:cs="宋体"/>
          <w:spacing w:val="4"/>
          <w:kern w:val="0"/>
          <w:szCs w:val="28"/>
        </w:rPr>
        <w:t>）其他工艺技术及工艺装置的安全控制方面的隐患。</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.3.3  </w:t>
      </w:r>
      <w:r>
        <w:rPr>
          <w:rFonts w:hint="eastAsia" w:ascii="宋体" w:hAnsi="宋体" w:cs="宋体"/>
          <w:spacing w:val="4"/>
          <w:kern w:val="0"/>
          <w:szCs w:val="28"/>
        </w:rPr>
        <w:t>现场工艺安全状况，主要包括：</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）工艺卡片的管理</w:t>
      </w:r>
      <w:r>
        <w:rPr>
          <w:rFonts w:ascii="宋体" w:hAnsi="宋体" w:cs="宋体"/>
          <w:spacing w:val="4"/>
          <w:kern w:val="0"/>
          <w:szCs w:val="28"/>
        </w:rPr>
        <w:t>,</w:t>
      </w:r>
      <w:r>
        <w:rPr>
          <w:rFonts w:hint="eastAsia" w:ascii="宋体" w:hAnsi="宋体" w:cs="宋体"/>
          <w:spacing w:val="4"/>
          <w:kern w:val="0"/>
          <w:szCs w:val="28"/>
        </w:rPr>
        <w:t>包括工艺卡片的建立和变更，以及工艺指标的现场控制；</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）现场联锁的管理，包括联锁管理制度及现场联锁投用、摘除与恢复；</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）工艺操作记录及交接班情况；</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）剧毒品部位的巡检、取样、操作与检维修的现场管理。</w:t>
      </w:r>
    </w:p>
    <w:p>
      <w:pPr>
        <w:autoSpaceDE w:val="0"/>
        <w:autoSpaceDN w:val="0"/>
        <w:rPr>
          <w:rFonts w:ascii="宋体" w:hAnsi="宋体" w:cs="宋体"/>
          <w:b/>
          <w:spacing w:val="4"/>
          <w:kern w:val="0"/>
          <w:szCs w:val="28"/>
        </w:rPr>
      </w:pPr>
      <w:r>
        <w:rPr>
          <w:rFonts w:hint="eastAsia" w:ascii="宋体" w:hAnsi="宋体" w:cs="宋体"/>
          <w:b/>
          <w:spacing w:val="4"/>
          <w:kern w:val="0"/>
          <w:szCs w:val="28"/>
        </w:rPr>
        <w:t>8</w:t>
      </w:r>
      <w:r>
        <w:rPr>
          <w:rFonts w:ascii="宋体" w:hAnsi="宋体" w:cs="宋体"/>
          <w:b/>
          <w:spacing w:val="4"/>
          <w:kern w:val="0"/>
          <w:szCs w:val="28"/>
        </w:rPr>
        <w:t xml:space="preserve">.4 </w:t>
      </w:r>
      <w:r>
        <w:rPr>
          <w:rFonts w:hint="eastAsia" w:ascii="宋体" w:hAnsi="宋体" w:cs="宋体"/>
          <w:b/>
          <w:spacing w:val="4"/>
          <w:kern w:val="0"/>
          <w:szCs w:val="28"/>
        </w:rPr>
        <w:t>设备管理</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.4.1 </w:t>
      </w:r>
      <w:r>
        <w:rPr>
          <w:rFonts w:hint="eastAsia" w:ascii="宋体" w:hAnsi="宋体" w:cs="宋体"/>
          <w:spacing w:val="4"/>
          <w:kern w:val="0"/>
          <w:szCs w:val="28"/>
        </w:rPr>
        <w:t>设备管理制度与管理体系的建立与执行情况，主要包括：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）按照国家相关法律法规制定修订本企业的设备管理制度；</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）有健全的设备管理体系，设备管理人员按要求配备；</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）建立健全安全设施管理制度及台账。</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.4.2 </w:t>
      </w:r>
      <w:r>
        <w:rPr>
          <w:rFonts w:hint="eastAsia" w:ascii="宋体" w:hAnsi="宋体" w:cs="宋体"/>
          <w:spacing w:val="4"/>
          <w:kern w:val="0"/>
          <w:szCs w:val="28"/>
        </w:rPr>
        <w:t>设备现场的安全运行状况，包括：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）大型机组、机泵、锅炉、加热炉等关键设备装置的联锁自保护及安全附件的设置、投用与完好状况；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）大型机组关键设备特级维护到位，备用设备处于完好备用状态；</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）转动机器的润滑状况，设备润滑的“五定”、“三级过滤”；</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）设备状态监测和故障诊断情况；</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）设备的腐蚀防护状况，包括重点装置设备腐蚀的状况、设备腐蚀部位、工艺防腐措施，材料防腐措施等。</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.4.3  </w:t>
      </w:r>
      <w:r>
        <w:rPr>
          <w:rFonts w:hint="eastAsia" w:ascii="宋体" w:hAnsi="宋体" w:cs="宋体"/>
          <w:spacing w:val="4"/>
          <w:kern w:val="0"/>
          <w:szCs w:val="28"/>
        </w:rPr>
        <w:t>特种设备（包括压力容器及压力管道）的现场管理，主要包括：</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）特种设备（包括压力容器、压力管道）的管理制度及台账；</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）特种设备注册登记及定期检测检验情况；</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）特种设备安全附件的管理维护。</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.5 </w:t>
      </w:r>
      <w:r>
        <w:rPr>
          <w:rFonts w:hint="eastAsia" w:ascii="宋体" w:hAnsi="宋体" w:cs="宋体"/>
          <w:spacing w:val="4"/>
          <w:kern w:val="0"/>
          <w:szCs w:val="28"/>
        </w:rPr>
        <w:t>电气系统</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.5.1  </w:t>
      </w:r>
      <w:r>
        <w:rPr>
          <w:rFonts w:hint="eastAsia" w:ascii="宋体" w:hAnsi="宋体" w:cs="宋体"/>
          <w:spacing w:val="4"/>
          <w:kern w:val="0"/>
          <w:szCs w:val="28"/>
        </w:rPr>
        <w:t>电气系统的安全管理，主要包括：</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）电气特种作业人员资格管理；</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）电气安全相关管理制度、规程的制定及执行情况。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.5.2  </w:t>
      </w:r>
      <w:r>
        <w:rPr>
          <w:rFonts w:hint="eastAsia" w:ascii="宋体" w:hAnsi="宋体" w:cs="宋体"/>
          <w:spacing w:val="4"/>
          <w:kern w:val="0"/>
          <w:szCs w:val="28"/>
        </w:rPr>
        <w:t>供配电系统、电气设备及电气安全设施的设置，主要包括：</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）用电设备的电力负荷等级与供电系统的匹配性；</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）消防泵、关键装置、关键机组等特别重要负荷的供电；</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）重要场所事故应急照明；</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）电缆、变配电相关设施的防火防爆；</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）爆炸危险区域内的防爆电气设备选型及安装；</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6</w:t>
      </w:r>
      <w:r>
        <w:rPr>
          <w:rFonts w:hint="eastAsia" w:ascii="宋体" w:hAnsi="宋体" w:cs="宋体"/>
          <w:spacing w:val="4"/>
          <w:kern w:val="0"/>
          <w:szCs w:val="28"/>
        </w:rPr>
        <w:t>）建构筑、工艺装置、作业场所等的防雷防静电。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.5.3  </w:t>
      </w:r>
      <w:r>
        <w:rPr>
          <w:rFonts w:hint="eastAsia" w:ascii="宋体" w:hAnsi="宋体" w:cs="宋体"/>
          <w:spacing w:val="4"/>
          <w:kern w:val="0"/>
          <w:szCs w:val="28"/>
        </w:rPr>
        <w:t>电气设施、供配电线路及临时用电的现场安全状况。</w:t>
      </w:r>
    </w:p>
    <w:p>
      <w:pPr>
        <w:autoSpaceDE w:val="0"/>
        <w:autoSpaceDN w:val="0"/>
        <w:rPr>
          <w:rFonts w:ascii="宋体" w:hAnsi="宋体" w:cs="宋体"/>
          <w:b/>
          <w:spacing w:val="4"/>
          <w:kern w:val="0"/>
          <w:szCs w:val="28"/>
        </w:rPr>
      </w:pPr>
      <w:r>
        <w:rPr>
          <w:rFonts w:hint="eastAsia" w:ascii="宋体" w:hAnsi="宋体" w:cs="宋体"/>
          <w:b/>
          <w:spacing w:val="4"/>
          <w:kern w:val="0"/>
          <w:szCs w:val="28"/>
        </w:rPr>
        <w:t>8</w:t>
      </w:r>
      <w:r>
        <w:rPr>
          <w:rFonts w:ascii="宋体" w:hAnsi="宋体" w:cs="宋体"/>
          <w:b/>
          <w:spacing w:val="4"/>
          <w:kern w:val="0"/>
          <w:szCs w:val="28"/>
        </w:rPr>
        <w:t xml:space="preserve">.6 </w:t>
      </w:r>
      <w:r>
        <w:rPr>
          <w:rFonts w:hint="eastAsia" w:ascii="宋体" w:hAnsi="宋体" w:cs="宋体"/>
          <w:b/>
          <w:spacing w:val="4"/>
          <w:kern w:val="0"/>
          <w:szCs w:val="28"/>
        </w:rPr>
        <w:t>仪表系统</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.6.1  </w:t>
      </w:r>
      <w:r>
        <w:rPr>
          <w:rFonts w:hint="eastAsia" w:ascii="宋体" w:hAnsi="宋体" w:cs="宋体"/>
          <w:spacing w:val="4"/>
          <w:kern w:val="0"/>
          <w:szCs w:val="28"/>
        </w:rPr>
        <w:t>仪表的综合管理，主要包括：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）仪表相关管理制度建立和执行情况；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）仪表系统的档案资料、台账管理；</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）仪表调试、维护、检测、变更等记录；</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）安全仪表系统的投用、摘除及变更管理等。</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.6.2 </w:t>
      </w:r>
      <w:r>
        <w:rPr>
          <w:rFonts w:hint="eastAsia" w:ascii="宋体" w:hAnsi="宋体" w:cs="宋体"/>
          <w:spacing w:val="4"/>
          <w:kern w:val="0"/>
          <w:szCs w:val="28"/>
        </w:rPr>
        <w:t>系统配置，主要包括：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）基本过程控制系统和安全仪表系统的设置满足安全稳定生产需要；</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）现场检测仪表和执行元件的选型、安装情况；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）仪表供电、供气、接地与防护情况；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）可燃气体和有毒气体检测报警器的选型、布点及安装；</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）安装在爆炸危险环境仪表满足要求等。</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.6.3  </w:t>
      </w:r>
      <w:r>
        <w:rPr>
          <w:rFonts w:hint="eastAsia" w:ascii="宋体" w:hAnsi="宋体" w:cs="宋体"/>
          <w:spacing w:val="4"/>
          <w:kern w:val="0"/>
          <w:szCs w:val="28"/>
        </w:rPr>
        <w:t>现场各类仪表完好有效，检验维护及现场标识情况，主要包括：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）仪表及控制系统的运行状况稳定可靠，满足危险化学品生产需求；</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）按规定对仪表进行定期检定或校准；</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）现场仪表位号标识是否清晰等。</w:t>
      </w:r>
    </w:p>
    <w:p>
      <w:pPr>
        <w:autoSpaceDE w:val="0"/>
        <w:autoSpaceDN w:val="0"/>
        <w:rPr>
          <w:rFonts w:ascii="宋体" w:hAnsi="宋体" w:cs="宋体"/>
          <w:b/>
          <w:spacing w:val="4"/>
          <w:kern w:val="0"/>
          <w:szCs w:val="28"/>
        </w:rPr>
      </w:pPr>
      <w:r>
        <w:rPr>
          <w:rFonts w:hint="eastAsia" w:ascii="宋体" w:hAnsi="宋体" w:cs="宋体"/>
          <w:b/>
          <w:spacing w:val="4"/>
          <w:kern w:val="0"/>
          <w:szCs w:val="28"/>
        </w:rPr>
        <w:t>8</w:t>
      </w:r>
      <w:r>
        <w:rPr>
          <w:rFonts w:ascii="宋体" w:hAnsi="宋体" w:cs="宋体"/>
          <w:b/>
          <w:spacing w:val="4"/>
          <w:kern w:val="0"/>
          <w:szCs w:val="28"/>
        </w:rPr>
        <w:t xml:space="preserve">.7 </w:t>
      </w:r>
      <w:r>
        <w:rPr>
          <w:rFonts w:hint="eastAsia" w:ascii="宋体" w:hAnsi="宋体" w:cs="宋体"/>
          <w:b/>
          <w:spacing w:val="4"/>
          <w:kern w:val="0"/>
          <w:szCs w:val="28"/>
        </w:rPr>
        <w:t>危险化学品管理</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.7.1 </w:t>
      </w:r>
      <w:r>
        <w:rPr>
          <w:rFonts w:hint="eastAsia" w:ascii="宋体" w:hAnsi="宋体" w:cs="宋体"/>
          <w:spacing w:val="4"/>
          <w:kern w:val="0"/>
          <w:szCs w:val="28"/>
        </w:rPr>
        <w:t>危险化学品分类、登记与档案的管理</w:t>
      </w:r>
      <w:r>
        <w:rPr>
          <w:rFonts w:ascii="宋体" w:hAnsi="宋体" w:cs="宋体"/>
          <w:spacing w:val="4"/>
          <w:kern w:val="0"/>
          <w:szCs w:val="28"/>
        </w:rPr>
        <w:t>,</w:t>
      </w:r>
      <w:r>
        <w:rPr>
          <w:rFonts w:hint="eastAsia" w:ascii="宋体" w:hAnsi="宋体" w:cs="宋体"/>
          <w:spacing w:val="4"/>
          <w:kern w:val="0"/>
          <w:szCs w:val="28"/>
        </w:rPr>
        <w:t>主要包括</w:t>
      </w:r>
      <w:r>
        <w:rPr>
          <w:rFonts w:ascii="宋体" w:hAnsi="宋体" w:cs="宋体"/>
          <w:spacing w:val="4"/>
          <w:kern w:val="0"/>
          <w:szCs w:val="28"/>
        </w:rPr>
        <w:t>:</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）按照标准对产品、所有中间产品进行危险性鉴别与分类，分类结果汇入危险化学品档案；</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）按相关要求建立健全危险化学品档案；</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）按照国家有关规定对危险化学品进行登记。</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.7.2 </w:t>
      </w:r>
      <w:r>
        <w:rPr>
          <w:rFonts w:hint="eastAsia" w:ascii="宋体" w:hAnsi="宋体" w:cs="宋体"/>
          <w:spacing w:val="4"/>
          <w:kern w:val="0"/>
          <w:szCs w:val="28"/>
        </w:rPr>
        <w:t>化学品安全信息的编制、宣传、培训和应急管理，主要包括：</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）危险化学品安全技术说明书和安全标签的管理；</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）危险化学品“一书一签”制度的执行情况；</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w:t>
      </w:r>
      <w:r>
        <w:rPr>
          <w:rFonts w:ascii="宋体" w:hAnsi="宋体" w:cs="宋体"/>
          <w:spacing w:val="4"/>
          <w:kern w:val="0"/>
          <w:szCs w:val="28"/>
        </w:rPr>
        <w:t xml:space="preserve">24 </w:t>
      </w:r>
      <w:r>
        <w:rPr>
          <w:rFonts w:hint="eastAsia" w:ascii="宋体" w:hAnsi="宋体" w:cs="宋体"/>
          <w:spacing w:val="4"/>
          <w:kern w:val="0"/>
          <w:szCs w:val="28"/>
        </w:rPr>
        <w:t>小时应急咨询服务或应急代理；</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）危险化学品相关安全信息的宣传与培训。</w:t>
      </w:r>
    </w:p>
    <w:p>
      <w:pPr>
        <w:autoSpaceDE w:val="0"/>
        <w:autoSpaceDN w:val="0"/>
        <w:rPr>
          <w:rFonts w:ascii="宋体" w:hAnsi="宋体" w:cs="宋体"/>
          <w:b/>
          <w:spacing w:val="4"/>
          <w:kern w:val="0"/>
          <w:szCs w:val="28"/>
        </w:rPr>
      </w:pPr>
      <w:r>
        <w:rPr>
          <w:rFonts w:hint="eastAsia" w:ascii="宋体" w:hAnsi="宋体" w:cs="宋体"/>
          <w:b/>
          <w:spacing w:val="4"/>
          <w:kern w:val="0"/>
          <w:szCs w:val="28"/>
        </w:rPr>
        <w:t>8</w:t>
      </w:r>
      <w:r>
        <w:rPr>
          <w:rFonts w:ascii="宋体" w:hAnsi="宋体" w:cs="宋体"/>
          <w:b/>
          <w:spacing w:val="4"/>
          <w:kern w:val="0"/>
          <w:szCs w:val="28"/>
        </w:rPr>
        <w:t xml:space="preserve">.8 </w:t>
      </w:r>
      <w:r>
        <w:rPr>
          <w:rFonts w:hint="eastAsia" w:ascii="宋体" w:hAnsi="宋体" w:cs="宋体"/>
          <w:b/>
          <w:spacing w:val="4"/>
          <w:kern w:val="0"/>
          <w:szCs w:val="28"/>
        </w:rPr>
        <w:t>储运系统</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.8.1 </w:t>
      </w:r>
      <w:r>
        <w:rPr>
          <w:rFonts w:hint="eastAsia" w:ascii="宋体" w:hAnsi="宋体" w:cs="宋体"/>
          <w:spacing w:val="4"/>
          <w:kern w:val="0"/>
          <w:szCs w:val="28"/>
        </w:rPr>
        <w:t>储运系统的安全管理情况，主要包括：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）储罐区、可燃液体、液化烃的装卸设施、危险化学品仓库储存管理制度以及操作、使用和维护规程制定及执行情况；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）储罐的日常和检维修管理。</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.8.2  </w:t>
      </w:r>
      <w:r>
        <w:rPr>
          <w:rFonts w:hint="eastAsia" w:ascii="宋体" w:hAnsi="宋体" w:cs="宋体"/>
          <w:spacing w:val="4"/>
          <w:kern w:val="0"/>
          <w:szCs w:val="28"/>
        </w:rPr>
        <w:t>储运系统的安全设计情况，主要包括：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）易燃、可燃液体及可燃气体的罐区，如罐组总容、罐组布置；防火堤及隔堤；消防道路、排水系统等；</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）重大危险源罐区现场的安全监控装备是否符合《危险化学品重大危险源监督管理暂行规定》（国家安全监管总局令第</w:t>
      </w:r>
      <w:r>
        <w:rPr>
          <w:rFonts w:ascii="宋体" w:hAnsi="宋体" w:cs="宋体"/>
          <w:spacing w:val="4"/>
          <w:kern w:val="0"/>
          <w:szCs w:val="28"/>
        </w:rPr>
        <w:t>40</w:t>
      </w:r>
      <w:r>
        <w:rPr>
          <w:rFonts w:hint="eastAsia" w:ascii="宋体" w:hAnsi="宋体" w:cs="宋体"/>
          <w:spacing w:val="4"/>
          <w:kern w:val="0"/>
          <w:szCs w:val="28"/>
        </w:rPr>
        <w:t>号）的要求；</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）天然气凝液、液化石油气球罐或其他危险化学品压力或半冷冻低温储罐的安全控制及应急措施；</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）可燃液体、液化烃和危险化学品的装卸设施；</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）危险化学品仓库的安全储存。</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.8.3 </w:t>
      </w:r>
      <w:r>
        <w:rPr>
          <w:rFonts w:hint="eastAsia" w:ascii="宋体" w:hAnsi="宋体" w:cs="宋体"/>
          <w:spacing w:val="4"/>
          <w:kern w:val="0"/>
          <w:szCs w:val="28"/>
        </w:rPr>
        <w:t>储运系统罐区、储罐本体及其安全附件、铁路装卸区、汽车装卸区等设施的完好性。</w:t>
      </w:r>
    </w:p>
    <w:p>
      <w:pPr>
        <w:autoSpaceDE w:val="0"/>
        <w:autoSpaceDN w:val="0"/>
        <w:rPr>
          <w:rFonts w:ascii="宋体" w:hAnsi="宋体" w:cs="宋体"/>
          <w:b/>
          <w:spacing w:val="4"/>
          <w:kern w:val="0"/>
          <w:szCs w:val="28"/>
        </w:rPr>
      </w:pPr>
      <w:r>
        <w:rPr>
          <w:rFonts w:hint="eastAsia" w:ascii="宋体" w:hAnsi="宋体" w:cs="宋体"/>
          <w:b/>
          <w:spacing w:val="4"/>
          <w:kern w:val="0"/>
          <w:szCs w:val="28"/>
        </w:rPr>
        <w:t>8</w:t>
      </w:r>
      <w:r>
        <w:rPr>
          <w:rFonts w:ascii="宋体" w:hAnsi="宋体" w:cs="宋体"/>
          <w:b/>
          <w:spacing w:val="4"/>
          <w:kern w:val="0"/>
          <w:szCs w:val="28"/>
        </w:rPr>
        <w:t xml:space="preserve">.9 </w:t>
      </w:r>
      <w:r>
        <w:rPr>
          <w:rFonts w:hint="eastAsia" w:ascii="宋体" w:hAnsi="宋体" w:cs="宋体"/>
          <w:b/>
          <w:spacing w:val="4"/>
          <w:kern w:val="0"/>
          <w:szCs w:val="28"/>
        </w:rPr>
        <w:t>消防系统</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.9.1 </w:t>
      </w:r>
      <w:r>
        <w:rPr>
          <w:rFonts w:hint="eastAsia" w:ascii="宋体" w:hAnsi="宋体" w:cs="宋体"/>
          <w:spacing w:val="4"/>
          <w:kern w:val="0"/>
          <w:szCs w:val="28"/>
        </w:rPr>
        <w:t>建设项目消防设施验收情况；企业消防安全机构、人员设置与制度的制定，消防人员培训、消防应急预案及相关</w:t>
      </w:r>
      <w:r>
        <w:rPr>
          <w:rFonts w:ascii="宋体" w:hAnsi="宋体" w:cs="宋体"/>
          <w:spacing w:val="4"/>
          <w:kern w:val="0"/>
          <w:szCs w:val="28"/>
        </w:rPr>
        <w:t xml:space="preserve"> </w:t>
      </w:r>
      <w:r>
        <w:rPr>
          <w:rFonts w:hint="eastAsia" w:ascii="宋体" w:hAnsi="宋体" w:cs="宋体"/>
          <w:spacing w:val="4"/>
          <w:kern w:val="0"/>
          <w:szCs w:val="28"/>
        </w:rPr>
        <w:t>制度的执行情况；消防系统运行检测情况。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.9.2 </w:t>
      </w:r>
      <w:r>
        <w:rPr>
          <w:rFonts w:hint="eastAsia" w:ascii="宋体" w:hAnsi="宋体" w:cs="宋体"/>
          <w:spacing w:val="4"/>
          <w:kern w:val="0"/>
          <w:szCs w:val="28"/>
        </w:rPr>
        <w:t>消防设施与器材的设置情况，主要包括：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）消防站设置情况，如消防站、消防车、消防人员、移动式消防设备、通讯等；</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）消防水系统与泡沫系统，如消防水源、消防泵、泡沫液储罐、消防给水管道、消防管网的分区阀门、消火栓、泡沫栓，消防水炮、泡沫炮、固定式消防水喷淋等；</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）油罐区、液化烃罐区、危险化学品罐区、装置区等设置的固定式和半固定式灭火系统；</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）甲、乙类装置、罐区、控制室、配电室等重要场所的火灾报警系统；</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）生产区、工艺装置区、建构筑物的灭火器材配置；</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6</w:t>
      </w:r>
      <w:r>
        <w:rPr>
          <w:rFonts w:hint="eastAsia" w:ascii="宋体" w:hAnsi="宋体" w:cs="宋体"/>
          <w:spacing w:val="4"/>
          <w:kern w:val="0"/>
          <w:szCs w:val="28"/>
        </w:rPr>
        <w:t>）其他消防器材。</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.9.3 </w:t>
      </w:r>
      <w:r>
        <w:rPr>
          <w:rFonts w:hint="eastAsia" w:ascii="宋体" w:hAnsi="宋体" w:cs="宋体"/>
          <w:spacing w:val="4"/>
          <w:kern w:val="0"/>
          <w:szCs w:val="28"/>
        </w:rPr>
        <w:t>固定式与移动式消防设施、器材和消防道路的现场状况</w:t>
      </w:r>
    </w:p>
    <w:p>
      <w:pPr>
        <w:autoSpaceDE w:val="0"/>
        <w:autoSpaceDN w:val="0"/>
        <w:rPr>
          <w:rFonts w:ascii="宋体" w:hAnsi="宋体" w:cs="宋体"/>
          <w:b/>
          <w:spacing w:val="4"/>
          <w:kern w:val="0"/>
          <w:szCs w:val="28"/>
        </w:rPr>
      </w:pPr>
      <w:r>
        <w:rPr>
          <w:rFonts w:hint="eastAsia" w:ascii="宋体" w:hAnsi="宋体" w:cs="宋体"/>
          <w:b/>
          <w:spacing w:val="4"/>
          <w:kern w:val="0"/>
          <w:szCs w:val="28"/>
        </w:rPr>
        <w:t>8</w:t>
      </w:r>
      <w:r>
        <w:rPr>
          <w:rFonts w:ascii="宋体" w:hAnsi="宋体" w:cs="宋体"/>
          <w:b/>
          <w:spacing w:val="4"/>
          <w:kern w:val="0"/>
          <w:szCs w:val="28"/>
        </w:rPr>
        <w:t xml:space="preserve">.10 </w:t>
      </w:r>
      <w:r>
        <w:rPr>
          <w:rFonts w:hint="eastAsia" w:ascii="宋体" w:hAnsi="宋体" w:cs="宋体"/>
          <w:b/>
          <w:spacing w:val="4"/>
          <w:kern w:val="0"/>
          <w:szCs w:val="28"/>
        </w:rPr>
        <w:t>公用工程系统</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.10.1 </w:t>
      </w:r>
      <w:r>
        <w:rPr>
          <w:rFonts w:hint="eastAsia" w:ascii="宋体" w:hAnsi="宋体" w:cs="宋体"/>
          <w:spacing w:val="4"/>
          <w:kern w:val="0"/>
          <w:szCs w:val="28"/>
        </w:rPr>
        <w:t>给排水、循环水系统、污水处理系统的设置与能力能否满足各种状态下的需求。</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.10.2 </w:t>
      </w:r>
      <w:r>
        <w:rPr>
          <w:rFonts w:hint="eastAsia" w:ascii="宋体" w:hAnsi="宋体" w:cs="宋体"/>
          <w:spacing w:val="4"/>
          <w:kern w:val="0"/>
          <w:szCs w:val="28"/>
        </w:rPr>
        <w:t>供热站及供热管道设备设施、安全设施是否存在隐患。</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.10.3  </w:t>
      </w:r>
      <w:r>
        <w:rPr>
          <w:rFonts w:hint="eastAsia" w:ascii="宋体" w:hAnsi="宋体" w:cs="宋体"/>
          <w:spacing w:val="4"/>
          <w:kern w:val="0"/>
          <w:szCs w:val="28"/>
        </w:rPr>
        <w:t>空分装置、空压站位置的合理性及设备设施的安全隐患。各部分具体排查内容详见附件。</w:t>
      </w:r>
    </w:p>
    <w:p>
      <w:pPr>
        <w:pStyle w:val="2"/>
        <w:spacing w:before="100" w:after="100"/>
        <w:rPr>
          <w:rFonts w:hint="default" w:ascii="黑体" w:hAnsi="黑体" w:eastAsia="黑体" w:cs="宋体"/>
          <w:spacing w:val="4"/>
          <w:kern w:val="0"/>
          <w:sz w:val="21"/>
          <w:szCs w:val="28"/>
        </w:rPr>
      </w:pPr>
      <w:bookmarkStart w:id="109" w:name="_Toc11921477"/>
      <w:bookmarkStart w:id="110" w:name="_Toc452462771"/>
      <w:r>
        <w:rPr>
          <w:rFonts w:ascii="黑体" w:hAnsi="黑体" w:eastAsia="黑体" w:cs="宋体"/>
          <w:spacing w:val="4"/>
          <w:kern w:val="0"/>
          <w:sz w:val="21"/>
          <w:szCs w:val="28"/>
        </w:rPr>
        <w:t>9 事故隐患的评审和评估</w:t>
      </w:r>
      <w:bookmarkEnd w:id="109"/>
      <w:bookmarkEnd w:id="110"/>
    </w:p>
    <w:p>
      <w:pPr>
        <w:autoSpaceDE w:val="0"/>
        <w:autoSpaceDN w:val="0"/>
        <w:rPr>
          <w:rFonts w:ascii="宋体" w:hAnsi="宋体" w:cs="宋体"/>
          <w:spacing w:val="4"/>
          <w:kern w:val="0"/>
          <w:szCs w:val="28"/>
        </w:rPr>
      </w:pPr>
      <w:r>
        <w:rPr>
          <w:rFonts w:hint="eastAsia" w:ascii="宋体" w:hAnsi="宋体" w:cs="宋体"/>
          <w:b/>
          <w:spacing w:val="4"/>
          <w:kern w:val="0"/>
          <w:szCs w:val="28"/>
        </w:rPr>
        <w:t>9</w:t>
      </w:r>
      <w:r>
        <w:rPr>
          <w:rFonts w:ascii="宋体" w:hAnsi="宋体" w:cs="宋体"/>
          <w:b/>
          <w:spacing w:val="4"/>
          <w:kern w:val="0"/>
          <w:szCs w:val="28"/>
        </w:rPr>
        <w:t>.</w:t>
      </w:r>
      <w:r>
        <w:rPr>
          <w:rFonts w:hint="eastAsia" w:ascii="宋体" w:hAnsi="宋体" w:cs="宋体"/>
          <w:b/>
          <w:spacing w:val="4"/>
          <w:kern w:val="0"/>
          <w:szCs w:val="28"/>
        </w:rPr>
        <w:t xml:space="preserve">1 </w:t>
      </w:r>
      <w:r>
        <w:rPr>
          <w:rFonts w:ascii="宋体" w:hAnsi="宋体" w:cs="宋体"/>
          <w:spacing w:val="4"/>
          <w:kern w:val="0"/>
          <w:szCs w:val="28"/>
        </w:rPr>
        <w:t>事故隐患排查工作中发现的</w:t>
      </w:r>
      <w:r>
        <w:rPr>
          <w:rFonts w:hint="eastAsia" w:ascii="宋体" w:hAnsi="宋体" w:cs="宋体"/>
          <w:spacing w:val="4"/>
          <w:kern w:val="0"/>
          <w:szCs w:val="28"/>
        </w:rPr>
        <w:t>隐患</w:t>
      </w:r>
      <w:r>
        <w:rPr>
          <w:rFonts w:ascii="宋体" w:hAnsi="宋体" w:cs="宋体"/>
          <w:spacing w:val="4"/>
          <w:kern w:val="0"/>
          <w:szCs w:val="28"/>
        </w:rPr>
        <w:t>，要及时组织评审</w:t>
      </w:r>
      <w:r>
        <w:rPr>
          <w:rFonts w:hint="eastAsia" w:ascii="宋体" w:hAnsi="宋体" w:cs="宋体"/>
          <w:spacing w:val="4"/>
          <w:kern w:val="0"/>
          <w:szCs w:val="28"/>
        </w:rPr>
        <w:t>（参照第6条</w:t>
      </w:r>
      <w:r>
        <w:rPr>
          <w:rFonts w:ascii="宋体" w:hAnsi="宋体" w:cs="宋体"/>
          <w:spacing w:val="4"/>
          <w:kern w:val="0"/>
          <w:szCs w:val="28"/>
        </w:rPr>
        <w:t>事故隐患</w:t>
      </w:r>
      <w:r>
        <w:rPr>
          <w:rFonts w:hint="eastAsia" w:ascii="宋体" w:hAnsi="宋体" w:cs="宋体"/>
          <w:spacing w:val="4"/>
          <w:kern w:val="0"/>
          <w:szCs w:val="28"/>
        </w:rPr>
        <w:t>分类和</w:t>
      </w:r>
      <w:r>
        <w:rPr>
          <w:rFonts w:ascii="宋体" w:hAnsi="宋体" w:cs="宋体"/>
          <w:spacing w:val="4"/>
          <w:kern w:val="0"/>
          <w:szCs w:val="28"/>
        </w:rPr>
        <w:t>等级认定</w:t>
      </w:r>
      <w:r>
        <w:rPr>
          <w:rFonts w:hint="eastAsia" w:ascii="宋体" w:hAnsi="宋体" w:cs="宋体"/>
          <w:spacing w:val="4"/>
          <w:kern w:val="0"/>
          <w:szCs w:val="28"/>
        </w:rPr>
        <w:t>）</w:t>
      </w:r>
      <w:r>
        <w:rPr>
          <w:rFonts w:ascii="宋体" w:hAnsi="宋体" w:cs="宋体"/>
          <w:spacing w:val="4"/>
          <w:kern w:val="0"/>
          <w:szCs w:val="28"/>
        </w:rPr>
        <w:t>，确定隐患级别</w:t>
      </w:r>
      <w:r>
        <w:rPr>
          <w:rFonts w:hint="eastAsia" w:ascii="宋体" w:hAnsi="宋体" w:cs="宋体"/>
          <w:spacing w:val="4"/>
          <w:kern w:val="0"/>
          <w:szCs w:val="28"/>
        </w:rPr>
        <w:t>和</w:t>
      </w:r>
      <w:r>
        <w:rPr>
          <w:rFonts w:ascii="宋体" w:hAnsi="宋体" w:cs="宋体"/>
          <w:spacing w:val="4"/>
          <w:kern w:val="0"/>
          <w:szCs w:val="28"/>
        </w:rPr>
        <w:t>隐患类别，对于各级隐患进行登记并分别按相应程序处理。</w:t>
      </w:r>
    </w:p>
    <w:p>
      <w:pPr>
        <w:autoSpaceDE w:val="0"/>
        <w:autoSpaceDN w:val="0"/>
        <w:rPr>
          <w:rFonts w:ascii="宋体" w:hAnsi="宋体" w:cs="宋体"/>
          <w:spacing w:val="4"/>
          <w:kern w:val="0"/>
          <w:szCs w:val="28"/>
        </w:rPr>
      </w:pPr>
      <w:r>
        <w:rPr>
          <w:rFonts w:hint="eastAsia" w:ascii="宋体" w:hAnsi="宋体" w:cs="宋体"/>
          <w:b/>
          <w:spacing w:val="4"/>
          <w:kern w:val="0"/>
          <w:szCs w:val="28"/>
        </w:rPr>
        <w:t>9</w:t>
      </w:r>
      <w:r>
        <w:rPr>
          <w:rFonts w:ascii="宋体" w:hAnsi="宋体" w:cs="宋体"/>
          <w:b/>
          <w:spacing w:val="4"/>
          <w:kern w:val="0"/>
          <w:szCs w:val="28"/>
        </w:rPr>
        <w:t>.2</w:t>
      </w:r>
      <w:r>
        <w:rPr>
          <w:rFonts w:hint="eastAsia" w:ascii="宋体" w:hAnsi="宋体" w:cs="宋体"/>
          <w:spacing w:val="4"/>
          <w:kern w:val="0"/>
          <w:szCs w:val="28"/>
        </w:rPr>
        <w:t xml:space="preserve"> 企业各级单位每年至少进行一次专项</w:t>
      </w:r>
      <w:r>
        <w:rPr>
          <w:rFonts w:ascii="宋体" w:hAnsi="宋体" w:cs="宋体"/>
          <w:spacing w:val="4"/>
          <w:kern w:val="0"/>
          <w:szCs w:val="28"/>
        </w:rPr>
        <w:t>重大事故隐患排查</w:t>
      </w:r>
      <w:r>
        <w:rPr>
          <w:rFonts w:hint="eastAsia" w:ascii="宋体" w:hAnsi="宋体" w:cs="宋体"/>
          <w:spacing w:val="4"/>
          <w:kern w:val="0"/>
          <w:szCs w:val="28"/>
        </w:rPr>
        <w:t>，并组织评审评价，</w:t>
      </w:r>
      <w:r>
        <w:rPr>
          <w:rFonts w:ascii="宋体" w:hAnsi="宋体" w:cs="宋体"/>
          <w:spacing w:val="4"/>
          <w:kern w:val="0"/>
          <w:szCs w:val="28"/>
        </w:rPr>
        <w:t>结束后要填写《隐患排查评审/评价记录》（</w:t>
      </w:r>
      <w:r>
        <w:rPr>
          <w:rFonts w:hint="eastAsia" w:ascii="宋体" w:hAnsi="宋体" w:cs="宋体"/>
          <w:spacing w:val="4"/>
          <w:kern w:val="0"/>
          <w:szCs w:val="28"/>
        </w:rPr>
        <w:t>附录E</w:t>
      </w:r>
      <w:r>
        <w:rPr>
          <w:rFonts w:ascii="宋体" w:hAnsi="宋体" w:cs="宋体"/>
          <w:spacing w:val="4"/>
          <w:kern w:val="0"/>
          <w:szCs w:val="28"/>
        </w:rPr>
        <w:t>），并书面</w:t>
      </w:r>
      <w:r>
        <w:rPr>
          <w:rFonts w:hint="eastAsia" w:ascii="宋体" w:hAnsi="宋体" w:cs="宋体"/>
          <w:spacing w:val="4"/>
          <w:kern w:val="0"/>
          <w:szCs w:val="28"/>
        </w:rPr>
        <w:t>报企业安全管理部门备案</w:t>
      </w:r>
      <w:r>
        <w:rPr>
          <w:rFonts w:ascii="宋体" w:hAnsi="宋体" w:cs="宋体"/>
          <w:spacing w:val="4"/>
          <w:kern w:val="0"/>
          <w:szCs w:val="28"/>
        </w:rPr>
        <w:t>。</w:t>
      </w:r>
    </w:p>
    <w:p>
      <w:pPr>
        <w:autoSpaceDE w:val="0"/>
        <w:autoSpaceDN w:val="0"/>
        <w:rPr>
          <w:rFonts w:ascii="宋体" w:hAnsi="宋体" w:cs="宋体"/>
          <w:spacing w:val="4"/>
          <w:kern w:val="0"/>
          <w:szCs w:val="28"/>
        </w:rPr>
      </w:pPr>
      <w:r>
        <w:rPr>
          <w:rFonts w:hint="eastAsia" w:ascii="宋体" w:hAnsi="宋体" w:cs="宋体"/>
          <w:b/>
          <w:spacing w:val="4"/>
          <w:kern w:val="0"/>
          <w:szCs w:val="28"/>
        </w:rPr>
        <w:t>9</w:t>
      </w:r>
      <w:r>
        <w:rPr>
          <w:rFonts w:ascii="宋体" w:hAnsi="宋体" w:cs="宋体"/>
          <w:b/>
          <w:spacing w:val="4"/>
          <w:kern w:val="0"/>
          <w:szCs w:val="28"/>
        </w:rPr>
        <w:t>.3</w:t>
      </w:r>
      <w:r>
        <w:rPr>
          <w:rFonts w:hint="eastAsia" w:ascii="宋体" w:hAnsi="宋体" w:cs="宋体"/>
          <w:b/>
          <w:spacing w:val="4"/>
          <w:kern w:val="0"/>
          <w:szCs w:val="28"/>
        </w:rPr>
        <w:t xml:space="preserve"> </w:t>
      </w:r>
      <w:r>
        <w:rPr>
          <w:rFonts w:ascii="宋体" w:hAnsi="宋体" w:cs="宋体"/>
          <w:spacing w:val="4"/>
          <w:kern w:val="0"/>
          <w:szCs w:val="28"/>
        </w:rPr>
        <w:t>经评估属于重大事故隐患</w:t>
      </w:r>
      <w:r>
        <w:rPr>
          <w:rFonts w:hint="eastAsia" w:ascii="宋体" w:hAnsi="宋体" w:cs="宋体"/>
          <w:spacing w:val="4"/>
          <w:kern w:val="0"/>
          <w:szCs w:val="28"/>
        </w:rPr>
        <w:t>并</w:t>
      </w:r>
      <w:r>
        <w:rPr>
          <w:rFonts w:ascii="宋体" w:hAnsi="宋体" w:cs="宋体"/>
          <w:spacing w:val="4"/>
          <w:kern w:val="0"/>
          <w:szCs w:val="28"/>
        </w:rPr>
        <w:t>难以立即排除的，</w:t>
      </w:r>
      <w:r>
        <w:rPr>
          <w:rFonts w:hint="eastAsia" w:ascii="宋体" w:hAnsi="宋体" w:cs="宋体"/>
          <w:spacing w:val="4"/>
          <w:kern w:val="0"/>
          <w:szCs w:val="28"/>
        </w:rPr>
        <w:t>企业</w:t>
      </w:r>
      <w:r>
        <w:rPr>
          <w:rFonts w:ascii="宋体" w:hAnsi="宋体" w:cs="宋体"/>
          <w:spacing w:val="4"/>
          <w:kern w:val="0"/>
          <w:szCs w:val="28"/>
        </w:rPr>
        <w:t>应当组织技术人员、专家及时进行评估。,</w:t>
      </w:r>
      <w:r>
        <w:rPr>
          <w:rFonts w:hint="eastAsia" w:ascii="宋体" w:hAnsi="宋体" w:cs="宋体"/>
          <w:spacing w:val="4"/>
          <w:kern w:val="0"/>
          <w:szCs w:val="28"/>
        </w:rPr>
        <w:t>企业应当</w:t>
      </w:r>
      <w:r>
        <w:rPr>
          <w:rFonts w:ascii="宋体" w:hAnsi="宋体" w:cs="宋体"/>
          <w:spacing w:val="4"/>
          <w:kern w:val="0"/>
          <w:szCs w:val="28"/>
        </w:rPr>
        <w:t>编制《重大事故隐患</w:t>
      </w:r>
      <w:r>
        <w:rPr>
          <w:rFonts w:hint="eastAsia" w:ascii="宋体" w:hAnsi="宋体" w:cs="宋体"/>
          <w:spacing w:val="4"/>
          <w:kern w:val="0"/>
          <w:szCs w:val="28"/>
        </w:rPr>
        <w:t>评估</w:t>
      </w:r>
      <w:r>
        <w:rPr>
          <w:rFonts w:ascii="宋体" w:hAnsi="宋体" w:cs="宋体"/>
          <w:spacing w:val="4"/>
          <w:kern w:val="0"/>
          <w:szCs w:val="28"/>
        </w:rPr>
        <w:t>报告书》，制定《重大事故隐患治理方案》。</w:t>
      </w:r>
    </w:p>
    <w:p>
      <w:pPr>
        <w:autoSpaceDE w:val="0"/>
        <w:autoSpaceDN w:val="0"/>
        <w:ind w:firstLine="427" w:firstLineChars="196"/>
        <w:rPr>
          <w:rFonts w:ascii="宋体" w:hAnsi="宋体" w:cs="宋体"/>
          <w:spacing w:val="4"/>
          <w:kern w:val="0"/>
          <w:szCs w:val="28"/>
        </w:rPr>
      </w:pPr>
      <w:r>
        <w:rPr>
          <w:rFonts w:ascii="宋体" w:hAnsi="宋体" w:cs="宋体"/>
          <w:spacing w:val="4"/>
          <w:kern w:val="0"/>
          <w:szCs w:val="28"/>
        </w:rPr>
        <w:t>《重大事故隐患</w:t>
      </w:r>
      <w:r>
        <w:rPr>
          <w:rFonts w:hint="eastAsia" w:ascii="宋体" w:hAnsi="宋体" w:cs="宋体"/>
          <w:spacing w:val="4"/>
          <w:kern w:val="0"/>
          <w:szCs w:val="28"/>
        </w:rPr>
        <w:t>评估</w:t>
      </w:r>
      <w:r>
        <w:rPr>
          <w:rFonts w:ascii="宋体" w:hAnsi="宋体" w:cs="宋体"/>
          <w:spacing w:val="4"/>
          <w:kern w:val="0"/>
          <w:szCs w:val="28"/>
        </w:rPr>
        <w:t>报告书》内容应当包括：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（1）</w:t>
      </w:r>
      <w:r>
        <w:rPr>
          <w:rFonts w:ascii="宋体" w:hAnsi="宋体" w:cs="宋体"/>
          <w:spacing w:val="4"/>
          <w:kern w:val="0"/>
          <w:szCs w:val="28"/>
        </w:rPr>
        <w:t>隐患的现状及其产生原因；</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（2）</w:t>
      </w:r>
      <w:r>
        <w:rPr>
          <w:rFonts w:ascii="宋体" w:hAnsi="宋体" w:cs="宋体"/>
          <w:spacing w:val="4"/>
          <w:kern w:val="0"/>
          <w:szCs w:val="28"/>
        </w:rPr>
        <w:t>隐患的类别、等级；</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（3）</w:t>
      </w:r>
      <w:r>
        <w:rPr>
          <w:rFonts w:ascii="宋体" w:hAnsi="宋体" w:cs="宋体"/>
          <w:spacing w:val="4"/>
          <w:kern w:val="0"/>
          <w:szCs w:val="28"/>
        </w:rPr>
        <w:t>隐患的危害程度和整改难易程度分析；</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（4）</w:t>
      </w:r>
      <w:r>
        <w:rPr>
          <w:rFonts w:ascii="宋体" w:hAnsi="宋体" w:cs="宋体"/>
          <w:spacing w:val="4"/>
          <w:kern w:val="0"/>
          <w:szCs w:val="28"/>
        </w:rPr>
        <w:t>隐患的治理方案。</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《重大事故隐患治理方案》应当包括以下内容：</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（1）治理的目标和任务；</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（2）采取的方法和措施；</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（3）经费和物资的落实；</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（4）负责治理的机构和人员；</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（5）治理的时限和要求；</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（6）安全措施和应急预案。</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9.4 </w:t>
      </w:r>
      <w:r>
        <w:rPr>
          <w:rFonts w:hint="eastAsia" w:ascii="宋体" w:hAnsi="宋体" w:cs="宋体"/>
          <w:spacing w:val="4"/>
          <w:kern w:val="0"/>
          <w:szCs w:val="28"/>
        </w:rPr>
        <w:t>事故隐患治理方案、整改完成情况、验收报告等应及时归入事故隐患档案。隐患档案应包括以下信息：隐患名称、隐患内容、隐患编号、隐患所在单位、专业分类、归属职能部门、评估等级、整改期限、治理方案、整改完成情况、会议纪要、正式文件等，也应归入事故隐患档案。</w:t>
      </w:r>
    </w:p>
    <w:p>
      <w:pPr>
        <w:pStyle w:val="2"/>
        <w:spacing w:before="100" w:after="100"/>
        <w:rPr>
          <w:rFonts w:hint="default" w:ascii="黑体" w:hAnsi="黑体" w:eastAsia="黑体" w:cs="宋体"/>
          <w:spacing w:val="4"/>
          <w:kern w:val="0"/>
          <w:sz w:val="21"/>
          <w:szCs w:val="28"/>
        </w:rPr>
      </w:pPr>
      <w:bookmarkStart w:id="111" w:name="_Toc452462772"/>
      <w:bookmarkStart w:id="112" w:name="_Toc11921478"/>
      <w:r>
        <w:rPr>
          <w:rFonts w:ascii="黑体" w:hAnsi="黑体" w:eastAsia="黑体" w:cs="宋体"/>
          <w:spacing w:val="4"/>
          <w:kern w:val="0"/>
          <w:sz w:val="21"/>
          <w:szCs w:val="28"/>
        </w:rPr>
        <w:t>10 事故隐患的报告和统计分析</w:t>
      </w:r>
      <w:bookmarkEnd w:id="111"/>
      <w:bookmarkEnd w:id="112"/>
    </w:p>
    <w:p>
      <w:pPr>
        <w:autoSpaceDE w:val="0"/>
        <w:autoSpaceDN w:val="0"/>
        <w:rPr>
          <w:rFonts w:ascii="宋体" w:hAnsi="宋体" w:cs="宋体"/>
          <w:spacing w:val="4"/>
          <w:kern w:val="0"/>
          <w:szCs w:val="28"/>
        </w:rPr>
      </w:pPr>
      <w:r>
        <w:rPr>
          <w:rFonts w:hint="eastAsia" w:ascii="宋体" w:hAnsi="宋体" w:cs="宋体"/>
          <w:b/>
          <w:spacing w:val="4"/>
          <w:kern w:val="0"/>
          <w:szCs w:val="28"/>
        </w:rPr>
        <w:t>10</w:t>
      </w:r>
      <w:r>
        <w:rPr>
          <w:rFonts w:ascii="宋体" w:hAnsi="宋体" w:cs="宋体"/>
          <w:b/>
          <w:spacing w:val="4"/>
          <w:kern w:val="0"/>
          <w:szCs w:val="28"/>
        </w:rPr>
        <w:t>.1</w:t>
      </w:r>
      <w:r>
        <w:rPr>
          <w:rFonts w:ascii="宋体" w:hAnsi="宋体" w:cs="宋体"/>
          <w:spacing w:val="4"/>
          <w:kern w:val="0"/>
          <w:szCs w:val="28"/>
        </w:rPr>
        <w:t xml:space="preserve"> </w:t>
      </w:r>
      <w:r>
        <w:rPr>
          <w:rFonts w:hint="eastAsia" w:ascii="宋体" w:hAnsi="宋体" w:cs="宋体"/>
          <w:spacing w:val="4"/>
          <w:kern w:val="0"/>
          <w:szCs w:val="28"/>
        </w:rPr>
        <w:t>企业各级</w:t>
      </w:r>
      <w:r>
        <w:rPr>
          <w:rFonts w:ascii="宋体" w:hAnsi="宋体" w:cs="宋体"/>
          <w:spacing w:val="4"/>
          <w:kern w:val="0"/>
          <w:szCs w:val="28"/>
        </w:rPr>
        <w:t>单位和个人发现事故隐患，均有权向各级安全管理部门和相关部门报告。各级安全管理部门接到事故隐患报告后，应当按照职责分工立即组织核实并予以查处；发现所报告事故隐患应当由其他有关部门处理的，应当立即移送有关部门并记录备查。</w:t>
      </w:r>
    </w:p>
    <w:p>
      <w:pPr>
        <w:autoSpaceDE w:val="0"/>
        <w:autoSpaceDN w:val="0"/>
        <w:rPr>
          <w:rFonts w:ascii="宋体" w:hAnsi="宋体" w:cs="宋体"/>
          <w:spacing w:val="4"/>
          <w:kern w:val="0"/>
          <w:szCs w:val="28"/>
        </w:rPr>
      </w:pPr>
      <w:r>
        <w:rPr>
          <w:rFonts w:hint="eastAsia" w:ascii="宋体" w:hAnsi="宋体" w:cs="宋体"/>
          <w:b/>
          <w:spacing w:val="4"/>
          <w:kern w:val="0"/>
          <w:szCs w:val="28"/>
        </w:rPr>
        <w:t>10</w:t>
      </w:r>
      <w:r>
        <w:rPr>
          <w:rFonts w:ascii="宋体" w:hAnsi="宋体" w:cs="宋体"/>
          <w:b/>
          <w:spacing w:val="4"/>
          <w:kern w:val="0"/>
          <w:szCs w:val="28"/>
        </w:rPr>
        <w:t>.2</w:t>
      </w:r>
      <w:r>
        <w:rPr>
          <w:rFonts w:ascii="宋体" w:hAnsi="宋体" w:cs="宋体"/>
          <w:spacing w:val="4"/>
          <w:kern w:val="0"/>
          <w:szCs w:val="28"/>
        </w:rPr>
        <w:t xml:space="preserve"> </w:t>
      </w:r>
      <w:r>
        <w:rPr>
          <w:rFonts w:hint="eastAsia" w:ascii="宋体" w:hAnsi="宋体" w:cs="宋体"/>
          <w:spacing w:val="4"/>
          <w:kern w:val="0"/>
          <w:szCs w:val="28"/>
        </w:rPr>
        <w:t>企业安全管理部门或有相应职能的部门</w:t>
      </w:r>
      <w:r>
        <w:rPr>
          <w:rFonts w:ascii="宋体" w:hAnsi="宋体" w:cs="宋体"/>
          <w:spacing w:val="4"/>
          <w:kern w:val="0"/>
          <w:szCs w:val="28"/>
        </w:rPr>
        <w:t>，负责受理各类安全问题的举报，接到举报后立即核实并予以查处，或移交其他相关部门处理，并做好记录备查</w:t>
      </w:r>
      <w:r>
        <w:rPr>
          <w:rFonts w:hint="eastAsia" w:ascii="宋体" w:hAnsi="宋体" w:cs="宋体"/>
          <w:spacing w:val="4"/>
          <w:kern w:val="0"/>
          <w:szCs w:val="28"/>
        </w:rPr>
        <w:t>。</w:t>
      </w:r>
    </w:p>
    <w:p>
      <w:pPr>
        <w:autoSpaceDE w:val="0"/>
        <w:autoSpaceDN w:val="0"/>
        <w:rPr>
          <w:rFonts w:ascii="宋体" w:hAnsi="宋体" w:cs="宋体"/>
          <w:spacing w:val="4"/>
          <w:kern w:val="0"/>
          <w:szCs w:val="28"/>
        </w:rPr>
      </w:pPr>
      <w:r>
        <w:rPr>
          <w:rFonts w:hint="eastAsia" w:ascii="宋体" w:hAnsi="宋体" w:cs="宋体"/>
          <w:b/>
          <w:spacing w:val="4"/>
          <w:kern w:val="0"/>
          <w:szCs w:val="28"/>
        </w:rPr>
        <w:t>10</w:t>
      </w:r>
      <w:r>
        <w:rPr>
          <w:rFonts w:ascii="宋体" w:hAnsi="宋体" w:cs="宋体"/>
          <w:b/>
          <w:spacing w:val="4"/>
          <w:kern w:val="0"/>
          <w:szCs w:val="28"/>
        </w:rPr>
        <w:t>.3</w:t>
      </w:r>
      <w:r>
        <w:rPr>
          <w:rFonts w:ascii="宋体" w:hAnsi="宋体" w:cs="宋体"/>
          <w:spacing w:val="4"/>
          <w:kern w:val="0"/>
          <w:szCs w:val="28"/>
        </w:rPr>
        <w:t xml:space="preserve"> 对</w:t>
      </w:r>
      <w:r>
        <w:rPr>
          <w:rFonts w:hint="eastAsia" w:ascii="宋体" w:hAnsi="宋体" w:cs="宋体"/>
          <w:spacing w:val="4"/>
          <w:kern w:val="0"/>
          <w:szCs w:val="28"/>
        </w:rPr>
        <w:t>从业人员、</w:t>
      </w:r>
      <w:r>
        <w:rPr>
          <w:rFonts w:ascii="宋体" w:hAnsi="宋体" w:cs="宋体"/>
          <w:spacing w:val="4"/>
          <w:kern w:val="0"/>
          <w:szCs w:val="28"/>
        </w:rPr>
        <w:t>群众举报的各类生产安全事故隐患进行核查、处理的结果，举报人要求答复的，</w:t>
      </w:r>
      <w:r>
        <w:rPr>
          <w:rFonts w:hint="eastAsia" w:ascii="宋体" w:hAnsi="宋体" w:cs="宋体"/>
          <w:spacing w:val="4"/>
          <w:kern w:val="0"/>
          <w:szCs w:val="28"/>
        </w:rPr>
        <w:t>有关部门</w:t>
      </w:r>
      <w:r>
        <w:rPr>
          <w:rFonts w:ascii="宋体" w:hAnsi="宋体" w:cs="宋体"/>
          <w:spacing w:val="4"/>
          <w:kern w:val="0"/>
          <w:szCs w:val="28"/>
        </w:rPr>
        <w:t>应在10日内给予答复。</w:t>
      </w:r>
    </w:p>
    <w:p>
      <w:pPr>
        <w:autoSpaceDE w:val="0"/>
        <w:autoSpaceDN w:val="0"/>
        <w:rPr>
          <w:rFonts w:ascii="宋体" w:hAnsi="宋体" w:cs="宋体"/>
          <w:spacing w:val="4"/>
          <w:kern w:val="0"/>
          <w:szCs w:val="28"/>
        </w:rPr>
      </w:pPr>
      <w:r>
        <w:rPr>
          <w:rFonts w:hint="eastAsia" w:ascii="宋体" w:hAnsi="宋体" w:cs="宋体"/>
          <w:b/>
          <w:spacing w:val="4"/>
          <w:kern w:val="0"/>
          <w:szCs w:val="28"/>
        </w:rPr>
        <w:t>10</w:t>
      </w:r>
      <w:r>
        <w:rPr>
          <w:rFonts w:ascii="宋体" w:hAnsi="宋体" w:cs="宋体"/>
          <w:b/>
          <w:spacing w:val="4"/>
          <w:kern w:val="0"/>
          <w:szCs w:val="28"/>
        </w:rPr>
        <w:t>.4</w:t>
      </w:r>
      <w:r>
        <w:rPr>
          <w:rFonts w:hint="eastAsia" w:ascii="宋体" w:hAnsi="宋体" w:cs="宋体"/>
          <w:spacing w:val="4"/>
          <w:kern w:val="0"/>
          <w:szCs w:val="28"/>
        </w:rPr>
        <w:t>企业各基层单位应当每月对本装置内事故隐患排查治理情况进行评审、分级和统计分析，并于每月5日前逐级报企业安全管理部门（工段报车间，车间、科室报分公司，再报企业主管部门）</w:t>
      </w:r>
      <w:r>
        <w:rPr>
          <w:rFonts w:ascii="宋体" w:hAnsi="宋体" w:cs="宋体"/>
          <w:spacing w:val="4"/>
          <w:kern w:val="0"/>
          <w:szCs w:val="28"/>
        </w:rPr>
        <w:t>报送书面统计分析情况</w:t>
      </w:r>
      <w:r>
        <w:rPr>
          <w:rFonts w:hint="eastAsia" w:ascii="宋体" w:hAnsi="宋体" w:cs="宋体"/>
          <w:spacing w:val="4"/>
          <w:kern w:val="0"/>
          <w:szCs w:val="28"/>
        </w:rPr>
        <w:t>、《事故隐患等级评审记录》和《事故隐患整改台账》</w:t>
      </w:r>
      <w:r>
        <w:rPr>
          <w:rFonts w:ascii="宋体" w:hAnsi="宋体" w:cs="宋体"/>
          <w:spacing w:val="4"/>
          <w:kern w:val="0"/>
          <w:szCs w:val="28"/>
        </w:rPr>
        <w:t>。统计分析情况应当由各单位主要负责人签字或盖章。</w:t>
      </w:r>
    </w:p>
    <w:p>
      <w:pPr>
        <w:autoSpaceDE w:val="0"/>
        <w:autoSpaceDN w:val="0"/>
        <w:rPr>
          <w:rFonts w:ascii="宋体" w:hAnsi="宋体" w:cs="宋体"/>
          <w:spacing w:val="4"/>
          <w:kern w:val="0"/>
          <w:szCs w:val="28"/>
        </w:rPr>
      </w:pPr>
      <w:r>
        <w:rPr>
          <w:rFonts w:hint="eastAsia" w:ascii="宋体" w:hAnsi="宋体" w:cs="宋体"/>
          <w:b/>
          <w:spacing w:val="4"/>
          <w:kern w:val="0"/>
          <w:szCs w:val="28"/>
        </w:rPr>
        <w:t>10.5</w:t>
      </w:r>
      <w:r>
        <w:rPr>
          <w:rFonts w:ascii="宋体" w:hAnsi="宋体" w:cs="宋体"/>
          <w:spacing w:val="4"/>
          <w:kern w:val="0"/>
          <w:szCs w:val="28"/>
        </w:rPr>
        <w:t>各</w:t>
      </w:r>
      <w:r>
        <w:rPr>
          <w:rFonts w:hint="eastAsia" w:ascii="宋体" w:hAnsi="宋体" w:cs="宋体"/>
          <w:spacing w:val="4"/>
          <w:kern w:val="0"/>
          <w:szCs w:val="28"/>
        </w:rPr>
        <w:t>生产装置责任单位发现重大事故隐患应填写《重大事故隐患整改台账》（附录C），并及时上报。上报时间自发现时起不超过24小时，如不能立即消除隐患，须</w:t>
      </w:r>
      <w:r>
        <w:rPr>
          <w:rFonts w:ascii="宋体" w:hAnsi="宋体" w:cs="宋体"/>
          <w:spacing w:val="4"/>
          <w:kern w:val="0"/>
          <w:szCs w:val="28"/>
        </w:rPr>
        <w:t>自发现重大事故隐患之日起10日内，将《</w:t>
      </w:r>
      <w:r>
        <w:rPr>
          <w:rFonts w:hint="eastAsia" w:ascii="宋体" w:hAnsi="宋体" w:cs="宋体"/>
          <w:spacing w:val="4"/>
          <w:kern w:val="0"/>
          <w:szCs w:val="28"/>
        </w:rPr>
        <w:t>重大</w:t>
      </w:r>
      <w:r>
        <w:rPr>
          <w:rFonts w:ascii="宋体" w:hAnsi="宋体" w:cs="宋体"/>
          <w:spacing w:val="4"/>
          <w:kern w:val="0"/>
          <w:szCs w:val="28"/>
        </w:rPr>
        <w:t>事故隐患评估报告书》和《</w:t>
      </w:r>
      <w:r>
        <w:rPr>
          <w:rFonts w:hint="eastAsia" w:ascii="宋体" w:hAnsi="宋体" w:cs="宋体"/>
          <w:spacing w:val="4"/>
          <w:kern w:val="0"/>
          <w:szCs w:val="28"/>
        </w:rPr>
        <w:t>重大事故隐患</w:t>
      </w:r>
      <w:r>
        <w:rPr>
          <w:rFonts w:ascii="宋体" w:hAnsi="宋体" w:cs="宋体"/>
          <w:spacing w:val="4"/>
          <w:kern w:val="0"/>
          <w:szCs w:val="28"/>
        </w:rPr>
        <w:t>治理方案》书面报</w:t>
      </w:r>
      <w:r>
        <w:rPr>
          <w:rFonts w:hint="eastAsia" w:ascii="宋体" w:hAnsi="宋体" w:cs="宋体"/>
          <w:spacing w:val="4"/>
          <w:kern w:val="0"/>
          <w:szCs w:val="28"/>
        </w:rPr>
        <w:t>企业安全管理部门</w:t>
      </w:r>
      <w:r>
        <w:rPr>
          <w:rFonts w:ascii="宋体" w:hAnsi="宋体" w:cs="宋体"/>
          <w:spacing w:val="4"/>
          <w:kern w:val="0"/>
          <w:szCs w:val="28"/>
        </w:rPr>
        <w:t>。</w:t>
      </w:r>
    </w:p>
    <w:p>
      <w:pPr>
        <w:autoSpaceDE w:val="0"/>
        <w:autoSpaceDN w:val="0"/>
        <w:rPr>
          <w:rFonts w:ascii="宋体" w:hAnsi="宋体" w:cs="宋体"/>
          <w:spacing w:val="4"/>
          <w:kern w:val="0"/>
          <w:szCs w:val="28"/>
        </w:rPr>
      </w:pPr>
      <w:r>
        <w:rPr>
          <w:rFonts w:hint="eastAsia" w:ascii="宋体" w:hAnsi="宋体" w:cs="宋体"/>
          <w:b/>
          <w:spacing w:val="4"/>
          <w:kern w:val="0"/>
          <w:szCs w:val="28"/>
        </w:rPr>
        <w:t>10.6</w:t>
      </w:r>
      <w:r>
        <w:rPr>
          <w:rFonts w:hint="eastAsia" w:ascii="宋体" w:hAnsi="宋体" w:cs="宋体"/>
          <w:spacing w:val="4"/>
          <w:kern w:val="0"/>
          <w:szCs w:val="28"/>
        </w:rPr>
        <w:t>企业</w:t>
      </w:r>
      <w:r>
        <w:rPr>
          <w:rFonts w:ascii="宋体" w:hAnsi="宋体" w:cs="宋体"/>
          <w:spacing w:val="4"/>
          <w:kern w:val="0"/>
          <w:szCs w:val="28"/>
        </w:rPr>
        <w:t>应当自发现重大事故隐患之日起15日内，将《</w:t>
      </w:r>
      <w:r>
        <w:rPr>
          <w:rFonts w:hint="eastAsia" w:ascii="宋体" w:hAnsi="宋体" w:cs="宋体"/>
          <w:spacing w:val="4"/>
          <w:kern w:val="0"/>
          <w:szCs w:val="28"/>
        </w:rPr>
        <w:t>重大</w:t>
      </w:r>
      <w:r>
        <w:rPr>
          <w:rFonts w:ascii="宋体" w:hAnsi="宋体" w:cs="宋体"/>
          <w:spacing w:val="4"/>
          <w:kern w:val="0"/>
          <w:szCs w:val="28"/>
        </w:rPr>
        <w:t>事故隐患评估报告书》和《</w:t>
      </w:r>
      <w:r>
        <w:rPr>
          <w:rFonts w:hint="eastAsia" w:ascii="宋体" w:hAnsi="宋体" w:cs="宋体"/>
          <w:spacing w:val="4"/>
          <w:kern w:val="0"/>
          <w:szCs w:val="28"/>
        </w:rPr>
        <w:t>重大事故隐患</w:t>
      </w:r>
      <w:r>
        <w:rPr>
          <w:rFonts w:ascii="宋体" w:hAnsi="宋体" w:cs="宋体"/>
          <w:spacing w:val="4"/>
          <w:kern w:val="0"/>
          <w:szCs w:val="28"/>
        </w:rPr>
        <w:t>治理方案》报当地县（市、区）人民政府及其安全生产监督管理部门和其他有关部门。</w:t>
      </w:r>
    </w:p>
    <w:p>
      <w:pPr>
        <w:autoSpaceDE w:val="0"/>
        <w:autoSpaceDN w:val="0"/>
        <w:rPr>
          <w:rFonts w:ascii="宋体" w:hAnsi="宋体" w:cs="宋体"/>
          <w:spacing w:val="4"/>
          <w:kern w:val="0"/>
          <w:szCs w:val="28"/>
        </w:rPr>
      </w:pPr>
      <w:r>
        <w:rPr>
          <w:rFonts w:hint="eastAsia" w:ascii="宋体" w:hAnsi="宋体" w:cs="宋体"/>
          <w:b/>
          <w:spacing w:val="4"/>
          <w:kern w:val="0"/>
          <w:szCs w:val="28"/>
        </w:rPr>
        <w:t>10</w:t>
      </w:r>
      <w:r>
        <w:rPr>
          <w:rFonts w:ascii="宋体" w:hAnsi="宋体" w:cs="宋体"/>
          <w:b/>
          <w:spacing w:val="4"/>
          <w:kern w:val="0"/>
          <w:szCs w:val="28"/>
        </w:rPr>
        <w:t>.</w:t>
      </w:r>
      <w:r>
        <w:rPr>
          <w:rFonts w:hint="eastAsia" w:ascii="宋体" w:hAnsi="宋体" w:cs="宋体"/>
          <w:b/>
          <w:spacing w:val="4"/>
          <w:kern w:val="0"/>
          <w:szCs w:val="28"/>
        </w:rPr>
        <w:t>7</w:t>
      </w:r>
      <w:r>
        <w:rPr>
          <w:rFonts w:ascii="宋体" w:hAnsi="宋体" w:cs="宋体"/>
          <w:spacing w:val="4"/>
          <w:kern w:val="0"/>
          <w:szCs w:val="28"/>
        </w:rPr>
        <w:t xml:space="preserve"> </w:t>
      </w:r>
      <w:r>
        <w:rPr>
          <w:rFonts w:hint="eastAsia" w:ascii="宋体" w:hAnsi="宋体" w:cs="宋体"/>
          <w:spacing w:val="4"/>
          <w:kern w:val="0"/>
          <w:szCs w:val="28"/>
        </w:rPr>
        <w:t>企业</w:t>
      </w:r>
      <w:r>
        <w:rPr>
          <w:rFonts w:ascii="宋体" w:hAnsi="宋体" w:cs="宋体"/>
          <w:spacing w:val="4"/>
          <w:kern w:val="0"/>
          <w:szCs w:val="28"/>
        </w:rPr>
        <w:t>每</w:t>
      </w:r>
      <w:r>
        <w:rPr>
          <w:rFonts w:hint="eastAsia" w:ascii="宋体" w:hAnsi="宋体" w:cs="宋体"/>
          <w:spacing w:val="4"/>
          <w:kern w:val="0"/>
          <w:szCs w:val="28"/>
        </w:rPr>
        <w:t>季度</w:t>
      </w:r>
      <w:r>
        <w:rPr>
          <w:rFonts w:ascii="宋体" w:hAnsi="宋体" w:cs="宋体"/>
          <w:spacing w:val="4"/>
          <w:kern w:val="0"/>
          <w:szCs w:val="28"/>
        </w:rPr>
        <w:t>、每年对本单位事故隐患排查治理情况进行统计分析，并分别于下一季度15日前和下一年1月31日前向安全</w:t>
      </w:r>
      <w:r>
        <w:rPr>
          <w:rFonts w:hint="eastAsia" w:ascii="宋体" w:hAnsi="宋体" w:cs="宋体"/>
          <w:spacing w:val="4"/>
          <w:kern w:val="0"/>
          <w:szCs w:val="28"/>
        </w:rPr>
        <w:t>生产监督管理</w:t>
      </w:r>
      <w:r>
        <w:rPr>
          <w:rFonts w:ascii="宋体" w:hAnsi="宋体" w:cs="宋体"/>
          <w:spacing w:val="4"/>
          <w:kern w:val="0"/>
          <w:szCs w:val="28"/>
        </w:rPr>
        <w:t>门和有关部门报送书面统计分析情况。统计分析情况应当由</w:t>
      </w:r>
      <w:r>
        <w:rPr>
          <w:rFonts w:hint="eastAsia" w:ascii="宋体" w:hAnsi="宋体" w:cs="宋体"/>
          <w:spacing w:val="4"/>
          <w:kern w:val="0"/>
          <w:szCs w:val="28"/>
        </w:rPr>
        <w:t>企业</w:t>
      </w:r>
      <w:r>
        <w:rPr>
          <w:rFonts w:ascii="宋体" w:hAnsi="宋体" w:cs="宋体"/>
          <w:spacing w:val="4"/>
          <w:kern w:val="0"/>
          <w:szCs w:val="28"/>
        </w:rPr>
        <w:t>主要负责人签字。</w:t>
      </w:r>
    </w:p>
    <w:p>
      <w:pPr>
        <w:pStyle w:val="2"/>
        <w:spacing w:before="100" w:after="100"/>
        <w:rPr>
          <w:rFonts w:hint="default" w:ascii="黑体" w:hAnsi="黑体" w:eastAsia="黑体" w:cs="宋体"/>
          <w:spacing w:val="4"/>
          <w:kern w:val="0"/>
          <w:sz w:val="21"/>
          <w:szCs w:val="28"/>
        </w:rPr>
      </w:pPr>
      <w:bookmarkStart w:id="113" w:name="_Toc452462773"/>
      <w:bookmarkStart w:id="114" w:name="_Toc11921479"/>
      <w:r>
        <w:rPr>
          <w:rFonts w:ascii="黑体" w:hAnsi="黑体" w:eastAsia="黑体" w:cs="宋体"/>
          <w:spacing w:val="4"/>
          <w:kern w:val="0"/>
          <w:sz w:val="21"/>
          <w:szCs w:val="28"/>
        </w:rPr>
        <w:t>11 事故隐患的处理</w:t>
      </w:r>
      <w:bookmarkEnd w:id="113"/>
      <w:bookmarkEnd w:id="114"/>
    </w:p>
    <w:p>
      <w:pPr>
        <w:autoSpaceDE w:val="0"/>
        <w:autoSpaceDN w:val="0"/>
        <w:rPr>
          <w:rFonts w:ascii="宋体" w:hAnsi="宋体" w:cs="宋体"/>
          <w:b/>
          <w:spacing w:val="4"/>
          <w:kern w:val="0"/>
          <w:szCs w:val="28"/>
        </w:rPr>
      </w:pPr>
      <w:r>
        <w:rPr>
          <w:rFonts w:hint="eastAsia" w:ascii="宋体" w:hAnsi="宋体" w:cs="宋体"/>
          <w:b/>
          <w:spacing w:val="4"/>
          <w:kern w:val="0"/>
          <w:szCs w:val="28"/>
        </w:rPr>
        <w:t>11</w:t>
      </w:r>
      <w:r>
        <w:rPr>
          <w:rFonts w:ascii="宋体" w:hAnsi="宋体" w:cs="宋体"/>
          <w:b/>
          <w:spacing w:val="4"/>
          <w:kern w:val="0"/>
          <w:szCs w:val="28"/>
        </w:rPr>
        <w:t>.1</w:t>
      </w:r>
      <w:r>
        <w:rPr>
          <w:rFonts w:hint="eastAsia" w:ascii="宋体" w:hAnsi="宋体" w:cs="宋体"/>
          <w:b/>
          <w:spacing w:val="4"/>
          <w:kern w:val="0"/>
          <w:szCs w:val="28"/>
        </w:rPr>
        <w:t xml:space="preserve"> </w:t>
      </w:r>
      <w:r>
        <w:rPr>
          <w:rFonts w:ascii="宋体" w:hAnsi="宋体" w:cs="宋体"/>
          <w:b/>
          <w:spacing w:val="4"/>
          <w:kern w:val="0"/>
          <w:szCs w:val="28"/>
        </w:rPr>
        <w:t>一般事故隐患的处理</w:t>
      </w:r>
    </w:p>
    <w:p>
      <w:pPr>
        <w:autoSpaceDE w:val="0"/>
        <w:autoSpaceDN w:val="0"/>
        <w:rPr>
          <w:rFonts w:ascii="宋体" w:hAnsi="宋体" w:cs="宋体"/>
          <w:b/>
          <w:spacing w:val="4"/>
          <w:kern w:val="0"/>
          <w:szCs w:val="28"/>
        </w:rPr>
      </w:pPr>
      <w:r>
        <w:rPr>
          <w:rFonts w:hint="eastAsia" w:ascii="宋体" w:hAnsi="宋体" w:cs="宋体"/>
          <w:b/>
          <w:spacing w:val="4"/>
          <w:kern w:val="0"/>
          <w:szCs w:val="28"/>
        </w:rPr>
        <w:t>11</w:t>
      </w:r>
      <w:r>
        <w:rPr>
          <w:rFonts w:ascii="宋体" w:hAnsi="宋体" w:cs="宋体"/>
          <w:b/>
          <w:spacing w:val="4"/>
          <w:kern w:val="0"/>
          <w:szCs w:val="28"/>
        </w:rPr>
        <w:t>.1.1现场能够立即整改的立即进行整改。</w:t>
      </w:r>
    </w:p>
    <w:p>
      <w:pPr>
        <w:autoSpaceDE w:val="0"/>
        <w:autoSpaceDN w:val="0"/>
        <w:rPr>
          <w:rFonts w:ascii="宋体" w:hAnsi="宋体" w:cs="宋体"/>
          <w:spacing w:val="4"/>
          <w:kern w:val="0"/>
          <w:szCs w:val="28"/>
        </w:rPr>
      </w:pPr>
      <w:r>
        <w:rPr>
          <w:rFonts w:hint="eastAsia" w:ascii="宋体" w:hAnsi="宋体" w:cs="宋体"/>
          <w:spacing w:val="4"/>
          <w:kern w:val="0"/>
          <w:szCs w:val="28"/>
        </w:rPr>
        <w:t>11</w:t>
      </w:r>
      <w:r>
        <w:rPr>
          <w:rFonts w:ascii="宋体" w:hAnsi="宋体" w:cs="宋体"/>
          <w:spacing w:val="4"/>
          <w:kern w:val="0"/>
          <w:szCs w:val="28"/>
        </w:rPr>
        <w:t>.1.2对于暂时不能整改的一般事故隐患，由排查部门对责任部门开具《</w:t>
      </w:r>
      <w:r>
        <w:rPr>
          <w:rFonts w:hint="eastAsia" w:ascii="宋体" w:hAnsi="宋体" w:cs="宋体"/>
          <w:spacing w:val="4"/>
          <w:kern w:val="0"/>
          <w:szCs w:val="28"/>
        </w:rPr>
        <w:t>事故隐患</w:t>
      </w:r>
      <w:r>
        <w:rPr>
          <w:rFonts w:ascii="宋体" w:hAnsi="宋体" w:cs="宋体"/>
          <w:spacing w:val="4"/>
          <w:kern w:val="0"/>
          <w:szCs w:val="28"/>
        </w:rPr>
        <w:t>整改通知单》（</w:t>
      </w:r>
      <w:r>
        <w:rPr>
          <w:rFonts w:hint="eastAsia" w:ascii="宋体" w:hAnsi="宋体" w:cs="宋体"/>
          <w:spacing w:val="4"/>
          <w:kern w:val="0"/>
          <w:szCs w:val="28"/>
        </w:rPr>
        <w:t>附录D</w:t>
      </w:r>
      <w:r>
        <w:rPr>
          <w:rFonts w:ascii="宋体" w:hAnsi="宋体" w:cs="宋体"/>
          <w:spacing w:val="4"/>
          <w:kern w:val="0"/>
          <w:szCs w:val="28"/>
        </w:rPr>
        <w:t>），责任部门应按要求制定整改计划（整改计划内容包括：存在问题原因分析、整改措施、整改资金来源、整改负责人、整改期限、整改前采取的防范措施</w:t>
      </w:r>
      <w:r>
        <w:rPr>
          <w:rFonts w:hint="eastAsia" w:ascii="宋体" w:hAnsi="宋体" w:cs="宋体"/>
          <w:spacing w:val="4"/>
          <w:kern w:val="0"/>
          <w:szCs w:val="28"/>
        </w:rPr>
        <w:t>或预案</w:t>
      </w:r>
      <w:r>
        <w:rPr>
          <w:rFonts w:ascii="宋体" w:hAnsi="宋体" w:cs="宋体"/>
          <w:spacing w:val="4"/>
          <w:kern w:val="0"/>
          <w:szCs w:val="28"/>
        </w:rPr>
        <w:t>）限期整改。</w:t>
      </w:r>
    </w:p>
    <w:p>
      <w:pPr>
        <w:autoSpaceDE w:val="0"/>
        <w:autoSpaceDN w:val="0"/>
        <w:rPr>
          <w:rFonts w:ascii="宋体" w:hAnsi="宋体" w:cs="宋体"/>
          <w:spacing w:val="4"/>
          <w:kern w:val="0"/>
          <w:szCs w:val="28"/>
        </w:rPr>
      </w:pPr>
      <w:r>
        <w:rPr>
          <w:rFonts w:hint="eastAsia" w:ascii="宋体" w:hAnsi="宋体" w:cs="宋体"/>
          <w:b/>
          <w:spacing w:val="4"/>
          <w:kern w:val="0"/>
          <w:szCs w:val="28"/>
        </w:rPr>
        <w:t>11</w:t>
      </w:r>
      <w:r>
        <w:rPr>
          <w:rFonts w:ascii="宋体" w:hAnsi="宋体" w:cs="宋体"/>
          <w:b/>
          <w:spacing w:val="4"/>
          <w:kern w:val="0"/>
          <w:szCs w:val="28"/>
        </w:rPr>
        <w:t xml:space="preserve">.2 </w:t>
      </w:r>
      <w:r>
        <w:rPr>
          <w:rFonts w:ascii="宋体" w:hAnsi="宋体" w:cs="宋体"/>
          <w:spacing w:val="4"/>
          <w:kern w:val="0"/>
          <w:szCs w:val="28"/>
        </w:rPr>
        <w:t>重大事故隐患的处理</w:t>
      </w:r>
    </w:p>
    <w:p>
      <w:pPr>
        <w:autoSpaceDE w:val="0"/>
        <w:autoSpaceDN w:val="0"/>
        <w:rPr>
          <w:rFonts w:ascii="宋体" w:hAnsi="宋体" w:cs="宋体"/>
          <w:spacing w:val="4"/>
          <w:kern w:val="0"/>
          <w:szCs w:val="28"/>
        </w:rPr>
      </w:pPr>
      <w:r>
        <w:rPr>
          <w:rFonts w:hint="eastAsia" w:ascii="宋体" w:hAnsi="宋体" w:cs="宋体"/>
          <w:b/>
          <w:spacing w:val="4"/>
          <w:kern w:val="0"/>
          <w:szCs w:val="28"/>
        </w:rPr>
        <w:t>11</w:t>
      </w:r>
      <w:r>
        <w:rPr>
          <w:rFonts w:ascii="宋体" w:hAnsi="宋体" w:cs="宋体"/>
          <w:b/>
          <w:spacing w:val="4"/>
          <w:kern w:val="0"/>
          <w:szCs w:val="28"/>
        </w:rPr>
        <w:t>.2.1</w:t>
      </w:r>
      <w:r>
        <w:rPr>
          <w:rFonts w:ascii="宋体" w:hAnsi="宋体" w:cs="宋体"/>
          <w:spacing w:val="4"/>
          <w:kern w:val="0"/>
          <w:szCs w:val="28"/>
        </w:rPr>
        <w:t xml:space="preserve"> 对于重大事故隐患，现场</w:t>
      </w:r>
      <w:r>
        <w:rPr>
          <w:rFonts w:hint="eastAsia" w:ascii="宋体" w:hAnsi="宋体" w:cs="宋体"/>
          <w:spacing w:val="4"/>
          <w:kern w:val="0"/>
          <w:szCs w:val="28"/>
        </w:rPr>
        <w:t>应</w:t>
      </w:r>
      <w:r>
        <w:rPr>
          <w:rFonts w:ascii="宋体" w:hAnsi="宋体" w:cs="宋体"/>
          <w:spacing w:val="4"/>
          <w:kern w:val="0"/>
          <w:szCs w:val="28"/>
        </w:rPr>
        <w:t>立即采取有效的安全防范措施，防止事故发生。</w:t>
      </w:r>
    </w:p>
    <w:p>
      <w:pPr>
        <w:autoSpaceDE w:val="0"/>
        <w:autoSpaceDN w:val="0"/>
        <w:rPr>
          <w:rFonts w:ascii="宋体" w:hAnsi="宋体" w:cs="宋体"/>
          <w:spacing w:val="4"/>
          <w:kern w:val="0"/>
          <w:szCs w:val="28"/>
        </w:rPr>
      </w:pPr>
      <w:r>
        <w:rPr>
          <w:rFonts w:hint="eastAsia" w:ascii="宋体" w:hAnsi="宋体" w:cs="宋体"/>
          <w:b/>
          <w:spacing w:val="4"/>
          <w:kern w:val="0"/>
          <w:szCs w:val="28"/>
        </w:rPr>
        <w:t>11</w:t>
      </w:r>
      <w:r>
        <w:rPr>
          <w:rFonts w:ascii="宋体" w:hAnsi="宋体" w:cs="宋体"/>
          <w:b/>
          <w:spacing w:val="4"/>
          <w:kern w:val="0"/>
          <w:szCs w:val="28"/>
        </w:rPr>
        <w:t>.</w:t>
      </w:r>
      <w:r>
        <w:rPr>
          <w:rFonts w:hint="eastAsia" w:ascii="宋体" w:hAnsi="宋体" w:cs="宋体"/>
          <w:b/>
          <w:spacing w:val="4"/>
          <w:kern w:val="0"/>
          <w:szCs w:val="28"/>
        </w:rPr>
        <w:t>2</w:t>
      </w:r>
      <w:r>
        <w:rPr>
          <w:rFonts w:ascii="宋体" w:hAnsi="宋体" w:cs="宋体"/>
          <w:b/>
          <w:spacing w:val="4"/>
          <w:kern w:val="0"/>
          <w:szCs w:val="28"/>
        </w:rPr>
        <w:t>.2</w:t>
      </w:r>
      <w:r>
        <w:rPr>
          <w:rFonts w:ascii="宋体" w:hAnsi="宋体" w:cs="宋体"/>
          <w:spacing w:val="4"/>
          <w:kern w:val="0"/>
          <w:szCs w:val="28"/>
        </w:rPr>
        <w:t xml:space="preserve"> 重大事故隐患排除前或者排除过程中无法保证安全的，本单位负责人应当从危险区域内撤出作业人员，并疏散可能危及的其他人员，设置警戒标志，暂时停产停业或者停止使用；对暂时难以停产或者停止使用的相关生产储存装置、设施、设备，应当加强维护和保养，防止事故发生。</w:t>
      </w:r>
    </w:p>
    <w:p>
      <w:pPr>
        <w:autoSpaceDE w:val="0"/>
        <w:autoSpaceDN w:val="0"/>
        <w:rPr>
          <w:rFonts w:ascii="宋体" w:hAnsi="宋体" w:cs="宋体"/>
          <w:spacing w:val="4"/>
          <w:kern w:val="0"/>
          <w:szCs w:val="28"/>
        </w:rPr>
      </w:pPr>
      <w:r>
        <w:rPr>
          <w:rFonts w:hint="eastAsia" w:ascii="宋体" w:hAnsi="宋体" w:cs="宋体"/>
          <w:b/>
          <w:spacing w:val="4"/>
          <w:kern w:val="0"/>
          <w:szCs w:val="28"/>
        </w:rPr>
        <w:t>11</w:t>
      </w:r>
      <w:r>
        <w:rPr>
          <w:rFonts w:ascii="宋体" w:hAnsi="宋体" w:cs="宋体"/>
          <w:b/>
          <w:spacing w:val="4"/>
          <w:kern w:val="0"/>
          <w:szCs w:val="28"/>
        </w:rPr>
        <w:t>.</w:t>
      </w:r>
      <w:r>
        <w:rPr>
          <w:rFonts w:hint="eastAsia" w:ascii="宋体" w:hAnsi="宋体" w:cs="宋体"/>
          <w:b/>
          <w:spacing w:val="4"/>
          <w:kern w:val="0"/>
          <w:szCs w:val="28"/>
        </w:rPr>
        <w:t>2</w:t>
      </w:r>
      <w:r>
        <w:rPr>
          <w:rFonts w:ascii="宋体" w:hAnsi="宋体" w:cs="宋体"/>
          <w:b/>
          <w:spacing w:val="4"/>
          <w:kern w:val="0"/>
          <w:szCs w:val="28"/>
        </w:rPr>
        <w:t>.3</w:t>
      </w:r>
      <w:r>
        <w:rPr>
          <w:rFonts w:ascii="宋体" w:hAnsi="宋体" w:cs="宋体"/>
          <w:spacing w:val="4"/>
          <w:kern w:val="0"/>
          <w:szCs w:val="28"/>
        </w:rPr>
        <w:t xml:space="preserve"> </w:t>
      </w:r>
      <w:r>
        <w:rPr>
          <w:rFonts w:hint="eastAsia" w:ascii="宋体" w:hAnsi="宋体" w:cs="宋体"/>
          <w:spacing w:val="4"/>
          <w:kern w:val="0"/>
          <w:szCs w:val="28"/>
        </w:rPr>
        <w:t>企业</w:t>
      </w:r>
      <w:r>
        <w:rPr>
          <w:rFonts w:ascii="宋体" w:hAnsi="宋体" w:cs="宋体"/>
          <w:spacing w:val="4"/>
          <w:kern w:val="0"/>
          <w:szCs w:val="28"/>
        </w:rPr>
        <w:t>主要负责人及时组织制定并实施事故隐患治理方案，落实相应的安全防范措施，防止事故发生。</w:t>
      </w:r>
      <w:r>
        <w:rPr>
          <w:rFonts w:hint="eastAsia" w:ascii="宋体" w:hAnsi="宋体" w:cs="宋体"/>
          <w:spacing w:val="4"/>
          <w:kern w:val="0"/>
          <w:szCs w:val="28"/>
        </w:rPr>
        <w:t>企业应按照10.6条要求</w:t>
      </w:r>
      <w:r>
        <w:rPr>
          <w:rFonts w:ascii="宋体" w:hAnsi="宋体" w:cs="宋体"/>
          <w:spacing w:val="4"/>
          <w:kern w:val="0"/>
          <w:szCs w:val="28"/>
        </w:rPr>
        <w:t>及时向安全</w:t>
      </w:r>
      <w:r>
        <w:rPr>
          <w:rFonts w:hint="eastAsia" w:ascii="宋体" w:hAnsi="宋体" w:cs="宋体"/>
          <w:spacing w:val="4"/>
          <w:kern w:val="0"/>
          <w:szCs w:val="28"/>
        </w:rPr>
        <w:t>生产监督管理部门</w:t>
      </w:r>
      <w:r>
        <w:rPr>
          <w:rFonts w:ascii="宋体" w:hAnsi="宋体" w:cs="宋体"/>
          <w:spacing w:val="4"/>
          <w:kern w:val="0"/>
          <w:szCs w:val="28"/>
        </w:rPr>
        <w:t>和有关部门报告。</w:t>
      </w:r>
    </w:p>
    <w:p>
      <w:pPr>
        <w:autoSpaceDE w:val="0"/>
        <w:autoSpaceDN w:val="0"/>
        <w:rPr>
          <w:rFonts w:ascii="宋体" w:hAnsi="宋体" w:cs="宋体"/>
          <w:spacing w:val="4"/>
          <w:kern w:val="0"/>
          <w:szCs w:val="28"/>
        </w:rPr>
      </w:pPr>
      <w:r>
        <w:rPr>
          <w:rFonts w:hint="eastAsia" w:ascii="宋体" w:hAnsi="宋体" w:cs="宋体"/>
          <w:b/>
          <w:spacing w:val="4"/>
          <w:kern w:val="0"/>
          <w:szCs w:val="28"/>
        </w:rPr>
        <w:t>11</w:t>
      </w:r>
      <w:r>
        <w:rPr>
          <w:rFonts w:ascii="宋体" w:hAnsi="宋体" w:cs="宋体"/>
          <w:b/>
          <w:spacing w:val="4"/>
          <w:kern w:val="0"/>
          <w:szCs w:val="28"/>
        </w:rPr>
        <w:t>.</w:t>
      </w:r>
      <w:r>
        <w:rPr>
          <w:rFonts w:hint="eastAsia" w:ascii="宋体" w:hAnsi="宋体" w:cs="宋体"/>
          <w:b/>
          <w:spacing w:val="4"/>
          <w:kern w:val="0"/>
          <w:szCs w:val="28"/>
        </w:rPr>
        <w:t>2</w:t>
      </w:r>
      <w:r>
        <w:rPr>
          <w:rFonts w:ascii="宋体" w:hAnsi="宋体" w:cs="宋体"/>
          <w:b/>
          <w:spacing w:val="4"/>
          <w:kern w:val="0"/>
          <w:szCs w:val="28"/>
        </w:rPr>
        <w:t xml:space="preserve">.4 </w:t>
      </w:r>
      <w:r>
        <w:rPr>
          <w:rFonts w:ascii="宋体" w:hAnsi="宋体" w:cs="宋体"/>
          <w:spacing w:val="4"/>
          <w:kern w:val="0"/>
          <w:szCs w:val="28"/>
        </w:rPr>
        <w:t>上级政府部门和有关部门挂牌督办并责令全部或者局部停产停业治理的重大事故隐患，治理工作结束后，由</w:t>
      </w:r>
      <w:r>
        <w:rPr>
          <w:rFonts w:hint="eastAsia" w:ascii="宋体" w:hAnsi="宋体" w:cs="宋体"/>
          <w:spacing w:val="4"/>
          <w:kern w:val="0"/>
          <w:szCs w:val="28"/>
        </w:rPr>
        <w:t>企业</w:t>
      </w:r>
      <w:r>
        <w:rPr>
          <w:rFonts w:ascii="宋体" w:hAnsi="宋体" w:cs="宋体"/>
          <w:spacing w:val="4"/>
          <w:kern w:val="0"/>
          <w:szCs w:val="28"/>
        </w:rPr>
        <w:t>组织相关技术人员和专家对重大（特大）事故隐患的治理情况进行评估；或委托具备相应资质的安全评价机构对重大（特大）事故隐患的治理情况进行评估。</w:t>
      </w:r>
    </w:p>
    <w:p>
      <w:pPr>
        <w:autoSpaceDE w:val="0"/>
        <w:autoSpaceDN w:val="0"/>
        <w:rPr>
          <w:rFonts w:ascii="宋体" w:hAnsi="宋体" w:cs="宋体"/>
          <w:spacing w:val="4"/>
          <w:kern w:val="0"/>
          <w:szCs w:val="28"/>
        </w:rPr>
      </w:pPr>
      <w:r>
        <w:rPr>
          <w:rFonts w:hint="eastAsia" w:ascii="宋体" w:hAnsi="宋体" w:cs="宋体"/>
          <w:b/>
          <w:spacing w:val="4"/>
          <w:kern w:val="0"/>
          <w:szCs w:val="28"/>
        </w:rPr>
        <w:t>11</w:t>
      </w:r>
      <w:r>
        <w:rPr>
          <w:rFonts w:ascii="宋体" w:hAnsi="宋体" w:cs="宋体"/>
          <w:b/>
          <w:spacing w:val="4"/>
          <w:kern w:val="0"/>
          <w:szCs w:val="28"/>
        </w:rPr>
        <w:t>.</w:t>
      </w:r>
      <w:r>
        <w:rPr>
          <w:rFonts w:hint="eastAsia" w:ascii="宋体" w:hAnsi="宋体" w:cs="宋体"/>
          <w:b/>
          <w:spacing w:val="4"/>
          <w:kern w:val="0"/>
          <w:szCs w:val="28"/>
        </w:rPr>
        <w:t>2</w:t>
      </w:r>
      <w:r>
        <w:rPr>
          <w:rFonts w:ascii="宋体" w:hAnsi="宋体" w:cs="宋体"/>
          <w:b/>
          <w:spacing w:val="4"/>
          <w:kern w:val="0"/>
          <w:szCs w:val="28"/>
        </w:rPr>
        <w:t>.5</w:t>
      </w:r>
      <w:r>
        <w:rPr>
          <w:rFonts w:ascii="宋体" w:hAnsi="宋体" w:cs="宋体"/>
          <w:spacing w:val="4"/>
          <w:kern w:val="0"/>
          <w:szCs w:val="28"/>
        </w:rPr>
        <w:t xml:space="preserve"> 经治理后符合安全生产条件的，</w:t>
      </w:r>
      <w:r>
        <w:rPr>
          <w:rFonts w:hint="eastAsia" w:ascii="宋体" w:hAnsi="宋体" w:cs="宋体"/>
          <w:spacing w:val="4"/>
          <w:kern w:val="0"/>
          <w:szCs w:val="28"/>
        </w:rPr>
        <w:t>企业</w:t>
      </w:r>
      <w:r>
        <w:rPr>
          <w:rFonts w:ascii="宋体" w:hAnsi="宋体" w:cs="宋体"/>
          <w:spacing w:val="4"/>
          <w:kern w:val="0"/>
          <w:szCs w:val="28"/>
        </w:rPr>
        <w:t>应当向安全</w:t>
      </w:r>
      <w:r>
        <w:rPr>
          <w:rFonts w:hint="eastAsia" w:ascii="宋体" w:hAnsi="宋体" w:cs="宋体"/>
          <w:spacing w:val="4"/>
          <w:kern w:val="0"/>
          <w:szCs w:val="28"/>
        </w:rPr>
        <w:t>生产</w:t>
      </w:r>
      <w:r>
        <w:rPr>
          <w:rFonts w:ascii="宋体" w:hAnsi="宋体" w:cs="宋体"/>
          <w:spacing w:val="4"/>
          <w:kern w:val="0"/>
          <w:szCs w:val="28"/>
        </w:rPr>
        <w:t>监</w:t>
      </w:r>
      <w:r>
        <w:rPr>
          <w:rFonts w:hint="eastAsia" w:ascii="宋体" w:hAnsi="宋体" w:cs="宋体"/>
          <w:spacing w:val="4"/>
          <w:kern w:val="0"/>
          <w:szCs w:val="28"/>
        </w:rPr>
        <w:t>督</w:t>
      </w:r>
      <w:r>
        <w:rPr>
          <w:rFonts w:ascii="宋体" w:hAnsi="宋体" w:cs="宋体"/>
          <w:spacing w:val="4"/>
          <w:kern w:val="0"/>
          <w:szCs w:val="28"/>
        </w:rPr>
        <w:t>管</w:t>
      </w:r>
      <w:r>
        <w:rPr>
          <w:rFonts w:hint="eastAsia" w:ascii="宋体" w:hAnsi="宋体" w:cs="宋体"/>
          <w:spacing w:val="4"/>
          <w:kern w:val="0"/>
          <w:szCs w:val="28"/>
        </w:rPr>
        <w:t>理</w:t>
      </w:r>
      <w:r>
        <w:rPr>
          <w:rFonts w:ascii="宋体" w:hAnsi="宋体" w:cs="宋体"/>
          <w:spacing w:val="4"/>
          <w:kern w:val="0"/>
          <w:szCs w:val="28"/>
        </w:rPr>
        <w:t>部门和有关部门提出恢复生产的书面申请，经安全</w:t>
      </w:r>
      <w:r>
        <w:rPr>
          <w:rFonts w:hint="eastAsia" w:ascii="宋体" w:hAnsi="宋体" w:cs="宋体"/>
          <w:spacing w:val="4"/>
          <w:kern w:val="0"/>
          <w:szCs w:val="28"/>
        </w:rPr>
        <w:t>生产</w:t>
      </w:r>
      <w:r>
        <w:rPr>
          <w:rFonts w:ascii="宋体" w:hAnsi="宋体" w:cs="宋体"/>
          <w:spacing w:val="4"/>
          <w:kern w:val="0"/>
          <w:szCs w:val="28"/>
        </w:rPr>
        <w:t>监</w:t>
      </w:r>
      <w:r>
        <w:rPr>
          <w:rFonts w:hint="eastAsia" w:ascii="宋体" w:hAnsi="宋体" w:cs="宋体"/>
          <w:spacing w:val="4"/>
          <w:kern w:val="0"/>
          <w:szCs w:val="28"/>
        </w:rPr>
        <w:t>督</w:t>
      </w:r>
      <w:r>
        <w:rPr>
          <w:rFonts w:ascii="宋体" w:hAnsi="宋体" w:cs="宋体"/>
          <w:spacing w:val="4"/>
          <w:kern w:val="0"/>
          <w:szCs w:val="28"/>
        </w:rPr>
        <w:t>管</w:t>
      </w:r>
      <w:r>
        <w:rPr>
          <w:rFonts w:hint="eastAsia" w:ascii="宋体" w:hAnsi="宋体" w:cs="宋体"/>
          <w:spacing w:val="4"/>
          <w:kern w:val="0"/>
          <w:szCs w:val="28"/>
        </w:rPr>
        <w:t>理</w:t>
      </w:r>
      <w:r>
        <w:rPr>
          <w:rFonts w:ascii="宋体" w:hAnsi="宋体" w:cs="宋体"/>
          <w:spacing w:val="4"/>
          <w:kern w:val="0"/>
          <w:szCs w:val="28"/>
        </w:rPr>
        <w:t>部门和有关部门审查同意后，方可恢复生产经营。恢复生产</w:t>
      </w:r>
      <w:r>
        <w:rPr>
          <w:rFonts w:hint="eastAsia" w:ascii="宋体" w:hAnsi="宋体" w:cs="宋体"/>
          <w:spacing w:val="4"/>
          <w:kern w:val="0"/>
          <w:szCs w:val="28"/>
        </w:rPr>
        <w:t>书面</w:t>
      </w:r>
      <w:r>
        <w:rPr>
          <w:rFonts w:ascii="宋体" w:hAnsi="宋体" w:cs="宋体"/>
          <w:spacing w:val="4"/>
          <w:kern w:val="0"/>
          <w:szCs w:val="28"/>
        </w:rPr>
        <w:t>申请应当包括治理方案的内容、项目</w:t>
      </w:r>
      <w:r>
        <w:rPr>
          <w:rFonts w:hint="eastAsia" w:ascii="宋体" w:hAnsi="宋体" w:cs="宋体"/>
          <w:spacing w:val="4"/>
          <w:kern w:val="0"/>
          <w:szCs w:val="28"/>
        </w:rPr>
        <w:t>、整改情况贺和相应的</w:t>
      </w:r>
      <w:r>
        <w:rPr>
          <w:rFonts w:ascii="宋体" w:hAnsi="宋体" w:cs="宋体"/>
          <w:spacing w:val="4"/>
          <w:kern w:val="0"/>
          <w:szCs w:val="28"/>
        </w:rPr>
        <w:t>评</w:t>
      </w:r>
      <w:r>
        <w:rPr>
          <w:rFonts w:hint="eastAsia" w:ascii="宋体" w:hAnsi="宋体" w:cs="宋体"/>
          <w:spacing w:val="4"/>
          <w:kern w:val="0"/>
          <w:szCs w:val="28"/>
        </w:rPr>
        <w:t>估或评价</w:t>
      </w:r>
      <w:r>
        <w:rPr>
          <w:rFonts w:ascii="宋体" w:hAnsi="宋体" w:cs="宋体"/>
          <w:spacing w:val="4"/>
          <w:kern w:val="0"/>
          <w:szCs w:val="28"/>
        </w:rPr>
        <w:t>报告。</w:t>
      </w:r>
    </w:p>
    <w:p>
      <w:pPr>
        <w:pStyle w:val="2"/>
        <w:spacing w:before="100" w:after="100"/>
        <w:rPr>
          <w:rFonts w:hint="default" w:ascii="黑体" w:hAnsi="黑体" w:eastAsia="黑体" w:cs="宋体"/>
          <w:spacing w:val="4"/>
          <w:kern w:val="0"/>
          <w:sz w:val="21"/>
          <w:szCs w:val="28"/>
        </w:rPr>
      </w:pPr>
      <w:bookmarkStart w:id="115" w:name="_Toc452462774"/>
      <w:bookmarkStart w:id="116" w:name="_Toc11921480"/>
      <w:r>
        <w:rPr>
          <w:rFonts w:ascii="黑体" w:hAnsi="黑体" w:eastAsia="黑体" w:cs="宋体"/>
          <w:spacing w:val="4"/>
          <w:kern w:val="0"/>
          <w:sz w:val="21"/>
          <w:szCs w:val="28"/>
        </w:rPr>
        <w:t>12 隐患治理项目的验收</w:t>
      </w:r>
      <w:bookmarkEnd w:id="115"/>
      <w:bookmarkEnd w:id="116"/>
    </w:p>
    <w:p>
      <w:pPr>
        <w:autoSpaceDE w:val="0"/>
        <w:autoSpaceDN w:val="0"/>
        <w:rPr>
          <w:rFonts w:ascii="宋体" w:hAnsi="宋体" w:cs="宋体"/>
          <w:spacing w:val="4"/>
          <w:kern w:val="0"/>
          <w:szCs w:val="28"/>
        </w:rPr>
      </w:pPr>
      <w:r>
        <w:rPr>
          <w:rFonts w:hint="eastAsia" w:ascii="宋体" w:hAnsi="宋体" w:cs="宋体"/>
          <w:b/>
          <w:spacing w:val="4"/>
          <w:kern w:val="0"/>
          <w:szCs w:val="28"/>
        </w:rPr>
        <w:t>12</w:t>
      </w:r>
      <w:r>
        <w:rPr>
          <w:rFonts w:ascii="宋体" w:hAnsi="宋体" w:cs="宋体"/>
          <w:b/>
          <w:spacing w:val="4"/>
          <w:kern w:val="0"/>
          <w:szCs w:val="28"/>
        </w:rPr>
        <w:t xml:space="preserve">.1 </w:t>
      </w:r>
      <w:r>
        <w:rPr>
          <w:rFonts w:ascii="宋体" w:hAnsi="宋体" w:cs="宋体"/>
          <w:spacing w:val="4"/>
          <w:kern w:val="0"/>
          <w:szCs w:val="28"/>
        </w:rPr>
        <w:t>已竣工并投入正常运行的隐患治理项目，</w:t>
      </w:r>
      <w:r>
        <w:rPr>
          <w:rFonts w:hint="eastAsia" w:ascii="宋体" w:hAnsi="宋体" w:cs="宋体"/>
          <w:spacing w:val="4"/>
          <w:kern w:val="0"/>
          <w:szCs w:val="28"/>
        </w:rPr>
        <w:t>企业应</w:t>
      </w:r>
      <w:r>
        <w:rPr>
          <w:rFonts w:ascii="宋体" w:hAnsi="宋体" w:cs="宋体"/>
          <w:spacing w:val="4"/>
          <w:kern w:val="0"/>
          <w:szCs w:val="28"/>
        </w:rPr>
        <w:t>组织</w:t>
      </w:r>
      <w:r>
        <w:rPr>
          <w:rFonts w:hint="eastAsia" w:ascii="宋体" w:hAnsi="宋体" w:cs="宋体"/>
          <w:spacing w:val="4"/>
          <w:kern w:val="0"/>
          <w:szCs w:val="28"/>
        </w:rPr>
        <w:t>本单位</w:t>
      </w:r>
      <w:r>
        <w:rPr>
          <w:rFonts w:ascii="宋体" w:hAnsi="宋体" w:cs="宋体"/>
          <w:spacing w:val="4"/>
          <w:kern w:val="0"/>
          <w:szCs w:val="28"/>
        </w:rPr>
        <w:t>工程、技术、设备、安全、环保等部门和生产、维护、施工、安装单位进行考核验收。</w:t>
      </w:r>
    </w:p>
    <w:p>
      <w:pPr>
        <w:autoSpaceDE w:val="0"/>
        <w:autoSpaceDN w:val="0"/>
        <w:rPr>
          <w:rFonts w:ascii="宋体" w:hAnsi="宋体" w:cs="宋体"/>
          <w:spacing w:val="4"/>
          <w:kern w:val="0"/>
          <w:szCs w:val="28"/>
        </w:rPr>
      </w:pPr>
      <w:r>
        <w:rPr>
          <w:rFonts w:hint="eastAsia" w:ascii="宋体" w:hAnsi="宋体" w:cs="宋体"/>
          <w:b/>
          <w:spacing w:val="4"/>
          <w:kern w:val="0"/>
          <w:szCs w:val="28"/>
        </w:rPr>
        <w:t>12</w:t>
      </w:r>
      <w:r>
        <w:rPr>
          <w:rFonts w:ascii="宋体" w:hAnsi="宋体" w:cs="宋体"/>
          <w:b/>
          <w:spacing w:val="4"/>
          <w:kern w:val="0"/>
          <w:szCs w:val="28"/>
        </w:rPr>
        <w:t xml:space="preserve">.2 </w:t>
      </w:r>
      <w:r>
        <w:rPr>
          <w:rFonts w:ascii="宋体" w:hAnsi="宋体" w:cs="宋体"/>
          <w:spacing w:val="4"/>
          <w:kern w:val="0"/>
          <w:szCs w:val="28"/>
        </w:rPr>
        <w:t>隐患治理项目验收时，施工、安装单位应同时将有关证件和技术管理资料，移交生产、维护单位和相关职能部门。</w:t>
      </w:r>
    </w:p>
    <w:p>
      <w:pPr>
        <w:autoSpaceDE w:val="0"/>
        <w:autoSpaceDN w:val="0"/>
        <w:rPr>
          <w:rFonts w:ascii="宋体" w:hAnsi="宋体" w:cs="宋体"/>
          <w:spacing w:val="4"/>
          <w:kern w:val="0"/>
          <w:szCs w:val="28"/>
        </w:rPr>
      </w:pPr>
      <w:r>
        <w:rPr>
          <w:rFonts w:hint="eastAsia" w:ascii="宋体" w:hAnsi="宋体" w:cs="宋体"/>
          <w:b/>
          <w:spacing w:val="4"/>
          <w:kern w:val="0"/>
          <w:szCs w:val="28"/>
        </w:rPr>
        <w:t>12</w:t>
      </w:r>
      <w:r>
        <w:rPr>
          <w:rFonts w:ascii="宋体" w:hAnsi="宋体" w:cs="宋体"/>
          <w:b/>
          <w:spacing w:val="4"/>
          <w:kern w:val="0"/>
          <w:szCs w:val="28"/>
        </w:rPr>
        <w:t>.3</w:t>
      </w:r>
      <w:r>
        <w:rPr>
          <w:rFonts w:ascii="宋体" w:hAnsi="宋体" w:cs="宋体"/>
          <w:spacing w:val="4"/>
          <w:kern w:val="0"/>
          <w:szCs w:val="28"/>
        </w:rPr>
        <w:t xml:space="preserve"> 隐患治理项目验收后，</w:t>
      </w:r>
      <w:r>
        <w:rPr>
          <w:rFonts w:hint="eastAsia" w:ascii="宋体" w:hAnsi="宋体" w:cs="宋体"/>
          <w:spacing w:val="4"/>
          <w:kern w:val="0"/>
          <w:szCs w:val="28"/>
        </w:rPr>
        <w:t>企业</w:t>
      </w:r>
      <w:r>
        <w:rPr>
          <w:rFonts w:ascii="宋体" w:hAnsi="宋体" w:cs="宋体"/>
          <w:spacing w:val="4"/>
          <w:kern w:val="0"/>
          <w:szCs w:val="28"/>
        </w:rPr>
        <w:t>应将竣工验收报告、竣工验收表一并</w:t>
      </w:r>
      <w:r>
        <w:rPr>
          <w:rFonts w:hint="eastAsia" w:ascii="宋体" w:hAnsi="宋体" w:cs="宋体"/>
          <w:spacing w:val="4"/>
          <w:kern w:val="0"/>
          <w:szCs w:val="28"/>
        </w:rPr>
        <w:t>归档</w:t>
      </w:r>
      <w:r>
        <w:rPr>
          <w:rFonts w:ascii="宋体" w:hAnsi="宋体" w:cs="宋体"/>
          <w:spacing w:val="4"/>
          <w:kern w:val="0"/>
          <w:szCs w:val="28"/>
        </w:rPr>
        <w:t>。</w:t>
      </w:r>
    </w:p>
    <w:p>
      <w:pPr>
        <w:autoSpaceDE w:val="0"/>
        <w:autoSpaceDN w:val="0"/>
        <w:rPr>
          <w:rFonts w:ascii="宋体" w:hAnsi="宋体" w:cs="宋体"/>
          <w:spacing w:val="4"/>
          <w:kern w:val="0"/>
          <w:szCs w:val="28"/>
        </w:rPr>
      </w:pPr>
      <w:r>
        <w:rPr>
          <w:rFonts w:hint="eastAsia" w:ascii="宋体" w:hAnsi="宋体" w:cs="宋体"/>
          <w:b/>
          <w:spacing w:val="4"/>
          <w:kern w:val="0"/>
          <w:szCs w:val="28"/>
        </w:rPr>
        <w:t>12</w:t>
      </w:r>
      <w:r>
        <w:rPr>
          <w:rFonts w:ascii="宋体" w:hAnsi="宋体" w:cs="宋体"/>
          <w:b/>
          <w:spacing w:val="4"/>
          <w:kern w:val="0"/>
          <w:szCs w:val="28"/>
        </w:rPr>
        <w:t>.4</w:t>
      </w:r>
      <w:r>
        <w:rPr>
          <w:rFonts w:ascii="宋体" w:hAnsi="宋体" w:cs="宋体"/>
          <w:spacing w:val="4"/>
          <w:kern w:val="0"/>
          <w:szCs w:val="28"/>
        </w:rPr>
        <w:t xml:space="preserve"> 对于验收合格的隐患治理项目，</w:t>
      </w:r>
      <w:r>
        <w:rPr>
          <w:rFonts w:hint="eastAsia" w:ascii="宋体" w:hAnsi="宋体" w:cs="宋体"/>
          <w:spacing w:val="4"/>
          <w:kern w:val="0"/>
          <w:szCs w:val="28"/>
        </w:rPr>
        <w:t>企业应</w:t>
      </w:r>
      <w:r>
        <w:rPr>
          <w:rFonts w:ascii="宋体" w:hAnsi="宋体" w:cs="宋体"/>
          <w:spacing w:val="4"/>
          <w:kern w:val="0"/>
          <w:szCs w:val="28"/>
        </w:rPr>
        <w:t>制定相应的规程，组织人员学习，并转入正常的维护管理。</w:t>
      </w:r>
    </w:p>
    <w:p>
      <w:pPr>
        <w:pStyle w:val="2"/>
        <w:spacing w:before="100" w:after="100"/>
        <w:rPr>
          <w:rFonts w:hint="default" w:ascii="黑体" w:hAnsi="黑体" w:eastAsia="黑体" w:cs="宋体"/>
          <w:spacing w:val="4"/>
          <w:kern w:val="0"/>
          <w:sz w:val="21"/>
          <w:szCs w:val="28"/>
        </w:rPr>
      </w:pPr>
      <w:bookmarkStart w:id="117" w:name="_Toc452462775"/>
      <w:bookmarkStart w:id="118" w:name="_Toc11921481"/>
      <w:r>
        <w:rPr>
          <w:rFonts w:ascii="黑体" w:hAnsi="黑体" w:eastAsia="黑体" w:cs="宋体"/>
          <w:spacing w:val="4"/>
          <w:kern w:val="0"/>
          <w:sz w:val="21"/>
          <w:szCs w:val="28"/>
        </w:rPr>
        <w:t>13 事故隐患倒查</w:t>
      </w:r>
      <w:bookmarkEnd w:id="117"/>
      <w:bookmarkEnd w:id="118"/>
    </w:p>
    <w:p>
      <w:pPr>
        <w:autoSpaceDE w:val="0"/>
        <w:autoSpaceDN w:val="0"/>
        <w:rPr>
          <w:rFonts w:ascii="宋体" w:hAnsi="宋体" w:cs="宋体"/>
          <w:b/>
          <w:spacing w:val="4"/>
          <w:kern w:val="0"/>
          <w:szCs w:val="28"/>
        </w:rPr>
      </w:pPr>
      <w:r>
        <w:rPr>
          <w:rFonts w:hint="eastAsia" w:ascii="宋体" w:hAnsi="宋体" w:cs="宋体"/>
          <w:b/>
          <w:spacing w:val="4"/>
          <w:kern w:val="0"/>
          <w:szCs w:val="28"/>
        </w:rPr>
        <w:t>13</w:t>
      </w:r>
      <w:r>
        <w:rPr>
          <w:rFonts w:ascii="宋体" w:hAnsi="宋体" w:cs="宋体"/>
          <w:b/>
          <w:spacing w:val="4"/>
          <w:kern w:val="0"/>
          <w:szCs w:val="28"/>
        </w:rPr>
        <w:t>.1</w:t>
      </w:r>
      <w:r>
        <w:rPr>
          <w:rFonts w:hint="eastAsia" w:ascii="宋体" w:hAnsi="宋体" w:cs="宋体"/>
          <w:b/>
          <w:spacing w:val="4"/>
          <w:kern w:val="0"/>
          <w:szCs w:val="28"/>
        </w:rPr>
        <w:t xml:space="preserve"> 事故隐患倒查要求</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13.1.1 </w:t>
      </w:r>
      <w:r>
        <w:rPr>
          <w:rFonts w:hint="eastAsia" w:ascii="宋体" w:hAnsi="宋体" w:cs="宋体"/>
          <w:spacing w:val="4"/>
          <w:kern w:val="0"/>
          <w:szCs w:val="28"/>
        </w:rPr>
        <w:t xml:space="preserve">凡是检查发现的事故隐患，都必须从隐患产生的内部条件、外部因素，实行倒查。在查明原因，积极整改的同时，制订出相应的防范措施，从源头上进行治理，防范同类隐患再次发生。 </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13.1.2 </w:t>
      </w:r>
      <w:r>
        <w:rPr>
          <w:rFonts w:hint="eastAsia" w:ascii="宋体" w:hAnsi="宋体" w:cs="宋体"/>
          <w:spacing w:val="4"/>
          <w:kern w:val="0"/>
          <w:szCs w:val="28"/>
        </w:rPr>
        <w:t>事故隐患倒查要从下而上，按工段（班组）、车间（科室）和公司（专业部门）三级管理权限，逐级进行倒查。属上级原因的，由上级继续倒查，追根溯源。</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13.1.3 </w:t>
      </w:r>
      <w:r>
        <w:rPr>
          <w:rFonts w:hint="eastAsia" w:ascii="宋体" w:hAnsi="宋体" w:cs="宋体"/>
          <w:spacing w:val="4"/>
          <w:kern w:val="0"/>
          <w:szCs w:val="28"/>
        </w:rPr>
        <w:t>每次隐患倒查后，登入《事故隐患整改台账》，详细记录隐患的分类（设备、电气、仪表、作业环境、安全设施、防护用品、管理缺陷等）和 级别（一般、重大）、责任单位和责任人、产生的主要原因、整改要求和制定的防范措施。</w:t>
      </w:r>
    </w:p>
    <w:p>
      <w:pPr>
        <w:autoSpaceDE w:val="0"/>
        <w:autoSpaceDN w:val="0"/>
        <w:rPr>
          <w:rFonts w:ascii="宋体" w:hAnsi="宋体" w:cs="宋体"/>
          <w:b/>
          <w:spacing w:val="4"/>
          <w:kern w:val="0"/>
          <w:szCs w:val="28"/>
        </w:rPr>
      </w:pPr>
      <w:r>
        <w:rPr>
          <w:rFonts w:hint="eastAsia" w:ascii="宋体" w:hAnsi="宋体" w:cs="宋体"/>
          <w:b/>
          <w:spacing w:val="4"/>
          <w:kern w:val="0"/>
          <w:szCs w:val="28"/>
        </w:rPr>
        <w:t>13.2 事故隐患倒查的主要内容</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13.2.1 </w:t>
      </w:r>
      <w:r>
        <w:rPr>
          <w:rFonts w:hint="eastAsia" w:ascii="宋体" w:hAnsi="宋体" w:cs="宋体"/>
          <w:spacing w:val="4"/>
          <w:kern w:val="0"/>
          <w:szCs w:val="28"/>
        </w:rPr>
        <w:t>工段（班组）倒查隐患，规范员工操作行为。凡发生事故隐患，首先在工段（班组）的职责范围内进行倒查，重点查岗位职责是否落实，安全管理制度、工艺安全规程与操作法执行情况，员工操作是否规范。倒查发现属于上一级的原因，则由工段（班组）向车间反映，由上一级继续倒查。</w:t>
      </w:r>
    </w:p>
    <w:p>
      <w:pPr>
        <w:autoSpaceDE w:val="0"/>
        <w:autoSpaceDN w:val="0"/>
        <w:rPr>
          <w:rFonts w:ascii="宋体" w:hAnsi="宋体" w:cs="宋体"/>
          <w:spacing w:val="4"/>
          <w:kern w:val="0"/>
          <w:szCs w:val="28"/>
        </w:rPr>
      </w:pPr>
      <w:r>
        <w:rPr>
          <w:rFonts w:hint="eastAsia" w:ascii="宋体" w:hAnsi="宋体" w:cs="宋体"/>
          <w:b/>
          <w:spacing w:val="4"/>
          <w:kern w:val="0"/>
          <w:szCs w:val="28"/>
        </w:rPr>
        <w:t>13.2.2</w:t>
      </w:r>
      <w:r>
        <w:rPr>
          <w:rFonts w:hint="eastAsia" w:ascii="宋体" w:hAnsi="宋体" w:cs="宋体"/>
          <w:spacing w:val="4"/>
          <w:kern w:val="0"/>
          <w:szCs w:val="28"/>
        </w:rPr>
        <w:t xml:space="preserve"> 车间、科室倒查隐患，落实现场管理责任。凡发生事故隐患，应倒查现场管理是否到位，安全技术措施是否制定和落实，工作任务安排是否合理。倒查发现属于上一级的原因，则由车间向公司反映，由上一级继续倒查。</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13.2.3 </w:t>
      </w:r>
      <w:r>
        <w:rPr>
          <w:rFonts w:hint="eastAsia" w:ascii="宋体" w:hAnsi="宋体" w:cs="宋体"/>
          <w:spacing w:val="4"/>
          <w:kern w:val="0"/>
          <w:szCs w:val="28"/>
        </w:rPr>
        <w:t>公司（专业部门）倒查隐患，积极改善安全条件。凡公司发生事故隐患，重点倒查领导责任是否落实，各项管理制度是否健全，技术管理和措施是否合理，生产系统是否完善，员工教育培训是否到位，按部门分工制定相应整改措施进行整改。</w:t>
      </w:r>
    </w:p>
    <w:p>
      <w:pPr>
        <w:autoSpaceDE w:val="0"/>
        <w:autoSpaceDN w:val="0"/>
        <w:rPr>
          <w:rFonts w:ascii="宋体" w:hAnsi="宋体" w:cs="宋体"/>
          <w:spacing w:val="4"/>
          <w:kern w:val="0"/>
          <w:szCs w:val="28"/>
        </w:rPr>
      </w:pPr>
      <w:r>
        <w:rPr>
          <w:rFonts w:hint="eastAsia" w:ascii="宋体" w:hAnsi="宋体" w:cs="宋体"/>
          <w:b/>
          <w:spacing w:val="4"/>
          <w:kern w:val="0"/>
          <w:szCs w:val="28"/>
        </w:rPr>
        <w:t>13.3</w:t>
      </w:r>
      <w:r>
        <w:rPr>
          <w:rFonts w:hint="eastAsia" w:ascii="宋体" w:hAnsi="宋体" w:cs="宋体"/>
          <w:spacing w:val="4"/>
          <w:kern w:val="0"/>
          <w:szCs w:val="28"/>
        </w:rPr>
        <w:t xml:space="preserve"> 企业安全管理部门负责对本单位事故隐患成因倒查工作进行检查；每月对本单位检查发现的事故隐患成因倒查情况进行总结分析（可与事故隐患总结分析一并进行）。</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13.4 </w:t>
      </w:r>
      <w:r>
        <w:rPr>
          <w:rFonts w:hint="eastAsia" w:ascii="宋体" w:hAnsi="宋体" w:cs="宋体"/>
          <w:spacing w:val="4"/>
          <w:kern w:val="0"/>
          <w:szCs w:val="28"/>
        </w:rPr>
        <w:t>其它专业管理部门负责对本专业事故隐患成因倒查情况进行总结分析（可与事故隐患总结分析一并进行）。</w:t>
      </w:r>
    </w:p>
    <w:p>
      <w:pPr>
        <w:pStyle w:val="2"/>
        <w:spacing w:before="100" w:after="100"/>
        <w:rPr>
          <w:rFonts w:hint="default" w:cs="宋体"/>
          <w:spacing w:val="4"/>
          <w:kern w:val="0"/>
          <w:sz w:val="21"/>
          <w:szCs w:val="28"/>
        </w:rPr>
      </w:pPr>
      <w:bookmarkStart w:id="119" w:name="_Toc452462776"/>
    </w:p>
    <w:p>
      <w:pPr>
        <w:pStyle w:val="2"/>
        <w:spacing w:before="100" w:after="100"/>
        <w:rPr>
          <w:rFonts w:hint="default" w:cs="宋体"/>
          <w:spacing w:val="4"/>
          <w:kern w:val="0"/>
          <w:sz w:val="21"/>
          <w:szCs w:val="28"/>
        </w:rPr>
      </w:pPr>
    </w:p>
    <w:p>
      <w:pPr>
        <w:pStyle w:val="2"/>
        <w:spacing w:before="100" w:after="100"/>
        <w:rPr>
          <w:rFonts w:hint="default" w:cs="宋体"/>
          <w:spacing w:val="4"/>
          <w:kern w:val="0"/>
          <w:sz w:val="21"/>
          <w:szCs w:val="28"/>
        </w:rPr>
      </w:pPr>
    </w:p>
    <w:p>
      <w:pPr>
        <w:pStyle w:val="2"/>
        <w:spacing w:before="100" w:after="100"/>
        <w:rPr>
          <w:rFonts w:hint="default" w:cs="宋体"/>
          <w:spacing w:val="4"/>
          <w:kern w:val="0"/>
          <w:sz w:val="21"/>
          <w:szCs w:val="28"/>
        </w:rPr>
      </w:pPr>
    </w:p>
    <w:p>
      <w:pPr>
        <w:pStyle w:val="2"/>
        <w:spacing w:before="100" w:after="100"/>
        <w:rPr>
          <w:rFonts w:hint="default" w:cs="宋体"/>
          <w:spacing w:val="4"/>
          <w:kern w:val="0"/>
          <w:sz w:val="21"/>
          <w:szCs w:val="28"/>
        </w:rPr>
      </w:pPr>
    </w:p>
    <w:p>
      <w:pPr>
        <w:pStyle w:val="2"/>
        <w:spacing w:before="100" w:after="100"/>
        <w:rPr>
          <w:rFonts w:hint="default" w:cs="宋体"/>
          <w:spacing w:val="4"/>
          <w:kern w:val="0"/>
          <w:sz w:val="21"/>
          <w:szCs w:val="28"/>
        </w:rPr>
      </w:pPr>
    </w:p>
    <w:p>
      <w:pPr>
        <w:pStyle w:val="2"/>
        <w:spacing w:before="100" w:after="100"/>
        <w:rPr>
          <w:rFonts w:hint="default" w:cs="宋体"/>
          <w:spacing w:val="4"/>
          <w:kern w:val="0"/>
          <w:sz w:val="21"/>
          <w:szCs w:val="28"/>
        </w:rPr>
      </w:pPr>
    </w:p>
    <w:p>
      <w:pPr>
        <w:pStyle w:val="2"/>
        <w:spacing w:before="100" w:after="100"/>
        <w:rPr>
          <w:rFonts w:hint="default" w:cs="宋体"/>
          <w:spacing w:val="4"/>
          <w:kern w:val="0"/>
          <w:sz w:val="21"/>
          <w:szCs w:val="28"/>
        </w:rPr>
      </w:pPr>
    </w:p>
    <w:p>
      <w:pPr>
        <w:pStyle w:val="2"/>
        <w:spacing w:before="100" w:after="100"/>
        <w:rPr>
          <w:rFonts w:hint="default" w:cs="宋体"/>
          <w:spacing w:val="4"/>
          <w:kern w:val="0"/>
          <w:sz w:val="21"/>
          <w:szCs w:val="28"/>
        </w:rPr>
      </w:pPr>
    </w:p>
    <w:p>
      <w:pPr>
        <w:pStyle w:val="2"/>
        <w:spacing w:before="100" w:after="100"/>
        <w:rPr>
          <w:rFonts w:hint="default" w:cs="宋体"/>
          <w:spacing w:val="4"/>
          <w:kern w:val="0"/>
          <w:sz w:val="21"/>
          <w:szCs w:val="28"/>
        </w:rPr>
      </w:pPr>
    </w:p>
    <w:p>
      <w:pPr>
        <w:pStyle w:val="2"/>
        <w:spacing w:before="100" w:after="100"/>
        <w:rPr>
          <w:rFonts w:hint="default" w:hAnsi="Arial" w:cs="宋体"/>
          <w:kern w:val="0"/>
          <w:sz w:val="22"/>
          <w:szCs w:val="32"/>
        </w:rPr>
      </w:pPr>
      <w:bookmarkStart w:id="120" w:name="_Toc11921482"/>
      <w:r>
        <w:rPr>
          <w:rFonts w:cs="宋体"/>
          <w:spacing w:val="4"/>
          <w:kern w:val="0"/>
          <w:sz w:val="21"/>
          <w:szCs w:val="28"/>
        </w:rPr>
        <w:t xml:space="preserve">附件                </w:t>
      </w:r>
      <w:r>
        <w:rPr>
          <w:rFonts w:hAnsi="Arial" w:cs="宋体"/>
          <w:kern w:val="0"/>
          <w:sz w:val="22"/>
          <w:szCs w:val="32"/>
        </w:rPr>
        <w:t>各专业隐患排查表</w:t>
      </w:r>
      <w:bookmarkEnd w:id="119"/>
      <w:bookmarkEnd w:id="120"/>
    </w:p>
    <w:p>
      <w:pPr>
        <w:rPr>
          <w:rFonts w:ascii="宋体" w:hAnsi="Arial" w:cs="宋体"/>
          <w:kern w:val="0"/>
          <w:sz w:val="20"/>
        </w:rPr>
      </w:pPr>
    </w:p>
    <w:p>
      <w:pPr>
        <w:ind w:firstLine="363" w:firstLineChars="227"/>
        <w:rPr>
          <w:rFonts w:ascii="宋体" w:hAnsi="Arial" w:cs="宋体"/>
          <w:kern w:val="0"/>
          <w:sz w:val="16"/>
          <w:szCs w:val="21"/>
        </w:rPr>
      </w:pPr>
      <w:r>
        <w:rPr>
          <w:rFonts w:hint="eastAsia" w:ascii="宋体" w:hAnsi="Arial" w:cs="宋体"/>
          <w:kern w:val="0"/>
          <w:sz w:val="16"/>
          <w:szCs w:val="21"/>
        </w:rPr>
        <w:t>说明</w:t>
      </w:r>
      <w:r>
        <w:rPr>
          <w:rFonts w:ascii="宋体" w:hAnsi="Arial" w:cs="宋体"/>
          <w:kern w:val="0"/>
          <w:sz w:val="16"/>
          <w:szCs w:val="21"/>
        </w:rPr>
        <w:t>:</w:t>
      </w:r>
    </w:p>
    <w:p>
      <w:pPr>
        <w:ind w:firstLine="363" w:firstLineChars="227"/>
        <w:rPr>
          <w:rFonts w:ascii="宋体" w:hAnsi="Arial" w:cs="宋体"/>
          <w:kern w:val="0"/>
          <w:sz w:val="16"/>
          <w:szCs w:val="21"/>
        </w:rPr>
      </w:pPr>
      <w:r>
        <w:rPr>
          <w:rFonts w:ascii="宋体" w:hAnsi="Arial" w:cs="宋体"/>
          <w:kern w:val="0"/>
          <w:sz w:val="16"/>
          <w:szCs w:val="21"/>
        </w:rPr>
        <w:t>1.</w:t>
      </w:r>
      <w:r>
        <w:rPr>
          <w:rFonts w:hint="eastAsia" w:ascii="宋体" w:hAnsi="Arial" w:cs="宋体"/>
          <w:kern w:val="0"/>
          <w:sz w:val="16"/>
          <w:szCs w:val="21"/>
        </w:rPr>
        <w:t>表中排查频次为最小频次</w:t>
      </w:r>
      <w:r>
        <w:rPr>
          <w:rFonts w:ascii="宋体" w:hAnsi="Arial" w:cs="宋体"/>
          <w:kern w:val="0"/>
          <w:sz w:val="16"/>
          <w:szCs w:val="21"/>
        </w:rPr>
        <w:t>,</w:t>
      </w:r>
      <w:r>
        <w:rPr>
          <w:rFonts w:hint="eastAsia" w:ascii="宋体" w:hAnsi="Arial" w:cs="宋体"/>
          <w:kern w:val="0"/>
          <w:sz w:val="16"/>
          <w:szCs w:val="21"/>
        </w:rPr>
        <w:t>单位自己安排频次不能少于表中规定频次。</w:t>
      </w:r>
    </w:p>
    <w:p>
      <w:pPr>
        <w:ind w:firstLine="363" w:firstLineChars="227"/>
        <w:rPr>
          <w:rFonts w:ascii="宋体" w:hAnsi="Arial" w:cs="宋体"/>
          <w:kern w:val="0"/>
          <w:sz w:val="16"/>
          <w:szCs w:val="21"/>
        </w:rPr>
      </w:pPr>
      <w:r>
        <w:rPr>
          <w:rFonts w:ascii="宋体" w:hAnsi="Arial" w:cs="宋体"/>
          <w:kern w:val="0"/>
          <w:sz w:val="16"/>
          <w:szCs w:val="21"/>
        </w:rPr>
        <w:t>2.</w:t>
      </w:r>
      <w:r>
        <w:rPr>
          <w:rFonts w:hint="eastAsia" w:ascii="宋体" w:hAnsi="Arial" w:cs="宋体"/>
          <w:kern w:val="0"/>
          <w:sz w:val="16"/>
          <w:szCs w:val="21"/>
        </w:rPr>
        <w:t>表中排查内容单位可以根据实际增加相关内容，但不能减少。</w:t>
      </w:r>
    </w:p>
    <w:p>
      <w:pPr>
        <w:ind w:firstLine="363" w:firstLineChars="227"/>
        <w:rPr>
          <w:rFonts w:ascii="宋体" w:hAnsi="Arial" w:cs="宋体"/>
          <w:kern w:val="0"/>
          <w:sz w:val="16"/>
          <w:szCs w:val="21"/>
        </w:rPr>
      </w:pPr>
      <w:r>
        <w:rPr>
          <w:rFonts w:ascii="宋体" w:hAnsi="Arial" w:cs="宋体"/>
          <w:kern w:val="0"/>
          <w:sz w:val="16"/>
          <w:szCs w:val="21"/>
        </w:rPr>
        <w:t>3.</w:t>
      </w:r>
      <w:r>
        <w:rPr>
          <w:rFonts w:hint="eastAsia" w:ascii="宋体" w:hAnsi="Arial" w:cs="宋体"/>
          <w:kern w:val="0"/>
          <w:sz w:val="16"/>
          <w:szCs w:val="21"/>
        </w:rPr>
        <w:t>发生较大以上事故、有关法律法规标准发生变化、企业内外部安全生产环境发生重大变化时及时进行隐患排查。</w:t>
      </w:r>
    </w:p>
    <w:p>
      <w:pPr>
        <w:ind w:firstLine="454" w:firstLineChars="227"/>
        <w:rPr>
          <w:rFonts w:ascii="宋体" w:hAnsi="Arial" w:cs="宋体"/>
          <w:kern w:val="0"/>
          <w:sz w:val="20"/>
        </w:rPr>
      </w:pPr>
    </w:p>
    <w:p>
      <w:pPr>
        <w:pStyle w:val="3"/>
        <w:rPr>
          <w:rFonts w:hint="default"/>
          <w:sz w:val="21"/>
          <w:szCs w:val="28"/>
        </w:rPr>
      </w:pPr>
      <w:bookmarkStart w:id="121" w:name="_Toc11921483"/>
      <w:r>
        <w:rPr>
          <w:sz w:val="21"/>
          <w:szCs w:val="28"/>
        </w:rPr>
        <w:t>1 安全基础管理隐患排查表</w:t>
      </w:r>
      <w:bookmarkEnd w:id="121"/>
    </w:p>
    <w:tbl>
      <w:tblPr>
        <w:tblStyle w:val="11"/>
        <w:tblW w:w="8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4240"/>
        <w:gridCol w:w="2700"/>
        <w:gridCol w:w="1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67"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40"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00"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0"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7"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一、安全管理机构的建立、安全生产责任制、安全管理制度的健全和落实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jc w:val="center"/>
              <w:rPr>
                <w:rFonts w:ascii="宋体" w:hAnsi="宋体" w:cs="宋体"/>
                <w:kern w:val="0"/>
                <w:sz w:val="13"/>
                <w:szCs w:val="18"/>
              </w:rPr>
            </w:pPr>
          </w:p>
          <w:p>
            <w:pPr>
              <w:jc w:val="center"/>
              <w:rPr>
                <w:rFonts w:ascii="宋体" w:hAnsi="宋体" w:cs="宋体"/>
                <w:kern w:val="0"/>
                <w:sz w:val="13"/>
                <w:szCs w:val="18"/>
              </w:rPr>
            </w:pPr>
            <w:r>
              <w:rPr>
                <w:rFonts w:ascii="宋体" w:hAnsi="宋体" w:cs="宋体"/>
                <w:kern w:val="0"/>
                <w:sz w:val="13"/>
                <w:szCs w:val="18"/>
              </w:rPr>
              <w:t>1</w:t>
            </w:r>
          </w:p>
        </w:tc>
        <w:tc>
          <w:tcPr>
            <w:tcW w:w="4240" w:type="dxa"/>
          </w:tcPr>
          <w:p>
            <w:pPr>
              <w:rPr>
                <w:rFonts w:ascii="宋体" w:hAnsi="宋体" w:cs="宋体"/>
                <w:kern w:val="0"/>
                <w:sz w:val="13"/>
                <w:szCs w:val="18"/>
              </w:rPr>
            </w:pPr>
            <w:r>
              <w:rPr>
                <w:rFonts w:hint="eastAsia" w:ascii="宋体" w:hAnsi="宋体" w:cs="宋体"/>
                <w:kern w:val="0"/>
                <w:sz w:val="13"/>
                <w:szCs w:val="18"/>
              </w:rPr>
              <w:t>企业应当依法设</w:t>
            </w:r>
            <w:r>
              <w:fldChar w:fldCharType="begin"/>
            </w:r>
            <w:r>
              <w:instrText xml:space="preserve"> HYPERLINK "http://baike.baidu.com/view/3111097.htm" </w:instrText>
            </w:r>
            <w:r>
              <w:fldChar w:fldCharType="separate"/>
            </w:r>
            <w:r>
              <w:rPr>
                <w:rFonts w:hint="eastAsia" w:ascii="宋体" w:hAnsi="宋体" w:cs="宋体"/>
                <w:kern w:val="0"/>
                <w:sz w:val="13"/>
                <w:szCs w:val="18"/>
              </w:rPr>
              <w:t>置安全生产管理</w:t>
            </w:r>
            <w:r>
              <w:rPr>
                <w:rFonts w:hint="eastAsia" w:ascii="宋体" w:hAnsi="宋体" w:cs="宋体"/>
                <w:kern w:val="0"/>
                <w:sz w:val="13"/>
                <w:szCs w:val="18"/>
              </w:rPr>
              <w:fldChar w:fldCharType="end"/>
            </w:r>
            <w:r>
              <w:rPr>
                <w:rFonts w:hint="eastAsia" w:ascii="宋体" w:hAnsi="宋体" w:cs="宋体"/>
                <w:kern w:val="0"/>
                <w:sz w:val="13"/>
                <w:szCs w:val="18"/>
              </w:rPr>
              <w:t>机构，配备专职安全生产管理人员。配备的专职安全生产管理人员必须能够满足安全生产的需要。</w:t>
            </w:r>
          </w:p>
        </w:tc>
        <w:tc>
          <w:tcPr>
            <w:tcW w:w="2700" w:type="dxa"/>
          </w:tcPr>
          <w:p>
            <w:pPr>
              <w:rPr>
                <w:rFonts w:ascii="宋体" w:hAnsi="宋体" w:cs="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19 </w:t>
            </w:r>
            <w:r>
              <w:rPr>
                <w:rFonts w:hint="eastAsia" w:ascii="宋体" w:hAnsi="宋体" w:cs="宋体"/>
                <w:kern w:val="0"/>
                <w:sz w:val="13"/>
                <w:szCs w:val="18"/>
              </w:rPr>
              <w:t>条《危险化学品生产企业安全生产许可证实施办法》（国家安全监管总局令第</w:t>
            </w:r>
            <w:r>
              <w:rPr>
                <w:rFonts w:ascii="宋体" w:hAnsi="宋体" w:cs="宋体"/>
                <w:kern w:val="0"/>
                <w:sz w:val="13"/>
                <w:szCs w:val="18"/>
              </w:rPr>
              <w:t xml:space="preserve"> 41 </w:t>
            </w:r>
            <w:r>
              <w:rPr>
                <w:rFonts w:hint="eastAsia" w:ascii="宋体" w:hAnsi="宋体" w:cs="宋体"/>
                <w:kern w:val="0"/>
                <w:sz w:val="13"/>
                <w:szCs w:val="18"/>
              </w:rPr>
              <w:t>号）第</w:t>
            </w:r>
            <w:r>
              <w:rPr>
                <w:rFonts w:ascii="宋体" w:hAnsi="宋体" w:cs="宋体"/>
                <w:kern w:val="0"/>
                <w:sz w:val="13"/>
                <w:szCs w:val="18"/>
              </w:rPr>
              <w:t xml:space="preserve"> 12 </w:t>
            </w:r>
            <w:r>
              <w:rPr>
                <w:rFonts w:hint="eastAsia" w:ascii="宋体" w:hAnsi="宋体" w:cs="宋体"/>
                <w:kern w:val="0"/>
                <w:sz w:val="13"/>
                <w:szCs w:val="18"/>
              </w:rPr>
              <w:t>条</w:t>
            </w:r>
          </w:p>
        </w:tc>
        <w:tc>
          <w:tcPr>
            <w:tcW w:w="1160"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建立、健全安全生产责任制度，包括单位主要负责人在内的各级人员岗位安全责任制度。</w:t>
            </w:r>
          </w:p>
        </w:tc>
        <w:tc>
          <w:tcPr>
            <w:tcW w:w="2700" w:type="dxa"/>
            <w:tcMar>
              <w:left w:w="0" w:type="dxa"/>
              <w:right w:w="0" w:type="dxa"/>
            </w:tcMar>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《危险化学品安全管理条例》第</w:t>
            </w:r>
            <w:r>
              <w:rPr>
                <w:rFonts w:ascii="宋体" w:hAnsi="宋体" w:cs="宋体"/>
                <w:kern w:val="0"/>
                <w:sz w:val="13"/>
                <w:szCs w:val="18"/>
              </w:rPr>
              <w:t xml:space="preserve"> </w:t>
            </w:r>
            <w:r>
              <w:rPr>
                <w:rFonts w:ascii="宋体" w:hAnsi="宋体" w:cs="Arial"/>
                <w:kern w:val="0"/>
                <w:sz w:val="13"/>
                <w:szCs w:val="18"/>
              </w:rPr>
              <w:t xml:space="preserve">4 </w:t>
            </w:r>
            <w:r>
              <w:rPr>
                <w:rFonts w:hint="eastAsia" w:ascii="宋体" w:hAnsi="宋体" w:cs="宋体"/>
                <w:kern w:val="0"/>
                <w:sz w:val="13"/>
                <w:szCs w:val="18"/>
              </w:rPr>
              <w:t>条《危险化学品生产企业安全生产许可证实施办法》（国家安全监管总局令第</w:t>
            </w:r>
            <w:r>
              <w:rPr>
                <w:rFonts w:ascii="宋体" w:hAnsi="宋体" w:cs="宋体"/>
                <w:kern w:val="0"/>
                <w:sz w:val="13"/>
                <w:szCs w:val="18"/>
              </w:rPr>
              <w:t xml:space="preserve"> </w:t>
            </w:r>
            <w:r>
              <w:rPr>
                <w:rFonts w:ascii="宋体" w:hAnsi="宋体" w:cs="Arial"/>
                <w:kern w:val="0"/>
                <w:sz w:val="13"/>
                <w:szCs w:val="18"/>
              </w:rPr>
              <w:t xml:space="preserve">41 </w:t>
            </w:r>
            <w:r>
              <w:rPr>
                <w:rFonts w:hint="eastAsia" w:ascii="宋体" w:hAnsi="宋体" w:cs="宋体"/>
                <w:kern w:val="0"/>
                <w:sz w:val="13"/>
                <w:szCs w:val="18"/>
              </w:rPr>
              <w:t>号）第</w:t>
            </w:r>
            <w:r>
              <w:rPr>
                <w:rFonts w:ascii="宋体" w:hAnsi="宋体" w:cs="宋体"/>
                <w:kern w:val="0"/>
                <w:sz w:val="13"/>
                <w:szCs w:val="18"/>
              </w:rPr>
              <w:t xml:space="preserve"> </w:t>
            </w:r>
            <w:r>
              <w:rPr>
                <w:rFonts w:ascii="宋体" w:hAnsi="宋体" w:cs="Arial"/>
                <w:kern w:val="0"/>
                <w:sz w:val="13"/>
                <w:szCs w:val="18"/>
              </w:rPr>
              <w:t xml:space="preserve">13 </w:t>
            </w:r>
            <w:r>
              <w:rPr>
                <w:rFonts w:hint="eastAsia" w:ascii="宋体" w:hAnsi="宋体" w:cs="宋体"/>
                <w:kern w:val="0"/>
                <w:sz w:val="13"/>
                <w:szCs w:val="18"/>
              </w:rPr>
              <w:t>条</w:t>
            </w:r>
          </w:p>
        </w:tc>
        <w:tc>
          <w:tcPr>
            <w:tcW w:w="1160" w:type="dxa"/>
            <w:vMerge w:val="continue"/>
            <w:tcMar>
              <w:left w:w="28" w:type="dxa"/>
              <w:right w:w="28" w:type="dxa"/>
            </w:tcMar>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企业应设置安委会，建立、健全从安委会到基层班组的安全生产管理网络。</w:t>
            </w:r>
          </w:p>
        </w:tc>
        <w:tc>
          <w:tcPr>
            <w:tcW w:w="2700" w:type="dxa"/>
            <w:tcMar>
              <w:left w:w="0" w:type="dxa"/>
              <w:right w:w="0" w:type="dxa"/>
            </w:tcMar>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《危险化学品从业单位安全标准化通用规范》（</w:t>
            </w:r>
            <w:r>
              <w:rPr>
                <w:rFonts w:hint="eastAsia" w:ascii="宋体" w:hAnsi="宋体" w:cs="Arial"/>
                <w:kern w:val="0"/>
                <w:sz w:val="13"/>
                <w:szCs w:val="18"/>
              </w:rPr>
              <w:t>AQ</w:t>
            </w:r>
            <w:r>
              <w:rPr>
                <w:rFonts w:ascii="宋体" w:hAnsi="宋体" w:cs="Arial"/>
                <w:kern w:val="0"/>
                <w:sz w:val="13"/>
                <w:szCs w:val="18"/>
              </w:rPr>
              <w:t>3013</w:t>
            </w:r>
            <w:r>
              <w:rPr>
                <w:rFonts w:hint="eastAsia" w:ascii="宋体" w:hAnsi="宋体" w:cs="宋体"/>
                <w:kern w:val="0"/>
                <w:sz w:val="13"/>
                <w:szCs w:val="18"/>
              </w:rPr>
              <w:t>-</w:t>
            </w:r>
            <w:r>
              <w:rPr>
                <w:rFonts w:ascii="宋体" w:hAnsi="宋体" w:cs="Arial"/>
                <w:kern w:val="0"/>
                <w:sz w:val="13"/>
                <w:szCs w:val="18"/>
              </w:rPr>
              <w:t>200</w:t>
            </w:r>
            <w:r>
              <w:rPr>
                <w:rFonts w:hint="eastAsia" w:ascii="宋体" w:hAnsi="宋体" w:cs="Arial"/>
                <w:kern w:val="0"/>
                <w:sz w:val="13"/>
                <w:szCs w:val="18"/>
              </w:rPr>
              <w:t>8）</w:t>
            </w:r>
          </w:p>
        </w:tc>
        <w:tc>
          <w:tcPr>
            <w:tcW w:w="1160" w:type="dxa"/>
            <w:vMerge w:val="continue"/>
            <w:tcMar>
              <w:left w:w="28" w:type="dxa"/>
              <w:right w:w="28" w:type="dxa"/>
            </w:tcMar>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企业应建立安全生产责任制考核机制，对各级管理部门、管理人员及从业人员安全职责的履行情况和安全生产责任制的实现情况进行定期考核，予以奖惩。</w:t>
            </w:r>
          </w:p>
        </w:tc>
        <w:tc>
          <w:tcPr>
            <w:tcW w:w="2700" w:type="dxa"/>
            <w:tcMar>
              <w:left w:w="0" w:type="dxa"/>
              <w:right w:w="0" w:type="dxa"/>
            </w:tcMar>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《危险化学品从业单位安全标准化通用规范》（</w:t>
            </w:r>
            <w:r>
              <w:rPr>
                <w:rFonts w:ascii="宋体" w:hAnsi="宋体" w:cs="Arial"/>
                <w:kern w:val="0"/>
                <w:sz w:val="13"/>
                <w:szCs w:val="18"/>
              </w:rPr>
              <w:t>AQ 3013</w:t>
            </w:r>
            <w:r>
              <w:rPr>
                <w:rFonts w:hint="eastAsia" w:ascii="宋体" w:hAnsi="宋体" w:cs="宋体"/>
                <w:kern w:val="0"/>
                <w:sz w:val="13"/>
                <w:szCs w:val="18"/>
              </w:rPr>
              <w:t>–</w:t>
            </w:r>
            <w:r>
              <w:rPr>
                <w:rFonts w:ascii="宋体" w:hAnsi="宋体" w:cs="Arial"/>
                <w:kern w:val="0"/>
                <w:sz w:val="13"/>
                <w:szCs w:val="18"/>
              </w:rPr>
              <w:t>200</w:t>
            </w:r>
            <w:r>
              <w:rPr>
                <w:rFonts w:hint="eastAsia" w:ascii="宋体" w:hAnsi="宋体" w:cs="宋体"/>
                <w:kern w:val="0"/>
                <w:sz w:val="13"/>
                <w:szCs w:val="18"/>
              </w:rPr>
              <w:t>8）</w:t>
            </w:r>
          </w:p>
        </w:tc>
        <w:tc>
          <w:tcPr>
            <w:tcW w:w="1160" w:type="dxa"/>
            <w:tcMar>
              <w:left w:w="28" w:type="dxa"/>
              <w:right w:w="28" w:type="dxa"/>
            </w:tcMar>
          </w:tcPr>
          <w:p>
            <w:pPr>
              <w:autoSpaceDE w:val="0"/>
              <w:autoSpaceDN w:val="0"/>
              <w:adjustRightInd w:val="0"/>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企业应当根据化工工艺、装置、设施等实际情况，制定完善下列主要安全生产规章制度：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安全生产例会</w:t>
            </w:r>
            <w:r>
              <w:fldChar w:fldCharType="begin"/>
            </w:r>
            <w:r>
              <w:instrText xml:space="preserve"> HYPERLINK "http://baike.baidu.com/view/2210441.htm" </w:instrText>
            </w:r>
            <w:r>
              <w:fldChar w:fldCharType="separate"/>
            </w:r>
            <w:r>
              <w:rPr>
                <w:rFonts w:hint="eastAsia" w:ascii="宋体" w:hAnsi="宋体" w:cs="宋体"/>
                <w:kern w:val="0"/>
                <w:sz w:val="13"/>
                <w:szCs w:val="18"/>
              </w:rPr>
              <w:t>等安全生产会议制度</w:t>
            </w:r>
            <w:r>
              <w:rPr>
                <w:rFonts w:hint="eastAsia" w:ascii="宋体" w:hAnsi="宋体" w:cs="宋体"/>
                <w:kern w:val="0"/>
                <w:sz w:val="13"/>
                <w:szCs w:val="18"/>
              </w:rPr>
              <w:fldChar w:fldCharType="end"/>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安全投入保障制度；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fldChar w:fldCharType="begin"/>
            </w:r>
            <w:r>
              <w:instrText xml:space="preserve"> HYPERLINK "http://baike.baidu.com/view/3669580.htm" </w:instrText>
            </w:r>
            <w:r>
              <w:fldChar w:fldCharType="separate"/>
            </w:r>
            <w:r>
              <w:rPr>
                <w:rFonts w:hint="eastAsia" w:ascii="宋体" w:hAnsi="宋体" w:cs="宋体"/>
                <w:kern w:val="0"/>
                <w:sz w:val="13"/>
                <w:szCs w:val="18"/>
              </w:rPr>
              <w:t>安全生产奖惩制度</w:t>
            </w:r>
            <w:r>
              <w:rPr>
                <w:rFonts w:hint="eastAsia" w:ascii="宋体" w:hAnsi="宋体" w:cs="宋体"/>
                <w:kern w:val="0"/>
                <w:sz w:val="13"/>
                <w:szCs w:val="18"/>
              </w:rPr>
              <w:fldChar w:fldCharType="end"/>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安全培训教育制度；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领导干部轮流现场带班制度；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特种作业人员</w:t>
            </w:r>
            <w:r>
              <w:fldChar w:fldCharType="begin"/>
            </w:r>
            <w:r>
              <w:instrText xml:space="preserve"> HYPERLINK "http://baike.baidu.com/view/673434.htm" </w:instrText>
            </w:r>
            <w:r>
              <w:fldChar w:fldCharType="separate"/>
            </w:r>
            <w:r>
              <w:rPr>
                <w:rFonts w:hint="eastAsia" w:ascii="宋体" w:hAnsi="宋体" w:cs="宋体"/>
                <w:kern w:val="0"/>
                <w:sz w:val="13"/>
                <w:szCs w:val="18"/>
              </w:rPr>
              <w:t>管理制度</w:t>
            </w:r>
            <w:r>
              <w:rPr>
                <w:rFonts w:hint="eastAsia" w:ascii="宋体" w:hAnsi="宋体" w:cs="宋体"/>
                <w:kern w:val="0"/>
                <w:sz w:val="13"/>
                <w:szCs w:val="18"/>
              </w:rPr>
              <w:fldChar w:fldCharType="end"/>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ascii="宋体" w:hAnsi="宋体" w:cs="Arial"/>
                <w:kern w:val="0"/>
                <w:sz w:val="13"/>
                <w:szCs w:val="18"/>
              </w:rPr>
              <w:t>7.</w:t>
            </w:r>
            <w:r>
              <w:rPr>
                <w:rFonts w:hint="eastAsia" w:ascii="宋体" w:hAnsi="宋体" w:cs="宋体"/>
                <w:kern w:val="0"/>
                <w:sz w:val="13"/>
                <w:szCs w:val="18"/>
              </w:rPr>
              <w:t>安全检查</w:t>
            </w:r>
            <w:r>
              <w:fldChar w:fldCharType="begin"/>
            </w:r>
            <w:r>
              <w:instrText xml:space="preserve"> HYPERLINK "http://baike.baidu.com/view/4205067.htm" </w:instrText>
            </w:r>
            <w:r>
              <w:fldChar w:fldCharType="separate"/>
            </w:r>
            <w:r>
              <w:rPr>
                <w:rFonts w:hint="eastAsia" w:ascii="宋体" w:hAnsi="宋体" w:cs="宋体"/>
                <w:kern w:val="0"/>
                <w:sz w:val="13"/>
                <w:szCs w:val="18"/>
              </w:rPr>
              <w:t>和隐患排查治理</w:t>
            </w:r>
            <w:r>
              <w:rPr>
                <w:rFonts w:hint="eastAsia" w:ascii="宋体" w:hAnsi="宋体" w:cs="宋体"/>
                <w:kern w:val="0"/>
                <w:sz w:val="13"/>
                <w:szCs w:val="18"/>
              </w:rPr>
              <w:fldChar w:fldCharType="end"/>
            </w:r>
            <w:r>
              <w:rPr>
                <w:rFonts w:hint="eastAsia" w:ascii="宋体" w:hAnsi="宋体" w:cs="宋体"/>
                <w:kern w:val="0"/>
                <w:sz w:val="13"/>
                <w:szCs w:val="18"/>
              </w:rPr>
              <w:t>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8.</w:t>
            </w:r>
            <w:r>
              <w:rPr>
                <w:rFonts w:hint="eastAsia" w:ascii="宋体" w:hAnsi="宋体" w:cs="宋体"/>
                <w:kern w:val="0"/>
                <w:sz w:val="13"/>
                <w:szCs w:val="18"/>
              </w:rPr>
              <w:t>重大危险源评估和安全管理制度；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9.</w:t>
            </w:r>
            <w:r>
              <w:rPr>
                <w:rFonts w:hint="eastAsia" w:ascii="宋体" w:hAnsi="宋体" w:cs="宋体"/>
                <w:kern w:val="0"/>
                <w:sz w:val="13"/>
                <w:szCs w:val="18"/>
              </w:rPr>
              <w:t>变更管理制度；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10.</w:t>
            </w:r>
            <w:r>
              <w:rPr>
                <w:rFonts w:hint="eastAsia" w:ascii="宋体" w:hAnsi="宋体" w:cs="宋体"/>
                <w:kern w:val="0"/>
                <w:sz w:val="13"/>
                <w:szCs w:val="18"/>
              </w:rPr>
              <w:t>应急管理制度；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11.</w:t>
            </w:r>
            <w:r>
              <w:rPr>
                <w:rFonts w:hint="eastAsia" w:ascii="宋体" w:hAnsi="宋体" w:cs="宋体"/>
                <w:kern w:val="0"/>
                <w:sz w:val="13"/>
                <w:szCs w:val="18"/>
              </w:rPr>
              <w:t>安全事故或者重大事件管理制度；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12.</w:t>
            </w:r>
            <w:r>
              <w:rPr>
                <w:rFonts w:hint="eastAsia" w:ascii="宋体" w:hAnsi="宋体" w:cs="宋体"/>
                <w:kern w:val="0"/>
                <w:sz w:val="13"/>
                <w:szCs w:val="18"/>
              </w:rPr>
              <w:t>防火、防爆、防中毒、防泄漏管理制度；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13.</w:t>
            </w:r>
            <w:r>
              <w:rPr>
                <w:rFonts w:hint="eastAsia" w:ascii="宋体" w:hAnsi="宋体" w:cs="宋体"/>
                <w:kern w:val="0"/>
                <w:sz w:val="13"/>
                <w:szCs w:val="18"/>
              </w:rPr>
              <w:t>工艺、设备、电气仪表、公用工程安全管理制度；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14.</w:t>
            </w:r>
            <w:r>
              <w:rPr>
                <w:rFonts w:hint="eastAsia" w:ascii="宋体" w:hAnsi="宋体" w:cs="宋体"/>
                <w:kern w:val="0"/>
                <w:sz w:val="13"/>
                <w:szCs w:val="18"/>
              </w:rPr>
              <w:t>动火、进入受限空间、吊装、高处、盲板抽堵、动土、断路、设备检维修等作业安全管理制度；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15.</w:t>
            </w:r>
            <w:r>
              <w:rPr>
                <w:rFonts w:hint="eastAsia" w:ascii="宋体" w:hAnsi="宋体" w:cs="宋体"/>
                <w:kern w:val="0"/>
                <w:sz w:val="13"/>
                <w:szCs w:val="18"/>
              </w:rPr>
              <w:t>危险化学品安全管理制度；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16.</w:t>
            </w:r>
            <w:r>
              <w:rPr>
                <w:rFonts w:hint="eastAsia" w:ascii="宋体" w:hAnsi="宋体" w:cs="宋体"/>
                <w:kern w:val="0"/>
                <w:sz w:val="13"/>
                <w:szCs w:val="18"/>
              </w:rPr>
              <w:t>职业健康相关管理制度；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17.</w:t>
            </w:r>
            <w:r>
              <w:rPr>
                <w:rFonts w:hint="eastAsia" w:ascii="宋体" w:hAnsi="宋体" w:cs="宋体"/>
                <w:kern w:val="0"/>
                <w:sz w:val="13"/>
                <w:szCs w:val="18"/>
              </w:rPr>
              <w:t>劳动防护用品使用维护管理制度；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18.</w:t>
            </w:r>
            <w:r>
              <w:rPr>
                <w:rFonts w:hint="eastAsia" w:ascii="宋体" w:hAnsi="宋体" w:cs="宋体"/>
                <w:kern w:val="0"/>
                <w:sz w:val="13"/>
                <w:szCs w:val="18"/>
              </w:rPr>
              <w:t>承包商管理制度；</w:t>
            </w:r>
          </w:p>
          <w:p>
            <w:pPr>
              <w:autoSpaceDE w:val="0"/>
              <w:autoSpaceDN w:val="0"/>
              <w:adjustRightInd w:val="0"/>
              <w:jc w:val="left"/>
              <w:rPr>
                <w:rFonts w:ascii="宋体" w:hAnsi="宋体"/>
                <w:kern w:val="0"/>
                <w:sz w:val="13"/>
                <w:szCs w:val="18"/>
              </w:rPr>
            </w:pPr>
            <w:r>
              <w:rPr>
                <w:rFonts w:ascii="宋体" w:hAnsi="宋体" w:cs="宋体"/>
                <w:kern w:val="0"/>
                <w:sz w:val="13"/>
                <w:szCs w:val="18"/>
              </w:rPr>
              <w:t>19.</w:t>
            </w:r>
            <w:r>
              <w:rPr>
                <w:rFonts w:hint="eastAsia" w:ascii="宋体" w:hAnsi="宋体" w:cs="宋体"/>
                <w:kern w:val="0"/>
                <w:sz w:val="13"/>
                <w:szCs w:val="18"/>
              </w:rPr>
              <w:t>安全管理制度及操作规程定期修订制度。</w:t>
            </w:r>
          </w:p>
        </w:tc>
        <w:tc>
          <w:tcPr>
            <w:tcW w:w="2700" w:type="dxa"/>
            <w:tcMar>
              <w:left w:w="0" w:type="dxa"/>
              <w:right w:w="0" w:type="dxa"/>
            </w:tcMar>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w:t>
            </w:r>
            <w:r>
              <w:rPr>
                <w:rFonts w:ascii="宋体" w:hAnsi="宋体" w:cs="Arial"/>
                <w:kern w:val="0"/>
                <w:sz w:val="13"/>
                <w:szCs w:val="18"/>
              </w:rPr>
              <w:t xml:space="preserve">17 </w:t>
            </w:r>
            <w:r>
              <w:rPr>
                <w:rFonts w:hint="eastAsia" w:ascii="宋体" w:hAnsi="宋体" w:cs="宋体"/>
                <w:kern w:val="0"/>
                <w:sz w:val="13"/>
                <w:szCs w:val="18"/>
              </w:rPr>
              <w:t>条《危险化学品生产企业安全生产许可证实施办法》（国家安全监管总局令第</w:t>
            </w:r>
            <w:r>
              <w:rPr>
                <w:rFonts w:ascii="宋体" w:hAnsi="宋体" w:cs="宋体"/>
                <w:kern w:val="0"/>
                <w:sz w:val="13"/>
                <w:szCs w:val="18"/>
              </w:rPr>
              <w:t xml:space="preserve"> </w:t>
            </w:r>
            <w:r>
              <w:rPr>
                <w:rFonts w:ascii="宋体" w:hAnsi="宋体" w:cs="Arial"/>
                <w:kern w:val="0"/>
                <w:sz w:val="13"/>
                <w:szCs w:val="18"/>
              </w:rPr>
              <w:t xml:space="preserve">41 </w:t>
            </w:r>
            <w:r>
              <w:rPr>
                <w:rFonts w:hint="eastAsia" w:ascii="宋体" w:hAnsi="宋体" w:cs="宋体"/>
                <w:kern w:val="0"/>
                <w:sz w:val="13"/>
                <w:szCs w:val="18"/>
              </w:rPr>
              <w:t>号）第</w:t>
            </w:r>
            <w:r>
              <w:rPr>
                <w:rFonts w:ascii="宋体" w:hAnsi="宋体" w:cs="宋体"/>
                <w:kern w:val="0"/>
                <w:sz w:val="13"/>
                <w:szCs w:val="18"/>
              </w:rPr>
              <w:t xml:space="preserve"> </w:t>
            </w:r>
            <w:r>
              <w:rPr>
                <w:rFonts w:ascii="宋体" w:hAnsi="宋体" w:cs="Arial"/>
                <w:kern w:val="0"/>
                <w:sz w:val="13"/>
                <w:szCs w:val="18"/>
              </w:rPr>
              <w:t xml:space="preserve">14 </w:t>
            </w:r>
            <w:r>
              <w:rPr>
                <w:rFonts w:hint="eastAsia" w:ascii="宋体" w:hAnsi="宋体" w:cs="宋体"/>
                <w:kern w:val="0"/>
                <w:sz w:val="13"/>
                <w:szCs w:val="18"/>
              </w:rPr>
              <w:t>条</w:t>
            </w:r>
          </w:p>
        </w:tc>
        <w:tc>
          <w:tcPr>
            <w:tcW w:w="1160" w:type="dxa"/>
            <w:tcMar>
              <w:left w:w="28" w:type="dxa"/>
              <w:right w:w="28" w:type="dxa"/>
            </w:tcMar>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7"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二、企业安全生产费用的提取、使用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企业应当按照国家规定提取与安全生产有关的费用，并保证安全生产所必须的资金投入。危险品生产与储存企业以上年度实际营业收入为计提依据，采取超额累退方式按照以下标准平均逐月提取：</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营业收入不超过</w:t>
            </w:r>
            <w:r>
              <w:rPr>
                <w:rFonts w:ascii="宋体" w:hAnsi="宋体" w:cs="宋体"/>
                <w:kern w:val="0"/>
                <w:sz w:val="13"/>
                <w:szCs w:val="18"/>
              </w:rPr>
              <w:t xml:space="preserve"> 1000 </w:t>
            </w:r>
            <w:r>
              <w:rPr>
                <w:rFonts w:hint="eastAsia" w:ascii="宋体" w:hAnsi="宋体" w:cs="宋体"/>
                <w:kern w:val="0"/>
                <w:sz w:val="13"/>
                <w:szCs w:val="18"/>
              </w:rPr>
              <w:t>万元的，按照</w:t>
            </w:r>
            <w:r>
              <w:rPr>
                <w:rFonts w:ascii="宋体" w:hAnsi="宋体" w:cs="宋体"/>
                <w:kern w:val="0"/>
                <w:sz w:val="13"/>
                <w:szCs w:val="18"/>
              </w:rPr>
              <w:t xml:space="preserve"> 4%</w:t>
            </w:r>
            <w:r>
              <w:rPr>
                <w:rFonts w:hint="eastAsia" w:ascii="宋体" w:hAnsi="宋体" w:cs="宋体"/>
                <w:kern w:val="0"/>
                <w:sz w:val="13"/>
                <w:szCs w:val="18"/>
              </w:rPr>
              <w:t>提取；</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营业收入超过</w:t>
            </w:r>
            <w:r>
              <w:rPr>
                <w:rFonts w:ascii="宋体" w:hAnsi="宋体" w:cs="宋体"/>
                <w:kern w:val="0"/>
                <w:sz w:val="13"/>
                <w:szCs w:val="18"/>
              </w:rPr>
              <w:t xml:space="preserve"> 1000 </w:t>
            </w:r>
            <w:r>
              <w:rPr>
                <w:rFonts w:hint="eastAsia" w:ascii="宋体" w:hAnsi="宋体" w:cs="宋体"/>
                <w:kern w:val="0"/>
                <w:sz w:val="13"/>
                <w:szCs w:val="18"/>
              </w:rPr>
              <w:t>万元至</w:t>
            </w:r>
            <w:r>
              <w:rPr>
                <w:rFonts w:ascii="宋体" w:hAnsi="宋体" w:cs="宋体"/>
                <w:kern w:val="0"/>
                <w:sz w:val="13"/>
                <w:szCs w:val="18"/>
              </w:rPr>
              <w:t xml:space="preserve"> 1 </w:t>
            </w:r>
            <w:r>
              <w:rPr>
                <w:rFonts w:hint="eastAsia" w:ascii="宋体" w:hAnsi="宋体" w:cs="宋体"/>
                <w:kern w:val="0"/>
                <w:sz w:val="13"/>
                <w:szCs w:val="18"/>
              </w:rPr>
              <w:t>亿元的部分，按照</w:t>
            </w:r>
            <w:r>
              <w:rPr>
                <w:rFonts w:ascii="宋体" w:hAnsi="宋体" w:cs="宋体"/>
                <w:kern w:val="0"/>
                <w:sz w:val="13"/>
                <w:szCs w:val="18"/>
              </w:rPr>
              <w:t xml:space="preserve"> 2%</w:t>
            </w:r>
            <w:r>
              <w:rPr>
                <w:rFonts w:hint="eastAsia" w:ascii="宋体" w:hAnsi="宋体" w:cs="宋体"/>
                <w:kern w:val="0"/>
                <w:sz w:val="13"/>
                <w:szCs w:val="18"/>
              </w:rPr>
              <w:t>提取；</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营业收入超过</w:t>
            </w:r>
            <w:r>
              <w:rPr>
                <w:rFonts w:ascii="宋体" w:hAnsi="宋体" w:cs="宋体"/>
                <w:kern w:val="0"/>
                <w:sz w:val="13"/>
                <w:szCs w:val="18"/>
              </w:rPr>
              <w:t xml:space="preserve"> 1 </w:t>
            </w:r>
            <w:r>
              <w:rPr>
                <w:rFonts w:hint="eastAsia" w:ascii="宋体" w:hAnsi="宋体" w:cs="宋体"/>
                <w:kern w:val="0"/>
                <w:sz w:val="13"/>
                <w:szCs w:val="18"/>
              </w:rPr>
              <w:t>亿元至</w:t>
            </w:r>
            <w:r>
              <w:rPr>
                <w:rFonts w:ascii="宋体" w:hAnsi="宋体" w:cs="宋体"/>
                <w:kern w:val="0"/>
                <w:sz w:val="13"/>
                <w:szCs w:val="18"/>
              </w:rPr>
              <w:t xml:space="preserve"> 10 </w:t>
            </w:r>
            <w:r>
              <w:rPr>
                <w:rFonts w:hint="eastAsia" w:ascii="宋体" w:hAnsi="宋体" w:cs="宋体"/>
                <w:kern w:val="0"/>
                <w:sz w:val="13"/>
                <w:szCs w:val="18"/>
              </w:rPr>
              <w:t>亿元的部分，按照</w:t>
            </w:r>
            <w:r>
              <w:rPr>
                <w:rFonts w:ascii="宋体" w:hAnsi="宋体" w:cs="宋体"/>
                <w:kern w:val="0"/>
                <w:sz w:val="13"/>
                <w:szCs w:val="18"/>
              </w:rPr>
              <w:t xml:space="preserve"> 0.5%</w:t>
            </w:r>
            <w:r>
              <w:rPr>
                <w:rFonts w:hint="eastAsia" w:ascii="宋体" w:hAnsi="宋体" w:cs="宋体"/>
                <w:kern w:val="0"/>
                <w:sz w:val="13"/>
                <w:szCs w:val="18"/>
              </w:rPr>
              <w:t>提取；</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营业收入超过</w:t>
            </w:r>
            <w:r>
              <w:rPr>
                <w:rFonts w:ascii="宋体" w:hAnsi="宋体" w:cs="宋体"/>
                <w:kern w:val="0"/>
                <w:sz w:val="13"/>
                <w:szCs w:val="18"/>
              </w:rPr>
              <w:t xml:space="preserve"> 10 </w:t>
            </w:r>
            <w:r>
              <w:rPr>
                <w:rFonts w:hint="eastAsia" w:ascii="宋体" w:hAnsi="宋体" w:cs="宋体"/>
                <w:kern w:val="0"/>
                <w:sz w:val="13"/>
                <w:szCs w:val="18"/>
              </w:rPr>
              <w:t>亿元的部分，按照</w:t>
            </w:r>
            <w:r>
              <w:rPr>
                <w:rFonts w:ascii="宋体" w:hAnsi="宋体" w:cs="宋体"/>
                <w:kern w:val="0"/>
                <w:sz w:val="13"/>
                <w:szCs w:val="18"/>
              </w:rPr>
              <w:t xml:space="preserve"> 0.2%</w:t>
            </w:r>
            <w:r>
              <w:rPr>
                <w:rFonts w:hint="eastAsia" w:ascii="宋体" w:hAnsi="宋体" w:cs="宋体"/>
                <w:kern w:val="0"/>
                <w:sz w:val="13"/>
                <w:szCs w:val="18"/>
              </w:rPr>
              <w:t>提取。</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w:t>
            </w:r>
            <w:r>
              <w:rPr>
                <w:rFonts w:ascii="宋体" w:hAnsi="宋体" w:cs="Arial"/>
                <w:kern w:val="0"/>
                <w:sz w:val="13"/>
                <w:szCs w:val="18"/>
              </w:rPr>
              <w:t xml:space="preserve">18 </w:t>
            </w:r>
            <w:r>
              <w:rPr>
                <w:rFonts w:hint="eastAsia" w:ascii="宋体" w:hAnsi="宋体" w:cs="宋体"/>
                <w:kern w:val="0"/>
                <w:sz w:val="13"/>
                <w:szCs w:val="18"/>
              </w:rPr>
              <w:t>条《危险化学品生产企业安全生产许可证实施办法》（国家安全监管总局令第</w:t>
            </w:r>
            <w:r>
              <w:rPr>
                <w:rFonts w:ascii="宋体" w:hAnsi="宋体" w:cs="宋体"/>
                <w:kern w:val="0"/>
                <w:sz w:val="13"/>
                <w:szCs w:val="18"/>
              </w:rPr>
              <w:t xml:space="preserve"> </w:t>
            </w:r>
            <w:r>
              <w:rPr>
                <w:rFonts w:ascii="宋体" w:hAnsi="宋体" w:cs="Arial"/>
                <w:kern w:val="0"/>
                <w:sz w:val="13"/>
                <w:szCs w:val="18"/>
              </w:rPr>
              <w:t xml:space="preserve">41 </w:t>
            </w:r>
            <w:r>
              <w:rPr>
                <w:rFonts w:hint="eastAsia" w:ascii="宋体" w:hAnsi="宋体" w:cs="宋体"/>
                <w:kern w:val="0"/>
                <w:sz w:val="13"/>
                <w:szCs w:val="18"/>
              </w:rPr>
              <w:t>号）第</w:t>
            </w:r>
            <w:r>
              <w:rPr>
                <w:rFonts w:ascii="宋体" w:hAnsi="宋体" w:cs="宋体"/>
                <w:kern w:val="0"/>
                <w:sz w:val="13"/>
                <w:szCs w:val="18"/>
              </w:rPr>
              <w:t xml:space="preserve"> </w:t>
            </w:r>
            <w:r>
              <w:rPr>
                <w:rFonts w:ascii="宋体" w:hAnsi="宋体" w:cs="Arial"/>
                <w:kern w:val="0"/>
                <w:sz w:val="13"/>
                <w:szCs w:val="18"/>
              </w:rPr>
              <w:t xml:space="preserve">17 </w:t>
            </w:r>
            <w:r>
              <w:rPr>
                <w:rFonts w:hint="eastAsia" w:ascii="宋体" w:hAnsi="宋体" w:cs="宋体"/>
                <w:kern w:val="0"/>
                <w:sz w:val="13"/>
                <w:szCs w:val="18"/>
              </w:rPr>
              <w:t>条《企业安全生产费用提取和使用管理办法》第</w:t>
            </w:r>
            <w:r>
              <w:rPr>
                <w:rFonts w:ascii="宋体" w:hAnsi="宋体" w:cs="宋体"/>
                <w:kern w:val="0"/>
                <w:sz w:val="13"/>
                <w:szCs w:val="18"/>
              </w:rPr>
              <w:t xml:space="preserve"> </w:t>
            </w:r>
            <w:r>
              <w:rPr>
                <w:rFonts w:ascii="宋体" w:hAnsi="宋体" w:cs="Arial"/>
                <w:kern w:val="0"/>
                <w:sz w:val="13"/>
                <w:szCs w:val="18"/>
              </w:rPr>
              <w:t xml:space="preserve">8 </w:t>
            </w:r>
            <w:r>
              <w:rPr>
                <w:rFonts w:hint="eastAsia" w:ascii="宋体" w:hAnsi="宋体" w:cs="宋体"/>
                <w:kern w:val="0"/>
                <w:sz w:val="13"/>
                <w:szCs w:val="18"/>
              </w:rPr>
              <w:t>条</w:t>
            </w:r>
          </w:p>
        </w:tc>
        <w:tc>
          <w:tcPr>
            <w:tcW w:w="1160" w:type="dxa"/>
            <w:vMerge w:val="restart"/>
          </w:tcPr>
          <w:p>
            <w:pPr>
              <w:autoSpaceDE w:val="0"/>
              <w:autoSpaceDN w:val="0"/>
              <w:adjustRightInd w:val="0"/>
              <w:jc w:val="center"/>
              <w:rPr>
                <w:rFonts w:ascii="宋体" w:hAnsi="宋体" w:cs="Arial"/>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p>
          <w:p>
            <w:pPr>
              <w:autoSpaceDE w:val="0"/>
              <w:autoSpaceDN w:val="0"/>
              <w:adjustRightInd w:val="0"/>
              <w:jc w:val="center"/>
              <w:rPr>
                <w:rFonts w:ascii="宋体" w:hAnsi="宋体"/>
                <w:kern w:val="0"/>
                <w:sz w:val="13"/>
                <w:szCs w:val="18"/>
              </w:rPr>
            </w:pPr>
            <w:r>
              <w:rPr>
                <w:rFonts w:hint="eastAsia" w:ascii="宋体" w:hAnsi="宋体" w:cs="宋体"/>
                <w:kern w:val="0"/>
                <w:sz w:val="13"/>
                <w:szCs w:val="1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企业应按照规定的安全生产费用使用范围，合理使用安全生产费用，建立安全生产费用台账。</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安全生产的费用应当按照以下范围使用：</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完善、改造和维护安全防护设施设备支出；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配备、维护、保养应急救援器材、设备支出和应急演练支出；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开展重大危险源和事故隐患评估、监控和整改支出；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安全生产检查、评价（不包括新建、改建、扩建项目安全评价）、咨询和标准化建设支出；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配备和更新现场作业人员安全防护用品支出；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安全生产宣传、教育、培训支出；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7.</w:t>
            </w:r>
            <w:r>
              <w:rPr>
                <w:rFonts w:hint="eastAsia" w:ascii="宋体" w:hAnsi="宋体" w:cs="宋体"/>
                <w:kern w:val="0"/>
                <w:sz w:val="13"/>
                <w:szCs w:val="18"/>
              </w:rPr>
              <w:t>安全生产适用的新技术、新标准、新工艺、新装备的推广应用支出；；安全设施及特种设备检测检验支出；</w:t>
            </w:r>
          </w:p>
          <w:p>
            <w:pPr>
              <w:autoSpaceDE w:val="0"/>
              <w:autoSpaceDN w:val="0"/>
              <w:adjustRightInd w:val="0"/>
              <w:jc w:val="left"/>
              <w:rPr>
                <w:rFonts w:ascii="宋体" w:hAnsi="宋体"/>
                <w:kern w:val="0"/>
                <w:sz w:val="13"/>
                <w:szCs w:val="18"/>
              </w:rPr>
            </w:pPr>
            <w:r>
              <w:rPr>
                <w:rFonts w:ascii="宋体" w:hAnsi="宋体" w:cs="Arial"/>
                <w:kern w:val="0"/>
                <w:sz w:val="13"/>
                <w:szCs w:val="18"/>
              </w:rPr>
              <w:t>8.</w:t>
            </w:r>
            <w:r>
              <w:rPr>
                <w:rFonts w:hint="eastAsia" w:ascii="宋体" w:hAnsi="宋体" w:cs="宋体"/>
                <w:kern w:val="0"/>
                <w:sz w:val="13"/>
                <w:szCs w:val="18"/>
              </w:rPr>
              <w:t>其他与安全生产直接相关的支出。</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危险化学品从业单位安全标准</w:t>
            </w:r>
            <w:r>
              <w:rPr>
                <w:rFonts w:ascii="宋体" w:hAnsi="宋体" w:cs="宋体"/>
                <w:kern w:val="0"/>
                <w:sz w:val="13"/>
                <w:szCs w:val="18"/>
              </w:rPr>
              <w:t xml:space="preserve"> </w:t>
            </w:r>
            <w:r>
              <w:rPr>
                <w:rFonts w:hint="eastAsia" w:ascii="宋体" w:hAnsi="宋体" w:cs="宋体"/>
                <w:kern w:val="0"/>
                <w:sz w:val="13"/>
                <w:szCs w:val="18"/>
              </w:rPr>
              <w:t>化通用规范（</w:t>
            </w:r>
            <w:r>
              <w:rPr>
                <w:rFonts w:ascii="宋体" w:hAnsi="宋体" w:cs="Arial"/>
                <w:kern w:val="0"/>
                <w:sz w:val="13"/>
                <w:szCs w:val="18"/>
              </w:rPr>
              <w:t>AQ3013</w:t>
            </w:r>
            <w:r>
              <w:rPr>
                <w:rFonts w:hint="eastAsia" w:ascii="宋体" w:hAnsi="宋体" w:cs="宋体"/>
                <w:kern w:val="0"/>
                <w:sz w:val="13"/>
                <w:szCs w:val="18"/>
              </w:rPr>
              <w:t>–</w:t>
            </w:r>
            <w:r>
              <w:rPr>
                <w:rFonts w:ascii="宋体" w:hAnsi="宋体" w:cs="Arial"/>
                <w:kern w:val="0"/>
                <w:sz w:val="13"/>
                <w:szCs w:val="18"/>
              </w:rPr>
              <w:t>2008</w:t>
            </w:r>
            <w:r>
              <w:rPr>
                <w:rFonts w:hint="eastAsia" w:ascii="宋体" w:hAnsi="宋体" w:cs="宋体"/>
                <w:kern w:val="0"/>
                <w:sz w:val="13"/>
                <w:szCs w:val="18"/>
              </w:rPr>
              <w:t>）《企业安全生产费用提取和使</w:t>
            </w:r>
            <w:r>
              <w:rPr>
                <w:rFonts w:ascii="宋体" w:hAnsi="宋体" w:cs="宋体"/>
                <w:kern w:val="0"/>
                <w:sz w:val="13"/>
                <w:szCs w:val="18"/>
              </w:rPr>
              <w:t xml:space="preserve"> </w:t>
            </w:r>
            <w:r>
              <w:rPr>
                <w:rFonts w:hint="eastAsia" w:ascii="宋体" w:hAnsi="宋体" w:cs="宋体"/>
                <w:kern w:val="0"/>
                <w:sz w:val="13"/>
                <w:szCs w:val="18"/>
              </w:rPr>
              <w:t>用管理办法》第</w:t>
            </w:r>
            <w:r>
              <w:rPr>
                <w:rFonts w:ascii="宋体" w:hAnsi="宋体" w:cs="宋体"/>
                <w:kern w:val="0"/>
                <w:sz w:val="13"/>
                <w:szCs w:val="18"/>
              </w:rPr>
              <w:t xml:space="preserve"> </w:t>
            </w:r>
            <w:r>
              <w:rPr>
                <w:rFonts w:ascii="宋体" w:hAnsi="宋体" w:cs="Arial"/>
                <w:kern w:val="0"/>
                <w:sz w:val="13"/>
                <w:szCs w:val="18"/>
              </w:rPr>
              <w:t xml:space="preserve">20 </w:t>
            </w:r>
            <w:r>
              <w:rPr>
                <w:rFonts w:hint="eastAsia" w:ascii="宋体" w:hAnsi="宋体" w:cs="宋体"/>
                <w:kern w:val="0"/>
                <w:sz w:val="13"/>
                <w:szCs w:val="18"/>
              </w:rPr>
              <w:t>条</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7"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三、安全培训教育管理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当对从业人员进行安全生产教育和培训，保证从业人员具备必要的安全生产知识，熟悉有关的安全生产规章制度和安全操作规程，掌握本岗位的安全操作技能。从业人员应当接受教育和培训，考核合格后上岗作业；对有资格要求的岗位，应当配备依法取得相应资格的人员。</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21 </w:t>
            </w:r>
            <w:r>
              <w:rPr>
                <w:rFonts w:hint="eastAsia" w:ascii="宋体" w:hAnsi="宋体" w:cs="宋体"/>
                <w:kern w:val="0"/>
                <w:sz w:val="13"/>
                <w:szCs w:val="18"/>
              </w:rPr>
              <w:t>条《生产经营单位安全培训规定》第</w:t>
            </w:r>
            <w:r>
              <w:rPr>
                <w:rFonts w:ascii="宋体" w:hAnsi="宋体" w:cs="宋体"/>
                <w:kern w:val="0"/>
                <w:sz w:val="13"/>
                <w:szCs w:val="18"/>
              </w:rPr>
              <w:t xml:space="preserve"> 4 </w:t>
            </w:r>
            <w:r>
              <w:rPr>
                <w:rFonts w:hint="eastAsia" w:ascii="宋体" w:hAnsi="宋体" w:cs="宋体"/>
                <w:kern w:val="0"/>
                <w:sz w:val="13"/>
                <w:szCs w:val="18"/>
              </w:rPr>
              <w:t>条《危险化学品安全管理条例》</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第</w:t>
            </w:r>
            <w:r>
              <w:rPr>
                <w:rFonts w:ascii="宋体" w:hAnsi="宋体" w:cs="宋体"/>
                <w:kern w:val="0"/>
                <w:sz w:val="13"/>
                <w:szCs w:val="18"/>
              </w:rPr>
              <w:t xml:space="preserve"> 4 </w:t>
            </w:r>
            <w:r>
              <w:rPr>
                <w:rFonts w:hint="eastAsia" w:ascii="宋体" w:hAnsi="宋体" w:cs="宋体"/>
                <w:kern w:val="0"/>
                <w:sz w:val="13"/>
                <w:szCs w:val="18"/>
              </w:rPr>
              <w:t>条</w:t>
            </w:r>
          </w:p>
        </w:tc>
        <w:tc>
          <w:tcPr>
            <w:tcW w:w="1160"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企业采用新工艺、新技术、新材料或者使用新设备，必须了解、掌握其安全技术特性，采取有效的安全防护措施，并对从业人员进行专门的安全生产教育和培训。</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22 </w:t>
            </w:r>
            <w:r>
              <w:rPr>
                <w:rFonts w:hint="eastAsia" w:ascii="宋体" w:hAnsi="宋体" w:cs="宋体"/>
                <w:kern w:val="0"/>
                <w:sz w:val="13"/>
                <w:szCs w:val="18"/>
              </w:rPr>
              <w:t>条</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主要负责人和安全生产管理人员应接受专门的安全培训教育，经安全生产监管部门对其安全生产知识和管理能力考核合格，按照有关法律、行政法规规定，需要取得安全资格证书的，取得安全资格证书后方可任职。主要负责人和安全生产管理人员安全资格培训时间不得少于</w:t>
            </w:r>
            <w:r>
              <w:rPr>
                <w:rFonts w:ascii="宋体" w:hAnsi="宋体" w:cs="宋体"/>
                <w:kern w:val="0"/>
                <w:sz w:val="13"/>
                <w:szCs w:val="18"/>
              </w:rPr>
              <w:t>48</w:t>
            </w:r>
            <w:r>
              <w:rPr>
                <w:rFonts w:hint="eastAsia" w:ascii="宋体" w:hAnsi="宋体" w:cs="宋体"/>
                <w:kern w:val="0"/>
                <w:sz w:val="13"/>
                <w:szCs w:val="18"/>
              </w:rPr>
              <w:t>学时；每年再培训</w:t>
            </w:r>
            <w:r>
              <w:rPr>
                <w:rFonts w:ascii="宋体" w:hAnsi="宋体" w:cs="宋体"/>
                <w:kern w:val="0"/>
                <w:sz w:val="13"/>
                <w:szCs w:val="18"/>
              </w:rPr>
              <w:t xml:space="preserve"> </w:t>
            </w:r>
            <w:r>
              <w:rPr>
                <w:rFonts w:hint="eastAsia" w:ascii="宋体" w:hAnsi="宋体" w:cs="宋体"/>
                <w:kern w:val="0"/>
                <w:sz w:val="13"/>
                <w:szCs w:val="18"/>
              </w:rPr>
              <w:t>时间不得少于</w:t>
            </w:r>
            <w:r>
              <w:rPr>
                <w:rFonts w:ascii="宋体" w:hAnsi="宋体" w:cs="宋体"/>
                <w:kern w:val="0"/>
                <w:sz w:val="13"/>
                <w:szCs w:val="18"/>
              </w:rPr>
              <w:t xml:space="preserve">16 </w:t>
            </w:r>
            <w:r>
              <w:rPr>
                <w:rFonts w:hint="eastAsia" w:ascii="宋体" w:hAnsi="宋体" w:cs="宋体"/>
                <w:kern w:val="0"/>
                <w:sz w:val="13"/>
                <w:szCs w:val="18"/>
              </w:rPr>
              <w:t>学时。</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《生产经营单位安全培训规定》第二章</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企业必须对新上岗的从业人员等进行强制性安全培训，保证其具备本岗位安全操作、自救互救以及应急处置所需的知识和技能后，方能安排上岗作业。新上岗的从业人员安全培训时间不得少于</w:t>
            </w:r>
            <w:r>
              <w:rPr>
                <w:rFonts w:ascii="宋体" w:hAnsi="宋体" w:cs="宋体"/>
                <w:kern w:val="0"/>
                <w:sz w:val="13"/>
                <w:szCs w:val="18"/>
              </w:rPr>
              <w:t>72</w:t>
            </w:r>
            <w:r>
              <w:rPr>
                <w:rFonts w:hint="eastAsia" w:ascii="宋体" w:hAnsi="宋体" w:cs="宋体"/>
                <w:kern w:val="0"/>
                <w:sz w:val="13"/>
                <w:szCs w:val="18"/>
              </w:rPr>
              <w:t>学时，每年接受再培训的时间不得少于</w:t>
            </w:r>
            <w:r>
              <w:rPr>
                <w:rFonts w:ascii="宋体" w:hAnsi="宋体" w:cs="宋体"/>
                <w:kern w:val="0"/>
                <w:sz w:val="13"/>
                <w:szCs w:val="18"/>
              </w:rPr>
              <w:t>20</w:t>
            </w:r>
            <w:r>
              <w:rPr>
                <w:rFonts w:hint="eastAsia" w:ascii="宋体" w:hAnsi="宋体" w:cs="宋体"/>
                <w:kern w:val="0"/>
                <w:sz w:val="13"/>
                <w:szCs w:val="18"/>
              </w:rPr>
              <w:t>学时。从业人员在本企业内调整工作岗位或离岗一年以上重新上岗时，应当重新接受车间（工段、区、队）和班组级的安全培训。</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《生产经营单位安全培训规定》第三章</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企业特种作业人员应按有关规定参加安全培训教育，取得特种作业操作证，方可上岗作业，并定期复审。</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23 </w:t>
            </w:r>
            <w:r>
              <w:rPr>
                <w:rFonts w:hint="eastAsia" w:ascii="宋体" w:hAnsi="宋体" w:cs="宋体"/>
                <w:kern w:val="0"/>
                <w:sz w:val="13"/>
                <w:szCs w:val="18"/>
              </w:rPr>
              <w:t>条</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《特种作业人员安全技术培训</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考核管理规定》</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企业应当将安全培训工作纳入本单位年度工作计划。保证本单位安全培训工作所需资金。企业应建立健全从业人员安全培训档案，详细、准确记录培训考核情况。</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《生产经营单位安全培训规定》第</w:t>
            </w:r>
            <w:r>
              <w:rPr>
                <w:rFonts w:ascii="宋体" w:hAnsi="宋体" w:cs="宋体"/>
                <w:kern w:val="0"/>
                <w:sz w:val="13"/>
                <w:szCs w:val="18"/>
              </w:rPr>
              <w:t xml:space="preserve"> 23 </w:t>
            </w:r>
            <w:r>
              <w:rPr>
                <w:rFonts w:hint="eastAsia" w:ascii="宋体" w:hAnsi="宋体" w:cs="宋体"/>
                <w:kern w:val="0"/>
                <w:sz w:val="13"/>
                <w:szCs w:val="18"/>
              </w:rPr>
              <w:t>条、第</w:t>
            </w:r>
            <w:r>
              <w:rPr>
                <w:rFonts w:ascii="宋体" w:hAnsi="宋体" w:cs="宋体"/>
                <w:kern w:val="0"/>
                <w:sz w:val="13"/>
                <w:szCs w:val="18"/>
              </w:rPr>
              <w:t xml:space="preserve"> 24 </w:t>
            </w:r>
            <w:r>
              <w:rPr>
                <w:rFonts w:hint="eastAsia" w:ascii="宋体" w:hAnsi="宋体" w:cs="宋体"/>
                <w:kern w:val="0"/>
                <w:sz w:val="13"/>
                <w:szCs w:val="18"/>
              </w:rPr>
              <w:t>条</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企业管理部门、班组应按照月度安全活动计划开展安全活动和基本功训练。班组安全活动每月不少于</w:t>
            </w:r>
            <w:r>
              <w:rPr>
                <w:rFonts w:ascii="宋体" w:hAnsi="宋体" w:cs="宋体"/>
                <w:kern w:val="0"/>
                <w:sz w:val="13"/>
                <w:szCs w:val="18"/>
              </w:rPr>
              <w:t>2</w:t>
            </w:r>
            <w:r>
              <w:rPr>
                <w:rFonts w:hint="eastAsia" w:ascii="宋体" w:hAnsi="宋体" w:cs="宋体"/>
                <w:kern w:val="0"/>
                <w:sz w:val="13"/>
                <w:szCs w:val="18"/>
              </w:rPr>
              <w:t>次，每次活动时间不少于</w:t>
            </w:r>
            <w:r>
              <w:rPr>
                <w:rFonts w:ascii="宋体" w:hAnsi="宋体" w:cs="宋体"/>
                <w:kern w:val="0"/>
                <w:sz w:val="13"/>
                <w:szCs w:val="18"/>
              </w:rPr>
              <w:t>1</w:t>
            </w:r>
            <w:r>
              <w:rPr>
                <w:rFonts w:hint="eastAsia" w:ascii="宋体" w:hAnsi="宋体" w:cs="宋体"/>
                <w:kern w:val="0"/>
                <w:sz w:val="13"/>
                <w:szCs w:val="18"/>
              </w:rPr>
              <w:t>学时。班组安全活动应有负责人、有计划、有内容、有记录。企业负责人应每月至少参加</w:t>
            </w:r>
            <w:r>
              <w:rPr>
                <w:rFonts w:ascii="宋体" w:hAnsi="宋体" w:cs="宋体"/>
                <w:kern w:val="0"/>
                <w:sz w:val="13"/>
                <w:szCs w:val="18"/>
              </w:rPr>
              <w:t xml:space="preserve"> 1 </w:t>
            </w:r>
            <w:r>
              <w:rPr>
                <w:rFonts w:hint="eastAsia" w:ascii="宋体" w:hAnsi="宋体" w:cs="宋体"/>
                <w:kern w:val="0"/>
                <w:sz w:val="13"/>
                <w:szCs w:val="18"/>
              </w:rPr>
              <w:t>次班组安全活动，基层单位负责人及其管理人员应每月至少参加</w:t>
            </w:r>
            <w:r>
              <w:rPr>
                <w:rFonts w:ascii="宋体" w:hAnsi="宋体" w:cs="宋体"/>
                <w:kern w:val="0"/>
                <w:sz w:val="13"/>
                <w:szCs w:val="18"/>
              </w:rPr>
              <w:t>2</w:t>
            </w:r>
            <w:r>
              <w:rPr>
                <w:rFonts w:hint="eastAsia" w:ascii="宋体" w:hAnsi="宋体" w:cs="宋体"/>
                <w:kern w:val="0"/>
                <w:sz w:val="13"/>
                <w:szCs w:val="18"/>
              </w:rPr>
              <w:t>次班组安全活动。</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危险化学品从业单位安全标准化通用规范（</w:t>
            </w:r>
            <w:r>
              <w:rPr>
                <w:rFonts w:ascii="宋体" w:hAnsi="宋体" w:cs="宋体"/>
                <w:kern w:val="0"/>
                <w:sz w:val="13"/>
                <w:szCs w:val="18"/>
              </w:rPr>
              <w:t>AQ 3013</w:t>
            </w:r>
            <w:r>
              <w:rPr>
                <w:rFonts w:hint="eastAsia" w:ascii="宋体" w:hAnsi="宋体" w:cs="宋体"/>
                <w:kern w:val="0"/>
                <w:sz w:val="13"/>
                <w:szCs w:val="18"/>
              </w:rPr>
              <w:t>–2008）</w:t>
            </w:r>
          </w:p>
        </w:tc>
        <w:tc>
          <w:tcPr>
            <w:tcW w:w="1160"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次</w:t>
            </w:r>
            <w:r>
              <w:rPr>
                <w:rFonts w:ascii="宋体" w:hAnsi="宋体" w:cs="宋体"/>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7"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四、风险评价与隐患控制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法律、法规和标准的识别和获取方面：</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企业应建立识别和获取适用的安全生产法律法规、标准及其他要求的管理制度，明确责任部门，确定获取渠道、方式和时机，及时识别和获取，并定期进行更新。</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企业应将适用的安全生产法律、法规、标准及其他要求及时传达给相关方。</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危险化学品从业单位安全标准</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化通用规范（</w:t>
            </w:r>
            <w:r>
              <w:rPr>
                <w:rFonts w:ascii="宋体" w:hAnsi="宋体" w:cs="Arial"/>
                <w:kern w:val="0"/>
                <w:sz w:val="13"/>
                <w:szCs w:val="18"/>
              </w:rPr>
              <w:t>AQ3013</w:t>
            </w:r>
            <w:r>
              <w:rPr>
                <w:rFonts w:hint="eastAsia" w:ascii="宋体" w:hAnsi="宋体" w:cs="宋体"/>
                <w:kern w:val="0"/>
                <w:sz w:val="13"/>
                <w:szCs w:val="18"/>
              </w:rPr>
              <w:t>–</w:t>
            </w:r>
            <w:r>
              <w:rPr>
                <w:rFonts w:hint="eastAsia" w:ascii="宋体" w:hAnsi="宋体" w:cs="Arial"/>
                <w:kern w:val="0"/>
                <w:sz w:val="13"/>
                <w:szCs w:val="18"/>
              </w:rPr>
              <w:t>2008</w:t>
            </w:r>
            <w:r>
              <w:rPr>
                <w:rFonts w:hint="eastAsia" w:ascii="宋体" w:hAnsi="宋体" w:cs="宋体"/>
                <w:kern w:val="0"/>
                <w:sz w:val="13"/>
                <w:szCs w:val="18"/>
              </w:rPr>
              <w:t>）</w:t>
            </w:r>
          </w:p>
        </w:tc>
        <w:tc>
          <w:tcPr>
            <w:tcW w:w="1160" w:type="dxa"/>
          </w:tcPr>
          <w:p>
            <w:pPr>
              <w:autoSpaceDE w:val="0"/>
              <w:autoSpaceDN w:val="0"/>
              <w:adjustRightInd w:val="0"/>
              <w:jc w:val="left"/>
              <w:rPr>
                <w:rFonts w:ascii="宋体" w:hAnsi="宋体"/>
                <w:kern w:val="0"/>
                <w:sz w:val="13"/>
                <w:szCs w:val="18"/>
              </w:rPr>
            </w:pPr>
            <w:r>
              <w:rPr>
                <w:rFonts w:ascii="宋体" w:hAnsi="宋体" w:cs="宋体"/>
                <w:kern w:val="0"/>
                <w:sz w:val="13"/>
                <w:szCs w:val="18"/>
              </w:rPr>
              <w:t xml:space="preserve">1 </w:t>
            </w:r>
            <w:r>
              <w:rPr>
                <w:rFonts w:hint="eastAsia" w:ascii="宋体" w:hAnsi="宋体" w:cs="宋体"/>
                <w:kern w:val="0"/>
                <w:sz w:val="13"/>
                <w:szCs w:val="18"/>
              </w:rPr>
              <w:t>次</w:t>
            </w:r>
            <w:r>
              <w:rPr>
                <w:rFonts w:ascii="宋体" w:hAnsi="宋体" w:cs="宋体"/>
                <w:kern w:val="0"/>
                <w:sz w:val="13"/>
                <w:szCs w:val="18"/>
              </w:rPr>
              <w:t>/</w:t>
            </w:r>
            <w:r>
              <w:rPr>
                <w:rFonts w:hint="eastAsia" w:ascii="宋体" w:hAnsi="宋体" w:cs="宋体"/>
                <w:kern w:val="0"/>
                <w:sz w:val="13"/>
                <w:szCs w:val="1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企业应依据风险评价准则，选定合适的评价方法，定期和及时对作业活动和设备设施进行危险、有害因素识别和风险评价，并满足以下要求：</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企业各级管理人员应参与风险评价工作，鼓励从业人员积极参与风险评价和风险控制。</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企业应根据风险评价结果及经营运行情况等，确定不可接受的风险，制定并落实控制措施，将风险尤其是重大风险控制在可以</w:t>
            </w:r>
            <w:r>
              <w:rPr>
                <w:rFonts w:ascii="宋体" w:hAnsi="宋体" w:cs="宋体"/>
                <w:kern w:val="0"/>
                <w:sz w:val="13"/>
                <w:szCs w:val="18"/>
              </w:rPr>
              <w:t xml:space="preserve"> </w:t>
            </w:r>
            <w:r>
              <w:rPr>
                <w:rFonts w:hint="eastAsia" w:ascii="宋体" w:hAnsi="宋体" w:cs="宋体"/>
                <w:kern w:val="0"/>
                <w:sz w:val="13"/>
                <w:szCs w:val="18"/>
              </w:rPr>
              <w:t>接受的程度。</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企业应将风险评价的结果及所采取的控制措施对从业人员进行宣传、培训，使其熟</w:t>
            </w:r>
            <w:r>
              <w:rPr>
                <w:rFonts w:ascii="宋体" w:hAnsi="宋体" w:cs="宋体"/>
                <w:kern w:val="0"/>
                <w:sz w:val="13"/>
                <w:szCs w:val="18"/>
              </w:rPr>
              <w:t xml:space="preserve"> </w:t>
            </w:r>
            <w:r>
              <w:rPr>
                <w:rFonts w:hint="eastAsia" w:ascii="宋体" w:hAnsi="宋体" w:cs="宋体"/>
                <w:kern w:val="0"/>
                <w:sz w:val="13"/>
                <w:szCs w:val="18"/>
              </w:rPr>
              <w:t>悉工作岗位和作业环境中存在的危险、有害</w:t>
            </w:r>
            <w:r>
              <w:rPr>
                <w:rFonts w:ascii="宋体" w:hAnsi="宋体" w:cs="宋体"/>
                <w:kern w:val="0"/>
                <w:sz w:val="13"/>
                <w:szCs w:val="18"/>
              </w:rPr>
              <w:t xml:space="preserve"> </w:t>
            </w:r>
            <w:r>
              <w:rPr>
                <w:rFonts w:hint="eastAsia" w:ascii="宋体" w:hAnsi="宋体" w:cs="宋体"/>
                <w:kern w:val="0"/>
                <w:sz w:val="13"/>
                <w:szCs w:val="18"/>
              </w:rPr>
              <w:t>因素，掌握、落实应采取的控制措施。</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企业应定期评审或检查风险评价结果和风险控制效果。</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5.</w:t>
            </w:r>
            <w:r>
              <w:rPr>
                <w:rFonts w:hint="eastAsia" w:ascii="宋体" w:hAnsi="宋体" w:cs="宋体"/>
                <w:kern w:val="0"/>
                <w:sz w:val="13"/>
                <w:szCs w:val="18"/>
              </w:rPr>
              <w:t>企业应在下列情形发生时及时进行风险评价：</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1</w:t>
            </w:r>
            <w:r>
              <w:rPr>
                <w:rFonts w:hint="eastAsia" w:ascii="宋体" w:hAnsi="宋体" w:cs="宋体"/>
                <w:kern w:val="0"/>
                <w:sz w:val="13"/>
                <w:szCs w:val="18"/>
              </w:rPr>
              <w:t>）新的或变更的法律法规或其他要求；</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2</w:t>
            </w:r>
            <w:r>
              <w:rPr>
                <w:rFonts w:hint="eastAsia" w:ascii="宋体" w:hAnsi="宋体" w:cs="宋体"/>
                <w:kern w:val="0"/>
                <w:sz w:val="13"/>
                <w:szCs w:val="18"/>
              </w:rPr>
              <w:t>）操作条件变化或工艺改变；</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3</w:t>
            </w:r>
            <w:r>
              <w:rPr>
                <w:rFonts w:hint="eastAsia" w:ascii="宋体" w:hAnsi="宋体" w:cs="宋体"/>
                <w:kern w:val="0"/>
                <w:sz w:val="13"/>
                <w:szCs w:val="18"/>
              </w:rPr>
              <w:t>）技术改造项目；</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4</w:t>
            </w:r>
            <w:r>
              <w:rPr>
                <w:rFonts w:hint="eastAsia" w:ascii="宋体" w:hAnsi="宋体" w:cs="宋体"/>
                <w:kern w:val="0"/>
                <w:sz w:val="13"/>
                <w:szCs w:val="18"/>
              </w:rPr>
              <w:t>）有对事件、事故或其他信息的新认识；</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5</w:t>
            </w:r>
            <w:r>
              <w:rPr>
                <w:rFonts w:hint="eastAsia" w:ascii="宋体" w:hAnsi="宋体" w:cs="宋体"/>
                <w:kern w:val="0"/>
                <w:sz w:val="13"/>
                <w:szCs w:val="18"/>
              </w:rPr>
              <w:t>）组织机构发生大的调整。</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危险化学品从业单位安全标准</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化通用规范（</w:t>
            </w:r>
            <w:r>
              <w:rPr>
                <w:rFonts w:ascii="宋体" w:hAnsi="宋体" w:cs="Arial"/>
                <w:kern w:val="0"/>
                <w:sz w:val="13"/>
                <w:szCs w:val="18"/>
              </w:rPr>
              <w:t>AQ 3013</w:t>
            </w:r>
            <w:r>
              <w:rPr>
                <w:rFonts w:hint="eastAsia" w:ascii="宋体" w:hAnsi="宋体" w:cs="宋体"/>
                <w:kern w:val="0"/>
                <w:sz w:val="13"/>
                <w:szCs w:val="18"/>
              </w:rPr>
              <w:t>–2008）</w:t>
            </w:r>
          </w:p>
        </w:tc>
        <w:tc>
          <w:tcPr>
            <w:tcW w:w="1160" w:type="dxa"/>
          </w:tcPr>
          <w:p>
            <w:pPr>
              <w:autoSpaceDE w:val="0"/>
              <w:autoSpaceDN w:val="0"/>
              <w:adjustRightInd w:val="0"/>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次</w:t>
            </w:r>
            <w:r>
              <w:rPr>
                <w:rFonts w:ascii="宋体" w:hAnsi="宋体" w:cs="宋体"/>
                <w:kern w:val="0"/>
                <w:sz w:val="13"/>
                <w:szCs w:val="18"/>
              </w:rPr>
              <w:t xml:space="preserve">/ </w:t>
            </w:r>
            <w:r>
              <w:rPr>
                <w:rFonts w:hint="eastAsia" w:ascii="宋体" w:hAnsi="宋体" w:cs="宋体"/>
                <w:kern w:val="0"/>
                <w:sz w:val="13"/>
                <w:szCs w:val="18"/>
              </w:rPr>
              <w:t>季度</w:t>
            </w:r>
            <w:r>
              <w:rPr>
                <w:rFonts w:ascii="宋体" w:hAnsi="宋体" w:cs="宋体"/>
                <w:kern w:val="0"/>
                <w:sz w:val="13"/>
                <w:szCs w:val="18"/>
              </w:rPr>
              <w:t xml:space="preserve"> </w:t>
            </w:r>
            <w:r>
              <w:rPr>
                <w:rFonts w:hint="eastAsia" w:ascii="宋体" w:hAnsi="宋体" w:cs="宋体"/>
                <w:kern w:val="0"/>
                <w:sz w:val="13"/>
                <w:szCs w:val="18"/>
              </w:rPr>
              <w:t>或根</w:t>
            </w:r>
            <w:r>
              <w:rPr>
                <w:rFonts w:ascii="宋体" w:hAnsi="宋体" w:cs="宋体"/>
                <w:kern w:val="0"/>
                <w:sz w:val="13"/>
                <w:szCs w:val="18"/>
              </w:rPr>
              <w:t xml:space="preserve"> </w:t>
            </w:r>
            <w:r>
              <w:rPr>
                <w:rFonts w:hint="eastAsia" w:ascii="宋体" w:hAnsi="宋体" w:cs="宋体"/>
                <w:kern w:val="0"/>
                <w:sz w:val="13"/>
                <w:szCs w:val="18"/>
              </w:rPr>
              <w:t>据实</w:t>
            </w:r>
            <w:r>
              <w:rPr>
                <w:rFonts w:ascii="宋体" w:hAnsi="宋体" w:cs="宋体"/>
                <w:kern w:val="0"/>
                <w:sz w:val="13"/>
                <w:szCs w:val="18"/>
              </w:rPr>
              <w:t xml:space="preserve"> </w:t>
            </w:r>
            <w:r>
              <w:rPr>
                <w:rFonts w:hint="eastAsia" w:ascii="宋体" w:hAnsi="宋体" w:cs="宋体"/>
                <w:kern w:val="0"/>
                <w:sz w:val="13"/>
                <w:szCs w:val="18"/>
              </w:rPr>
              <w:t>际情</w:t>
            </w:r>
            <w:r>
              <w:rPr>
                <w:rFonts w:ascii="宋体" w:hAnsi="宋体" w:cs="宋体"/>
                <w:kern w:val="0"/>
                <w:sz w:val="13"/>
                <w:szCs w:val="18"/>
              </w:rPr>
              <w:t xml:space="preserve"> </w:t>
            </w:r>
            <w:r>
              <w:rPr>
                <w:rFonts w:hint="eastAsia" w:ascii="宋体" w:hAnsi="宋体" w:cs="宋体"/>
                <w:kern w:val="0"/>
                <w:sz w:val="13"/>
                <w:szCs w:val="18"/>
              </w:rPr>
              <w:t>况随</w:t>
            </w:r>
            <w:r>
              <w:rPr>
                <w:rFonts w:ascii="宋体" w:hAnsi="宋体" w:cs="宋体"/>
                <w:kern w:val="0"/>
                <w:sz w:val="13"/>
                <w:szCs w:val="18"/>
              </w:rPr>
              <w:t xml:space="preserve"> </w:t>
            </w:r>
            <w:r>
              <w:rPr>
                <w:rFonts w:hint="eastAsia" w:ascii="宋体" w:hAnsi="宋体" w:cs="宋体"/>
                <w:kern w:val="0"/>
                <w:sz w:val="13"/>
                <w:szCs w:val="18"/>
              </w:rPr>
              <w:t>时检</w:t>
            </w:r>
            <w:r>
              <w:rPr>
                <w:rFonts w:ascii="宋体" w:hAnsi="宋体" w:cs="宋体"/>
                <w:kern w:val="0"/>
                <w:sz w:val="13"/>
                <w:szCs w:val="18"/>
              </w:rPr>
              <w:t xml:space="preserve"> </w:t>
            </w:r>
            <w:r>
              <w:rPr>
                <w:rFonts w:hint="eastAsia" w:ascii="宋体" w:hAnsi="宋体" w:cs="宋体"/>
                <w:kern w:val="0"/>
                <w:sz w:val="13"/>
                <w:szCs w:val="18"/>
              </w:rPr>
              <w:t>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在隐患治理方面，应满足：</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企业应对风险评价出的隐患项目，下达隐患治理通知，限期治理，做到定治理措施、定负责人、定资金来源、定治理期限。企业应建立隐患治理台账。</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企业应对确定的重大隐患项目建立档案，档案内容应包括：</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1</w:t>
            </w:r>
            <w:r>
              <w:rPr>
                <w:rFonts w:hint="eastAsia" w:ascii="宋体" w:hAnsi="宋体" w:cs="宋体"/>
                <w:kern w:val="0"/>
                <w:sz w:val="13"/>
                <w:szCs w:val="18"/>
              </w:rPr>
              <w:t>）评价报告与技术结论；</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2</w:t>
            </w:r>
            <w:r>
              <w:rPr>
                <w:rFonts w:hint="eastAsia" w:ascii="宋体" w:hAnsi="宋体" w:cs="宋体"/>
                <w:kern w:val="0"/>
                <w:sz w:val="13"/>
                <w:szCs w:val="18"/>
              </w:rPr>
              <w:t>）评审意见；</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3</w:t>
            </w:r>
            <w:r>
              <w:rPr>
                <w:rFonts w:hint="eastAsia" w:ascii="宋体" w:hAnsi="宋体" w:cs="宋体"/>
                <w:kern w:val="0"/>
                <w:sz w:val="13"/>
                <w:szCs w:val="18"/>
              </w:rPr>
              <w:t>）隐患治理方案，包括资金概预算情况等；</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4</w:t>
            </w:r>
            <w:r>
              <w:rPr>
                <w:rFonts w:hint="eastAsia" w:ascii="宋体" w:hAnsi="宋体" w:cs="宋体"/>
                <w:kern w:val="0"/>
                <w:sz w:val="13"/>
                <w:szCs w:val="18"/>
              </w:rPr>
              <w:t>）治理时间表和责任人；</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5</w:t>
            </w:r>
            <w:r>
              <w:rPr>
                <w:rFonts w:hint="eastAsia" w:ascii="宋体" w:hAnsi="宋体" w:cs="宋体"/>
                <w:kern w:val="0"/>
                <w:sz w:val="13"/>
                <w:szCs w:val="18"/>
              </w:rPr>
              <w:t>）竣工验收报告；</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6</w:t>
            </w:r>
            <w:r>
              <w:rPr>
                <w:rFonts w:hint="eastAsia" w:ascii="宋体" w:hAnsi="宋体" w:cs="宋体"/>
                <w:kern w:val="0"/>
                <w:sz w:val="13"/>
                <w:szCs w:val="18"/>
              </w:rPr>
              <w:t>）备案文件。</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企业无力解决的重大事故隐患，除应书面向企业直接主管部门和当地政府报告外，应采取有效防范措施。</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企业对不具备整改条件的重大事故隐患，必须采取防范措施，并纳入计划，限期解决或停产。</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危险化学品从业单位安全标准</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化通用规范（</w:t>
            </w:r>
            <w:r>
              <w:rPr>
                <w:rFonts w:ascii="宋体" w:hAnsi="宋体" w:cs="Arial"/>
                <w:kern w:val="0"/>
                <w:sz w:val="13"/>
                <w:szCs w:val="18"/>
              </w:rPr>
              <w:t>AQ 3013</w:t>
            </w:r>
            <w:r>
              <w:rPr>
                <w:rFonts w:hint="eastAsia" w:ascii="宋体" w:hAnsi="宋体" w:cs="宋体"/>
                <w:kern w:val="0"/>
                <w:sz w:val="13"/>
                <w:szCs w:val="18"/>
              </w:rPr>
              <w:t>–</w:t>
            </w:r>
            <w:r>
              <w:rPr>
                <w:rFonts w:ascii="宋体" w:hAnsi="宋体" w:cs="Arial"/>
                <w:kern w:val="0"/>
                <w:sz w:val="13"/>
                <w:szCs w:val="18"/>
              </w:rPr>
              <w:t>200</w:t>
            </w:r>
            <w:r>
              <w:rPr>
                <w:rFonts w:hint="eastAsia" w:ascii="宋体" w:hAnsi="宋体" w:cs="宋体"/>
                <w:kern w:val="0"/>
                <w:sz w:val="13"/>
                <w:szCs w:val="18"/>
              </w:rPr>
              <w:t>8）</w:t>
            </w:r>
          </w:p>
        </w:tc>
        <w:tc>
          <w:tcPr>
            <w:tcW w:w="1160" w:type="dxa"/>
          </w:tcPr>
          <w:p>
            <w:pPr>
              <w:autoSpaceDE w:val="0"/>
              <w:autoSpaceDN w:val="0"/>
              <w:adjustRightInd w:val="0"/>
              <w:jc w:val="left"/>
              <w:rPr>
                <w:rFonts w:ascii="宋体" w:hAnsi="宋体"/>
                <w:kern w:val="0"/>
                <w:sz w:val="13"/>
                <w:szCs w:val="18"/>
              </w:rPr>
            </w:pPr>
            <w:r>
              <w:rPr>
                <w:rFonts w:ascii="宋体" w:hAnsi="宋体" w:cs="宋体"/>
                <w:kern w:val="0"/>
                <w:sz w:val="13"/>
                <w:szCs w:val="18"/>
              </w:rPr>
              <w:t xml:space="preserve">1 </w:t>
            </w:r>
            <w:r>
              <w:rPr>
                <w:rFonts w:hint="eastAsia" w:ascii="宋体" w:hAnsi="宋体" w:cs="宋体"/>
                <w:kern w:val="0"/>
                <w:sz w:val="13"/>
                <w:szCs w:val="18"/>
              </w:rPr>
              <w:t>次</w:t>
            </w:r>
            <w:r>
              <w:rPr>
                <w:rFonts w:ascii="宋体" w:hAnsi="宋体" w:cs="宋体"/>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7"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五、事故管理、变更管理与承包商管理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生产经营单位不得以任何形式与从业人员订立协议，免除或者减轻其对从业人员因生产安全事故伤亡依法应承担的责任。</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w:t>
            </w:r>
            <w:r>
              <w:rPr>
                <w:rFonts w:ascii="宋体" w:hAnsi="宋体" w:cs="Arial"/>
                <w:kern w:val="0"/>
                <w:sz w:val="13"/>
                <w:szCs w:val="18"/>
              </w:rPr>
              <w:t xml:space="preserve">44 </w:t>
            </w:r>
            <w:r>
              <w:rPr>
                <w:rFonts w:hint="eastAsia" w:ascii="宋体" w:hAnsi="宋体" w:cs="宋体"/>
                <w:kern w:val="0"/>
                <w:sz w:val="13"/>
                <w:szCs w:val="18"/>
              </w:rPr>
              <w:t>条</w:t>
            </w:r>
          </w:p>
        </w:tc>
        <w:tc>
          <w:tcPr>
            <w:tcW w:w="1160" w:type="dxa"/>
            <w:vMerge w:val="restart"/>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生产经营单位发生生产安全事故后，事故现场有关人员应当立即报告本单位负责人。单位负责人接到事故报告后，应当迅速采取有效措施，组织抢救并在接到报告后</w:t>
            </w:r>
            <w:r>
              <w:rPr>
                <w:rFonts w:ascii="宋体" w:hAnsi="宋体" w:cs="宋体"/>
                <w:kern w:val="0"/>
                <w:sz w:val="13"/>
                <w:szCs w:val="18"/>
              </w:rPr>
              <w:t>1</w:t>
            </w:r>
            <w:r>
              <w:rPr>
                <w:rFonts w:hint="eastAsia" w:ascii="宋体" w:hAnsi="宋体" w:cs="宋体"/>
                <w:kern w:val="0"/>
                <w:sz w:val="13"/>
                <w:szCs w:val="18"/>
              </w:rPr>
              <w:t>小时内向事故发生地县级以上人民政府安全生产监督管理部门和负有安全生产监督管理职责的有关部门报告。</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w:t>
            </w:r>
            <w:r>
              <w:rPr>
                <w:rFonts w:ascii="宋体" w:hAnsi="宋体" w:cs="Arial"/>
                <w:kern w:val="0"/>
                <w:sz w:val="13"/>
                <w:szCs w:val="18"/>
              </w:rPr>
              <w:t xml:space="preserve">70 </w:t>
            </w:r>
            <w:r>
              <w:rPr>
                <w:rFonts w:hint="eastAsia" w:ascii="宋体" w:hAnsi="宋体" w:cs="宋体"/>
                <w:kern w:val="0"/>
                <w:sz w:val="13"/>
                <w:szCs w:val="18"/>
              </w:rPr>
              <w:t>条《生产安全事故报告和调查处理条例》第</w:t>
            </w:r>
            <w:r>
              <w:rPr>
                <w:rFonts w:ascii="宋体" w:hAnsi="宋体" w:cs="宋体"/>
                <w:kern w:val="0"/>
                <w:sz w:val="13"/>
                <w:szCs w:val="18"/>
              </w:rPr>
              <w:t xml:space="preserve"> </w:t>
            </w:r>
            <w:r>
              <w:rPr>
                <w:rFonts w:ascii="宋体" w:hAnsi="宋体" w:cs="Arial"/>
                <w:kern w:val="0"/>
                <w:sz w:val="13"/>
                <w:szCs w:val="18"/>
              </w:rPr>
              <w:t xml:space="preserve">9 </w:t>
            </w:r>
            <w:r>
              <w:rPr>
                <w:rFonts w:hint="eastAsia" w:ascii="宋体" w:hAnsi="宋体" w:cs="宋体"/>
                <w:kern w:val="0"/>
                <w:sz w:val="13"/>
                <w:szCs w:val="18"/>
              </w:rPr>
              <w:t>条</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事故调查处理应当按照实事求是、尊重科学的原则，及时、准确地查清事故原因，查明事故性质和责任，提出整改措施，并对事故责任者提出处理意见。</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w:t>
            </w:r>
            <w:r>
              <w:rPr>
                <w:rFonts w:ascii="宋体" w:hAnsi="宋体" w:cs="Arial"/>
                <w:kern w:val="0"/>
                <w:sz w:val="13"/>
                <w:szCs w:val="18"/>
              </w:rPr>
              <w:t>73</w:t>
            </w:r>
            <w:r>
              <w:rPr>
                <w:rFonts w:hint="eastAsia" w:ascii="宋体" w:hAnsi="宋体" w:cs="宋体"/>
                <w:kern w:val="0"/>
                <w:sz w:val="13"/>
                <w:szCs w:val="18"/>
              </w:rPr>
              <w:t>条</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企业应落实事故整改和预防措施，防止事故再次发生。整改和预防措施应包括：</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工程技术措施；</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培训教育措施；</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管理措施。</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企业应建立事故档案和事故管理台帐。</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《危险化学品从业单位安全生</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产标准化通用规范》</w:t>
            </w:r>
            <w:r>
              <w:rPr>
                <w:rFonts w:ascii="宋体" w:hAnsi="宋体" w:cs="Arial"/>
                <w:kern w:val="0"/>
                <w:sz w:val="13"/>
                <w:szCs w:val="18"/>
              </w:rPr>
              <w:t>(AQ3013</w:t>
            </w:r>
            <w:r>
              <w:rPr>
                <w:rFonts w:hint="eastAsia" w:ascii="宋体" w:hAnsi="宋体" w:cs="宋体"/>
                <w:kern w:val="0"/>
                <w:sz w:val="13"/>
                <w:szCs w:val="18"/>
              </w:rPr>
              <w:t>-</w:t>
            </w:r>
            <w:r>
              <w:rPr>
                <w:rFonts w:ascii="宋体" w:hAnsi="宋体" w:cs="Arial"/>
                <w:kern w:val="0"/>
                <w:sz w:val="13"/>
                <w:szCs w:val="18"/>
              </w:rPr>
              <w:t>2008)</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企业应严格执行变更管理，并满足：</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．建立变更管理制度，履行下列变更程序：</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1</w:t>
            </w:r>
            <w:r>
              <w:rPr>
                <w:rFonts w:hint="eastAsia" w:ascii="宋体" w:hAnsi="宋体" w:cs="宋体"/>
                <w:kern w:val="0"/>
                <w:sz w:val="13"/>
                <w:szCs w:val="18"/>
              </w:rPr>
              <w:t>）变更申请：按要求填写变更申请表，由专人进行管理；</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2</w:t>
            </w:r>
            <w:r>
              <w:rPr>
                <w:rFonts w:hint="eastAsia" w:ascii="宋体" w:hAnsi="宋体" w:cs="宋体"/>
                <w:kern w:val="0"/>
                <w:sz w:val="13"/>
                <w:szCs w:val="18"/>
              </w:rPr>
              <w:t>）变更审批：变更申请表应逐级上报主管部门，并按管理权限报主管领导审批；</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3</w:t>
            </w:r>
            <w:r>
              <w:rPr>
                <w:rFonts w:hint="eastAsia" w:ascii="宋体" w:hAnsi="宋体" w:cs="宋体"/>
                <w:kern w:val="0"/>
                <w:sz w:val="13"/>
                <w:szCs w:val="18"/>
              </w:rPr>
              <w:t>）变更实施：变更批准后，由主管部门负责实施。不经过审查和批准，任何临时性</w:t>
            </w:r>
            <w:r>
              <w:rPr>
                <w:rFonts w:ascii="宋体" w:hAnsi="宋体" w:cs="宋体"/>
                <w:kern w:val="0"/>
                <w:sz w:val="13"/>
                <w:szCs w:val="18"/>
              </w:rPr>
              <w:t xml:space="preserve"> </w:t>
            </w:r>
            <w:r>
              <w:rPr>
                <w:rFonts w:hint="eastAsia" w:ascii="宋体" w:hAnsi="宋体" w:cs="宋体"/>
                <w:kern w:val="0"/>
                <w:sz w:val="13"/>
                <w:szCs w:val="18"/>
              </w:rPr>
              <w:t>的变更都不得超过原批准范围和期限；</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4</w:t>
            </w:r>
            <w:r>
              <w:rPr>
                <w:rFonts w:hint="eastAsia" w:ascii="宋体" w:hAnsi="宋体" w:cs="宋体"/>
                <w:kern w:val="0"/>
                <w:sz w:val="13"/>
                <w:szCs w:val="18"/>
              </w:rPr>
              <w:t>）变更验收：变更实施结束后，变更主管部门应对变更的实施情况进行验收，形成</w:t>
            </w:r>
            <w:r>
              <w:rPr>
                <w:rFonts w:ascii="宋体" w:hAnsi="宋体" w:cs="宋体"/>
                <w:kern w:val="0"/>
                <w:sz w:val="13"/>
                <w:szCs w:val="18"/>
              </w:rPr>
              <w:t xml:space="preserve"> </w:t>
            </w:r>
            <w:r>
              <w:rPr>
                <w:rFonts w:hint="eastAsia" w:ascii="宋体" w:hAnsi="宋体" w:cs="宋体"/>
                <w:kern w:val="0"/>
                <w:sz w:val="13"/>
                <w:szCs w:val="18"/>
              </w:rPr>
              <w:t>报告，并及时将变更结果通知相关部门和有</w:t>
            </w:r>
            <w:r>
              <w:rPr>
                <w:rFonts w:ascii="宋体" w:hAnsi="宋体" w:cs="宋体"/>
                <w:kern w:val="0"/>
                <w:sz w:val="13"/>
                <w:szCs w:val="18"/>
              </w:rPr>
              <w:t xml:space="preserve"> </w:t>
            </w:r>
            <w:r>
              <w:rPr>
                <w:rFonts w:hint="eastAsia" w:ascii="宋体" w:hAnsi="宋体" w:cs="宋体"/>
                <w:kern w:val="0"/>
                <w:sz w:val="13"/>
                <w:szCs w:val="18"/>
              </w:rPr>
              <w:t>关人员。</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．企业应对变更过程产生的风险进行分析和控制。</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危险化学品从业单位安全标准</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化通用规范（</w:t>
            </w:r>
            <w:r>
              <w:rPr>
                <w:rFonts w:ascii="宋体" w:hAnsi="宋体" w:cs="Arial"/>
                <w:kern w:val="0"/>
                <w:sz w:val="13"/>
                <w:szCs w:val="18"/>
              </w:rPr>
              <w:t>AQ 3013</w:t>
            </w:r>
            <w:r>
              <w:rPr>
                <w:rFonts w:hint="eastAsia" w:ascii="宋体" w:hAnsi="宋体" w:cs="宋体"/>
                <w:kern w:val="0"/>
                <w:sz w:val="13"/>
                <w:szCs w:val="18"/>
              </w:rPr>
              <w:t>–</w:t>
            </w:r>
            <w:r>
              <w:rPr>
                <w:rFonts w:hint="eastAsia" w:ascii="宋体" w:hAnsi="宋体" w:cs="Arial"/>
                <w:kern w:val="0"/>
                <w:sz w:val="13"/>
                <w:szCs w:val="18"/>
              </w:rPr>
              <w:t>2008</w:t>
            </w:r>
            <w:r>
              <w:rPr>
                <w:rFonts w:hint="eastAsia" w:ascii="宋体" w:hAnsi="宋体" w:cs="宋体"/>
                <w:kern w:val="0"/>
                <w:sz w:val="13"/>
                <w:szCs w:val="18"/>
              </w:rPr>
              <w:t>）</w:t>
            </w:r>
          </w:p>
        </w:tc>
        <w:tc>
          <w:tcPr>
            <w:tcW w:w="1160" w:type="dxa"/>
          </w:tcPr>
          <w:p>
            <w:pPr>
              <w:autoSpaceDE w:val="0"/>
              <w:autoSpaceDN w:val="0"/>
              <w:adjustRightInd w:val="0"/>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 xml:space="preserve">/ </w:t>
            </w:r>
            <w:r>
              <w:rPr>
                <w:rFonts w:hint="eastAsia" w:ascii="宋体" w:hAnsi="宋体" w:cs="宋体"/>
                <w:kern w:val="0"/>
                <w:sz w:val="13"/>
                <w:szCs w:val="18"/>
              </w:rPr>
              <w:t>季度</w:t>
            </w:r>
            <w:r>
              <w:rPr>
                <w:rFonts w:ascii="宋体" w:hAnsi="宋体" w:cs="宋体"/>
                <w:kern w:val="0"/>
                <w:sz w:val="13"/>
                <w:szCs w:val="18"/>
              </w:rPr>
              <w:t xml:space="preserve"> </w:t>
            </w:r>
            <w:r>
              <w:rPr>
                <w:rFonts w:hint="eastAsia" w:ascii="宋体" w:hAnsi="宋体" w:cs="宋体"/>
                <w:kern w:val="0"/>
                <w:sz w:val="13"/>
                <w:szCs w:val="18"/>
              </w:rPr>
              <w:t>或</w:t>
            </w:r>
            <w:r>
              <w:rPr>
                <w:rFonts w:ascii="宋体" w:hAnsi="宋体" w:cs="宋体"/>
                <w:kern w:val="0"/>
                <w:sz w:val="13"/>
                <w:szCs w:val="18"/>
              </w:rPr>
              <w:t xml:space="preserve"> </w:t>
            </w:r>
            <w:r>
              <w:rPr>
                <w:rFonts w:hint="eastAsia" w:ascii="宋体" w:hAnsi="宋体" w:cs="宋体"/>
                <w:kern w:val="0"/>
                <w:sz w:val="13"/>
                <w:szCs w:val="18"/>
              </w:rPr>
              <w:t>根据</w:t>
            </w:r>
            <w:r>
              <w:rPr>
                <w:rFonts w:ascii="宋体" w:hAnsi="宋体" w:cs="宋体"/>
                <w:kern w:val="0"/>
                <w:sz w:val="13"/>
                <w:szCs w:val="18"/>
              </w:rPr>
              <w:t xml:space="preserve"> </w:t>
            </w:r>
            <w:r>
              <w:rPr>
                <w:rFonts w:hint="eastAsia" w:ascii="宋体" w:hAnsi="宋体" w:cs="宋体"/>
                <w:kern w:val="0"/>
                <w:sz w:val="13"/>
                <w:szCs w:val="18"/>
              </w:rPr>
              <w:t>情况</w:t>
            </w:r>
            <w:r>
              <w:rPr>
                <w:rFonts w:ascii="宋体" w:hAnsi="宋体" w:cs="宋体"/>
                <w:kern w:val="0"/>
                <w:sz w:val="13"/>
                <w:szCs w:val="18"/>
              </w:rPr>
              <w:t xml:space="preserve"> </w:t>
            </w:r>
            <w:r>
              <w:rPr>
                <w:rFonts w:hint="eastAsia" w:ascii="宋体" w:hAnsi="宋体" w:cs="宋体"/>
                <w:kern w:val="0"/>
                <w:sz w:val="13"/>
                <w:szCs w:val="18"/>
              </w:rPr>
              <w:t>随时</w:t>
            </w:r>
            <w:r>
              <w:rPr>
                <w:rFonts w:ascii="宋体" w:hAnsi="宋体" w:cs="宋体"/>
                <w:kern w:val="0"/>
                <w:sz w:val="13"/>
                <w:szCs w:val="18"/>
              </w:rPr>
              <w:t xml:space="preserve"> </w:t>
            </w:r>
            <w:r>
              <w:rPr>
                <w:rFonts w:hint="eastAsia" w:ascii="宋体" w:hAnsi="宋体" w:cs="宋体"/>
                <w:kern w:val="0"/>
                <w:sz w:val="13"/>
                <w:szCs w:val="18"/>
              </w:rPr>
              <w:t>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在承包商管理方面，企业应满足：</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企业应严格执行承包商管理制度，对承包商资格预审、选择、开工前准备、作业过程监督、表现评价、续用等过程进行管理，建立合格承包商名录和档案。企业应与选用的承包商签订安全协议书。</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企业应对承包商的作业人员进行入厂安全培训教育，经考核合格发放入厂证，保存安全培训教育记录。进入作业现场前，作业现场所在基层单位应对施工单位的作业人员进行进入现场前安全培训教育，保存安全培训教育记录。</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危险化学品从业单位安全标准</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化通用规范（</w:t>
            </w:r>
            <w:r>
              <w:rPr>
                <w:rFonts w:ascii="宋体" w:hAnsi="宋体" w:cs="宋体"/>
                <w:kern w:val="0"/>
                <w:sz w:val="13"/>
                <w:szCs w:val="18"/>
              </w:rPr>
              <w:t>AQ3013</w:t>
            </w:r>
            <w:r>
              <w:rPr>
                <w:rFonts w:hint="eastAsia" w:ascii="宋体" w:hAnsi="宋体" w:cs="宋体"/>
                <w:kern w:val="0"/>
                <w:sz w:val="13"/>
                <w:szCs w:val="18"/>
              </w:rPr>
              <w:t>–2008）</w:t>
            </w:r>
          </w:p>
        </w:tc>
        <w:tc>
          <w:tcPr>
            <w:tcW w:w="1160"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7"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六、作业管理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企业应根据接触毒物的种类、浓度和作业性质、劳动强度，为从业人员提供符合国家标准或者行业标准的劳动防护用品和器具，并监督、教育从业人员按照使用规则佩戴、使用。</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37 </w:t>
            </w:r>
            <w:r>
              <w:rPr>
                <w:rFonts w:hint="eastAsia" w:ascii="宋体" w:hAnsi="宋体" w:cs="宋体"/>
                <w:kern w:val="0"/>
                <w:sz w:val="13"/>
                <w:szCs w:val="18"/>
              </w:rPr>
              <w:t>条、第</w:t>
            </w:r>
            <w:r>
              <w:rPr>
                <w:rFonts w:ascii="宋体" w:hAnsi="宋体" w:cs="宋体"/>
                <w:kern w:val="0"/>
                <w:sz w:val="13"/>
                <w:szCs w:val="18"/>
              </w:rPr>
              <w:t xml:space="preserve"> 39</w:t>
            </w:r>
            <w:r>
              <w:rPr>
                <w:rFonts w:hint="eastAsia" w:ascii="宋体" w:hAnsi="宋体" w:cs="宋体"/>
                <w:kern w:val="0"/>
                <w:sz w:val="13"/>
                <w:szCs w:val="18"/>
              </w:rPr>
              <w:t>条</w:t>
            </w:r>
          </w:p>
        </w:tc>
        <w:tc>
          <w:tcPr>
            <w:tcW w:w="1160" w:type="dxa"/>
            <w:vMerge w:val="restart"/>
          </w:tcPr>
          <w:p>
            <w:pPr>
              <w:autoSpaceDE w:val="0"/>
              <w:autoSpaceDN w:val="0"/>
              <w:adjustRightInd w:val="0"/>
              <w:jc w:val="left"/>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天</w:t>
            </w:r>
          </w:p>
          <w:p>
            <w:pPr>
              <w:ind w:firstLine="65" w:firstLineChars="50"/>
              <w:rPr>
                <w:rFonts w:ascii="宋体" w:hAnsi="宋体"/>
                <w:kern w:val="0"/>
                <w:sz w:val="13"/>
                <w:szCs w:val="18"/>
              </w:rPr>
            </w:pPr>
            <w:r>
              <w:rPr>
                <w:rFonts w:hint="eastAsia" w:ascii="宋体" w:hAnsi="宋体" w:cs="宋体"/>
                <w:kern w:val="0"/>
                <w:sz w:val="13"/>
                <w:szCs w:val="18"/>
              </w:rPr>
              <w:t>或根据现场作业情况随时检查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为从业人员提供的劳动防护用品，不得超过使用期限。企业应当督促、教育从业人员正确佩戴和使用劳动防护用品。从业人员在作业过程中，必须按照安全生产规章制度和劳动防护用品使用规则，正确佩戴和使用劳动防护用品；未按规定佩戴和使用劳动防护用品的，不得上岗作业。</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《劳动防护用品监督管理规定》第</w:t>
            </w:r>
            <w:r>
              <w:rPr>
                <w:rFonts w:ascii="宋体" w:hAnsi="宋体" w:cs="宋体"/>
                <w:kern w:val="0"/>
                <w:sz w:val="13"/>
                <w:szCs w:val="18"/>
              </w:rPr>
              <w:t xml:space="preserve"> 16 </w:t>
            </w:r>
            <w:r>
              <w:rPr>
                <w:rFonts w:hint="eastAsia" w:ascii="宋体" w:hAnsi="宋体" w:cs="宋体"/>
                <w:kern w:val="0"/>
                <w:sz w:val="13"/>
                <w:szCs w:val="18"/>
              </w:rPr>
              <w:t>条、第</w:t>
            </w:r>
            <w:r>
              <w:rPr>
                <w:rFonts w:ascii="宋体" w:hAnsi="宋体" w:cs="宋体"/>
                <w:kern w:val="0"/>
                <w:sz w:val="13"/>
                <w:szCs w:val="18"/>
              </w:rPr>
              <w:t xml:space="preserve"> 19 </w:t>
            </w:r>
            <w:r>
              <w:rPr>
                <w:rFonts w:hint="eastAsia" w:ascii="宋体" w:hAnsi="宋体" w:cs="宋体"/>
                <w:kern w:val="0"/>
                <w:sz w:val="13"/>
                <w:szCs w:val="18"/>
              </w:rPr>
              <w:t>条</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企业应在危险性作业活动作业前进行危险、有害因素识别，制定控制措施。在作业现场配备相应的安全防护用品（具）及消防设施与器材，规范现场人员作业行为。</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危险化学品从业单位安全标准化通用规范（</w:t>
            </w:r>
            <w:r>
              <w:rPr>
                <w:rFonts w:ascii="宋体" w:hAnsi="宋体" w:cs="宋体"/>
                <w:kern w:val="0"/>
                <w:sz w:val="13"/>
                <w:szCs w:val="18"/>
              </w:rPr>
              <w:t>AQ 3013</w:t>
            </w:r>
            <w:r>
              <w:rPr>
                <w:rFonts w:hint="eastAsia" w:ascii="宋体" w:hAnsi="宋体" w:cs="宋体"/>
                <w:kern w:val="0"/>
                <w:sz w:val="13"/>
                <w:szCs w:val="18"/>
              </w:rPr>
              <w:t>–</w:t>
            </w:r>
            <w:r>
              <w:rPr>
                <w:rFonts w:ascii="宋体" w:hAnsi="宋体" w:cs="宋体"/>
                <w:kern w:val="0"/>
                <w:sz w:val="13"/>
                <w:szCs w:val="18"/>
              </w:rPr>
              <w:t>2008</w:t>
            </w:r>
            <w:r>
              <w:rPr>
                <w:rFonts w:hint="eastAsia" w:ascii="宋体" w:hAnsi="宋体" w:cs="宋体"/>
                <w:kern w:val="0"/>
                <w:sz w:val="13"/>
                <w:szCs w:val="18"/>
              </w:rPr>
              <w:t>）</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企业作业活动的负责人应严格按照规定要求科学指挥；作业人员应严格执行操作规程，不违章作业，不违反劳动纪律。</w:t>
            </w:r>
          </w:p>
        </w:tc>
        <w:tc>
          <w:tcPr>
            <w:tcW w:w="2700" w:type="dxa"/>
          </w:tcPr>
          <w:p>
            <w:pPr>
              <w:autoSpaceDE w:val="0"/>
              <w:autoSpaceDN w:val="0"/>
              <w:adjustRightInd w:val="0"/>
              <w:jc w:val="left"/>
              <w:rPr>
                <w:rFonts w:ascii="宋体" w:hAnsi="宋体"/>
                <w:kern w:val="0"/>
                <w:sz w:val="13"/>
                <w:szCs w:val="18"/>
              </w:rPr>
            </w:pP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企业作业人员在进行作业活动时，应持相应的作业许可证作业。</w:t>
            </w:r>
          </w:p>
        </w:tc>
        <w:tc>
          <w:tcPr>
            <w:tcW w:w="2700" w:type="dxa"/>
          </w:tcPr>
          <w:p>
            <w:pPr>
              <w:autoSpaceDE w:val="0"/>
              <w:autoSpaceDN w:val="0"/>
              <w:adjustRightInd w:val="0"/>
              <w:jc w:val="left"/>
              <w:rPr>
                <w:rFonts w:ascii="宋体" w:hAnsi="宋体"/>
                <w:kern w:val="0"/>
                <w:sz w:val="13"/>
                <w:szCs w:val="18"/>
              </w:rPr>
            </w:pP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企业作业活动监护人员应具备基本救护技能和作业现场的应急处理能力，持相应作业许可证进行监护作业，作业过程中不得离开监护岗位。</w:t>
            </w:r>
          </w:p>
        </w:tc>
        <w:tc>
          <w:tcPr>
            <w:tcW w:w="2700" w:type="dxa"/>
          </w:tcPr>
          <w:p>
            <w:pPr>
              <w:autoSpaceDE w:val="0"/>
              <w:autoSpaceDN w:val="0"/>
              <w:adjustRightInd w:val="0"/>
              <w:jc w:val="left"/>
              <w:rPr>
                <w:rFonts w:ascii="宋体" w:hAnsi="宋体"/>
                <w:kern w:val="0"/>
                <w:sz w:val="13"/>
                <w:szCs w:val="18"/>
              </w:rPr>
            </w:pP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对动火作业、进入受限空间作业、破土作业、临时用电作业、高处作业、断路作业、吊装作业、设备检修作业和抽堵盲板作业等危险性作业实施作业许可管理</w:t>
            </w:r>
            <w:r>
              <w:rPr>
                <w:rFonts w:ascii="宋体" w:hAnsi="宋体" w:cs="宋体"/>
                <w:kern w:val="0"/>
                <w:sz w:val="13"/>
                <w:szCs w:val="18"/>
              </w:rPr>
              <w:t>,</w:t>
            </w:r>
            <w:r>
              <w:rPr>
                <w:rFonts w:hint="eastAsia" w:ascii="宋体" w:hAnsi="宋体" w:cs="宋体"/>
                <w:kern w:val="0"/>
                <w:sz w:val="13"/>
                <w:szCs w:val="18"/>
              </w:rPr>
              <w:t>严格履行审批手</w:t>
            </w:r>
            <w:r>
              <w:rPr>
                <w:rFonts w:ascii="宋体" w:hAnsi="宋体" w:cs="宋体"/>
                <w:kern w:val="0"/>
                <w:sz w:val="13"/>
                <w:szCs w:val="18"/>
              </w:rPr>
              <w:t xml:space="preserve"> </w:t>
            </w:r>
            <w:r>
              <w:rPr>
                <w:rFonts w:hint="eastAsia" w:ascii="宋体" w:hAnsi="宋体" w:cs="宋体"/>
                <w:kern w:val="0"/>
                <w:sz w:val="13"/>
                <w:szCs w:val="18"/>
              </w:rPr>
              <w:t>续；并严格按照相关作业安全规程的要求执行。</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化学品生产单位吊装作业安全</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规范（</w:t>
            </w:r>
            <w:r>
              <w:rPr>
                <w:rFonts w:ascii="宋体" w:hAnsi="宋体" w:cs="Arial"/>
                <w:kern w:val="0"/>
                <w:sz w:val="13"/>
                <w:szCs w:val="18"/>
              </w:rPr>
              <w:t>AQ3021-</w:t>
            </w:r>
            <w:r>
              <w:rPr>
                <w:rFonts w:hint="eastAsia" w:ascii="宋体" w:hAnsi="宋体" w:cs="Arial"/>
                <w:kern w:val="0"/>
                <w:sz w:val="13"/>
                <w:szCs w:val="18"/>
              </w:rPr>
              <w:t>2008</w:t>
            </w:r>
            <w:r>
              <w:rPr>
                <w:rFonts w:hint="eastAsia" w:ascii="宋体" w:hAnsi="宋体" w:cs="宋体"/>
                <w:kern w:val="0"/>
                <w:sz w:val="13"/>
                <w:szCs w:val="18"/>
              </w:rPr>
              <w:t>）</w:t>
            </w:r>
            <w:r>
              <w:rPr>
                <w:rFonts w:ascii="宋体" w:hAnsi="宋体" w:cs="宋体"/>
                <w:kern w:val="0"/>
                <w:sz w:val="13"/>
                <w:szCs w:val="18"/>
              </w:rPr>
              <w:t xml:space="preserve"> </w:t>
            </w:r>
            <w:r>
              <w:rPr>
                <w:rFonts w:hint="eastAsia" w:ascii="宋体" w:hAnsi="宋体" w:cs="宋体"/>
                <w:kern w:val="0"/>
                <w:sz w:val="13"/>
                <w:szCs w:val="18"/>
              </w:rPr>
              <w:t>化学品生产单位动火作业安全规范（</w:t>
            </w:r>
            <w:r>
              <w:rPr>
                <w:rFonts w:ascii="宋体" w:hAnsi="宋体" w:cs="Arial"/>
                <w:kern w:val="0"/>
                <w:sz w:val="13"/>
                <w:szCs w:val="18"/>
              </w:rPr>
              <w:t>AQ3021-</w:t>
            </w:r>
            <w:r>
              <w:rPr>
                <w:rFonts w:hint="eastAsia" w:ascii="宋体" w:hAnsi="宋体" w:cs="Arial"/>
                <w:kern w:val="0"/>
                <w:sz w:val="13"/>
                <w:szCs w:val="18"/>
              </w:rPr>
              <w:t>2008</w:t>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化学品生产单位动土作业安全规范（</w:t>
            </w:r>
            <w:r>
              <w:rPr>
                <w:rFonts w:ascii="宋体" w:hAnsi="宋体" w:cs="Arial"/>
                <w:kern w:val="0"/>
                <w:sz w:val="13"/>
                <w:szCs w:val="18"/>
              </w:rPr>
              <w:t>AQ3021-</w:t>
            </w:r>
            <w:r>
              <w:rPr>
                <w:rFonts w:hint="eastAsia" w:ascii="宋体" w:hAnsi="宋体" w:cs="Arial"/>
                <w:kern w:val="0"/>
                <w:sz w:val="13"/>
                <w:szCs w:val="18"/>
              </w:rPr>
              <w:t>2008</w:t>
            </w:r>
            <w:r>
              <w:rPr>
                <w:rFonts w:hint="eastAsia" w:ascii="宋体" w:hAnsi="宋体" w:cs="宋体"/>
                <w:kern w:val="0"/>
                <w:sz w:val="13"/>
                <w:szCs w:val="18"/>
              </w:rPr>
              <w:t>）</w:t>
            </w:r>
            <w:r>
              <w:rPr>
                <w:rFonts w:ascii="宋体" w:hAnsi="宋体" w:cs="宋体"/>
                <w:kern w:val="0"/>
                <w:sz w:val="13"/>
                <w:szCs w:val="18"/>
              </w:rPr>
              <w:t xml:space="preserve"> </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化学品生产单位断路作业安全规范（</w:t>
            </w:r>
            <w:r>
              <w:rPr>
                <w:rFonts w:ascii="宋体" w:hAnsi="宋体" w:cs="Arial"/>
                <w:kern w:val="0"/>
                <w:sz w:val="13"/>
                <w:szCs w:val="18"/>
              </w:rPr>
              <w:t>AQ3021-</w:t>
            </w:r>
            <w:r>
              <w:rPr>
                <w:rFonts w:hint="eastAsia" w:ascii="宋体" w:hAnsi="宋体" w:cs="Arial"/>
                <w:kern w:val="0"/>
                <w:sz w:val="13"/>
                <w:szCs w:val="18"/>
              </w:rPr>
              <w:t>2008</w:t>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化学品生产单位高处作业安全规范（</w:t>
            </w:r>
            <w:r>
              <w:rPr>
                <w:rFonts w:ascii="宋体" w:hAnsi="宋体" w:cs="Arial"/>
                <w:kern w:val="0"/>
                <w:sz w:val="13"/>
                <w:szCs w:val="18"/>
              </w:rPr>
              <w:t>AQ3021-</w:t>
            </w:r>
            <w:r>
              <w:rPr>
                <w:rFonts w:hint="eastAsia" w:ascii="宋体" w:hAnsi="宋体" w:cs="Arial"/>
                <w:kern w:val="0"/>
                <w:sz w:val="13"/>
                <w:szCs w:val="18"/>
              </w:rPr>
              <w:t>2008</w:t>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化学品生产单位设备检修作业安全规范（</w:t>
            </w:r>
            <w:r>
              <w:rPr>
                <w:rFonts w:ascii="宋体" w:hAnsi="宋体" w:cs="Arial"/>
                <w:kern w:val="0"/>
                <w:sz w:val="13"/>
                <w:szCs w:val="18"/>
              </w:rPr>
              <w:t>AQ3021-</w:t>
            </w:r>
            <w:r>
              <w:rPr>
                <w:rFonts w:hint="eastAsia" w:ascii="宋体" w:hAnsi="宋体" w:cs="Arial"/>
                <w:kern w:val="0"/>
                <w:sz w:val="13"/>
                <w:szCs w:val="18"/>
              </w:rPr>
              <w:t>2008</w:t>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化学品生产单位盲板抽堵作业安全规范（</w:t>
            </w:r>
            <w:r>
              <w:rPr>
                <w:rFonts w:ascii="宋体" w:hAnsi="宋体" w:cs="Arial"/>
                <w:kern w:val="0"/>
                <w:sz w:val="13"/>
                <w:szCs w:val="18"/>
              </w:rPr>
              <w:t>AQ3021-</w:t>
            </w:r>
            <w:r>
              <w:rPr>
                <w:rFonts w:hint="eastAsia" w:ascii="宋体" w:hAnsi="宋体" w:cs="Arial"/>
                <w:kern w:val="0"/>
                <w:sz w:val="13"/>
                <w:szCs w:val="18"/>
              </w:rPr>
              <w:t>2008</w:t>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化学品生产单位受限空间作业安全规范（</w:t>
            </w:r>
            <w:r>
              <w:rPr>
                <w:rFonts w:ascii="宋体" w:hAnsi="宋体" w:cs="Arial"/>
                <w:kern w:val="0"/>
                <w:sz w:val="13"/>
                <w:szCs w:val="18"/>
              </w:rPr>
              <w:t>AQ3021-</w:t>
            </w:r>
            <w:r>
              <w:rPr>
                <w:rFonts w:hint="eastAsia" w:ascii="宋体" w:hAnsi="宋体" w:cs="Arial"/>
                <w:kern w:val="0"/>
                <w:sz w:val="13"/>
                <w:szCs w:val="18"/>
              </w:rPr>
              <w:t>2008</w:t>
            </w:r>
            <w:r>
              <w:rPr>
                <w:rFonts w:hint="eastAsia" w:ascii="宋体" w:hAnsi="宋体" w:cs="宋体"/>
                <w:kern w:val="0"/>
                <w:sz w:val="13"/>
                <w:szCs w:val="18"/>
              </w:rPr>
              <w:t>）</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化学品生产单位特殊作业安全规范（GB30871-2014）</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危险物品的生产、经营、储存单位应建立应急救援组织；生产经营规模较小，可以不建立应急救援组织的，应当指定兼职的应急救援人员。</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企业应建立应急指挥系统，实行厂级、车间级分级管理，建立应急救援队伍；明确各级应急指挥系统和救援队的职责。</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w:t>
            </w:r>
            <w:r>
              <w:rPr>
                <w:rFonts w:ascii="宋体" w:hAnsi="宋体" w:cs="Arial"/>
                <w:kern w:val="0"/>
                <w:sz w:val="13"/>
                <w:szCs w:val="18"/>
              </w:rPr>
              <w:t xml:space="preserve">69 </w:t>
            </w:r>
            <w:r>
              <w:rPr>
                <w:rFonts w:hint="eastAsia" w:ascii="宋体" w:hAnsi="宋体" w:cs="宋体"/>
                <w:kern w:val="0"/>
                <w:sz w:val="13"/>
                <w:szCs w:val="18"/>
              </w:rPr>
              <w:t>条《危险化学品从业单位安全生产标准化通用规范》</w:t>
            </w:r>
            <w:r>
              <w:rPr>
                <w:rFonts w:ascii="宋体" w:hAnsi="宋体" w:cs="Arial"/>
                <w:kern w:val="0"/>
                <w:sz w:val="13"/>
                <w:szCs w:val="18"/>
              </w:rPr>
              <w:t>(AQ3013</w:t>
            </w:r>
            <w:r>
              <w:rPr>
                <w:rFonts w:hint="eastAsia" w:ascii="宋体" w:hAnsi="宋体" w:cs="宋体"/>
                <w:kern w:val="0"/>
                <w:sz w:val="13"/>
                <w:szCs w:val="18"/>
              </w:rPr>
              <w:t>－</w:t>
            </w:r>
            <w:r>
              <w:rPr>
                <w:rFonts w:ascii="宋体" w:hAnsi="宋体" w:cs="Arial"/>
                <w:kern w:val="0"/>
                <w:sz w:val="13"/>
                <w:szCs w:val="18"/>
              </w:rPr>
              <w:t>2008)</w:t>
            </w:r>
          </w:p>
        </w:tc>
        <w:tc>
          <w:tcPr>
            <w:tcW w:w="1160"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企业制定并实施本单位的生产安全事故应急救援预案；是否按照国家有关要求，针对不同情况，制定了综合应急预案、专项应急预案和现场处置方案。</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w:t>
            </w:r>
            <w:r>
              <w:rPr>
                <w:rFonts w:ascii="宋体" w:hAnsi="宋体" w:cs="Arial"/>
                <w:kern w:val="0"/>
                <w:sz w:val="13"/>
                <w:szCs w:val="18"/>
              </w:rPr>
              <w:t xml:space="preserve">17 </w:t>
            </w:r>
            <w:r>
              <w:rPr>
                <w:rFonts w:hint="eastAsia" w:ascii="宋体" w:hAnsi="宋体" w:cs="宋体"/>
                <w:kern w:val="0"/>
                <w:sz w:val="13"/>
                <w:szCs w:val="18"/>
              </w:rPr>
              <w:t>条《生产安全事故应急预案管理办法》（国家安全监管总局令第</w:t>
            </w:r>
            <w:r>
              <w:rPr>
                <w:rFonts w:ascii="宋体" w:hAnsi="宋体" w:cs="Arial"/>
                <w:kern w:val="0"/>
                <w:sz w:val="13"/>
                <w:szCs w:val="18"/>
              </w:rPr>
              <w:t xml:space="preserve">17 </w:t>
            </w:r>
            <w:r>
              <w:rPr>
                <w:rFonts w:hint="eastAsia" w:ascii="宋体" w:hAnsi="宋体" w:cs="宋体"/>
                <w:kern w:val="0"/>
                <w:sz w:val="13"/>
                <w:szCs w:val="18"/>
              </w:rPr>
              <w:t>号）</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《生产经营单位安全生产事故应急预案编制导则》（</w:t>
            </w:r>
            <w:r>
              <w:rPr>
                <w:rFonts w:ascii="宋体" w:hAnsi="宋体" w:cs="Arial"/>
                <w:kern w:val="0"/>
                <w:sz w:val="13"/>
                <w:szCs w:val="18"/>
              </w:rPr>
              <w:t>AQ/T9002-</w:t>
            </w:r>
            <w:r>
              <w:rPr>
                <w:rFonts w:hint="eastAsia" w:ascii="宋体" w:hAnsi="宋体" w:cs="Arial"/>
                <w:kern w:val="0"/>
                <w:sz w:val="13"/>
                <w:szCs w:val="18"/>
              </w:rPr>
              <w:t>2006</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企业综合应急预案和专项应急预案是否按照规定报政府有关部门备案；是否组织专家对本单位编制的应急预案进行了评审，应急预案经评审后，是否由企业主要负责人签署公布。</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《生产安全事故应急预案管理办法》（国家安全监管总局令第</w:t>
            </w:r>
            <w:r>
              <w:rPr>
                <w:rFonts w:ascii="宋体" w:hAnsi="宋体" w:cs="Arial"/>
                <w:kern w:val="0"/>
                <w:sz w:val="13"/>
                <w:szCs w:val="18"/>
              </w:rPr>
              <w:t xml:space="preserve">17 </w:t>
            </w:r>
            <w:r>
              <w:rPr>
                <w:rFonts w:hint="eastAsia" w:ascii="宋体" w:hAnsi="宋体" w:cs="宋体"/>
                <w:kern w:val="0"/>
                <w:sz w:val="13"/>
                <w:szCs w:val="18"/>
              </w:rPr>
              <w:t>号）</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危险物品的生产、经营、储存单位应配备必要的应急救援器材、设备，并进行经常性维护、保养并记录，保证其处于完好状态。</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w:t>
            </w:r>
            <w:r>
              <w:rPr>
                <w:rFonts w:ascii="宋体" w:hAnsi="宋体" w:cs="Arial"/>
                <w:kern w:val="0"/>
                <w:sz w:val="13"/>
                <w:szCs w:val="18"/>
              </w:rPr>
              <w:t xml:space="preserve">69 </w:t>
            </w:r>
            <w:r>
              <w:rPr>
                <w:rFonts w:hint="eastAsia" w:ascii="宋体" w:hAnsi="宋体" w:cs="宋体"/>
                <w:kern w:val="0"/>
                <w:sz w:val="13"/>
                <w:szCs w:val="18"/>
              </w:rPr>
              <w:t>条《危险化学品从业单位安全生产标准化通用规范》</w:t>
            </w:r>
            <w:r>
              <w:rPr>
                <w:rFonts w:ascii="宋体" w:hAnsi="宋体" w:cs="Arial"/>
                <w:kern w:val="0"/>
                <w:sz w:val="13"/>
                <w:szCs w:val="18"/>
              </w:rPr>
              <w:t>(AQ3013</w:t>
            </w:r>
            <w:r>
              <w:rPr>
                <w:rFonts w:hint="eastAsia" w:ascii="宋体" w:hAnsi="宋体" w:cs="宋体"/>
                <w:kern w:val="0"/>
                <w:sz w:val="13"/>
                <w:szCs w:val="18"/>
              </w:rPr>
              <w:t>－</w:t>
            </w:r>
            <w:r>
              <w:rPr>
                <w:rFonts w:ascii="宋体" w:hAnsi="宋体" w:cs="Arial"/>
                <w:kern w:val="0"/>
                <w:sz w:val="13"/>
                <w:szCs w:val="18"/>
              </w:rPr>
              <w:t>2008)</w:t>
            </w:r>
          </w:p>
        </w:tc>
        <w:tc>
          <w:tcPr>
            <w:tcW w:w="1160" w:type="dxa"/>
          </w:tcPr>
          <w:p>
            <w:pPr>
              <w:autoSpaceDE w:val="0"/>
              <w:autoSpaceDN w:val="0"/>
              <w:adjustRightInd w:val="0"/>
              <w:jc w:val="center"/>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对从业人员进行应急救援预案的培训；企业是否制定了本单位的应急预案演练计划，并且每年至少组织一次综合应急预案演练或者专项应急预案演练，每半年至少组织一次现场处置方案演练。应急预案演练结束后，应急预案演练组织单位是否对应急预案演练效果进行评估，并撰写应急预案演练评估报告。</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《生产安全事故应急预案管理办法》（国家安全监管总局令第</w:t>
            </w:r>
            <w:r>
              <w:rPr>
                <w:rFonts w:ascii="宋体" w:hAnsi="宋体" w:cs="Arial"/>
                <w:kern w:val="0"/>
                <w:sz w:val="13"/>
                <w:szCs w:val="18"/>
              </w:rPr>
              <w:t xml:space="preserve">17 </w:t>
            </w:r>
            <w:r>
              <w:rPr>
                <w:rFonts w:hint="eastAsia" w:ascii="宋体" w:hAnsi="宋体" w:cs="宋体"/>
                <w:kern w:val="0"/>
                <w:sz w:val="13"/>
                <w:szCs w:val="18"/>
              </w:rPr>
              <w:t>号）</w:t>
            </w:r>
          </w:p>
        </w:tc>
        <w:tc>
          <w:tcPr>
            <w:tcW w:w="1160"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cs="Arial"/>
                <w:kern w:val="0"/>
                <w:sz w:val="13"/>
                <w:szCs w:val="18"/>
              </w:rPr>
            </w:pPr>
          </w:p>
          <w:p>
            <w:pPr>
              <w:autoSpaceDE w:val="0"/>
              <w:autoSpaceDN w:val="0"/>
              <w:adjustRightInd w:val="0"/>
              <w:ind w:firstLine="195" w:firstLineChars="150"/>
              <w:jc w:val="left"/>
              <w:rPr>
                <w:rFonts w:ascii="宋体" w:hAnsi="宋体"/>
                <w:kern w:val="0"/>
                <w:sz w:val="13"/>
                <w:szCs w:val="18"/>
              </w:rPr>
            </w:pPr>
            <w:r>
              <w:rPr>
                <w:rFonts w:ascii="宋体" w:hAnsi="宋体" w:cs="Arial"/>
                <w:kern w:val="0"/>
                <w:sz w:val="13"/>
                <w:szCs w:val="18"/>
              </w:rPr>
              <w:t>6</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企业制定的应急预案应当至少每三年修订一次</w:t>
            </w:r>
            <w:r>
              <w:rPr>
                <w:rFonts w:hint="eastAsia" w:ascii="宋体" w:hAnsi="宋体" w:cs="Arial"/>
                <w:kern w:val="0"/>
                <w:sz w:val="13"/>
                <w:szCs w:val="18"/>
              </w:rPr>
              <w:t>，</w:t>
            </w:r>
            <w:r>
              <w:rPr>
                <w:rFonts w:hint="eastAsia" w:ascii="宋体" w:hAnsi="宋体" w:cs="宋体"/>
                <w:kern w:val="0"/>
                <w:sz w:val="13"/>
                <w:szCs w:val="18"/>
              </w:rPr>
              <w:t>预案修订情况应有记录并归档。有下列情形之一的，应急预案应当及时修订：</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生产经营单位因兼并、重组、转制等导致隶属关系、经营方式、法定代表人发生变化的；</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生产经营单位生产工艺和技术发生变化的；</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周围环境发生变化，形成新的重大危险源</w:t>
            </w:r>
            <w:r>
              <w:rPr>
                <w:rFonts w:ascii="宋体" w:hAnsi="宋体" w:cs="宋体"/>
                <w:kern w:val="0"/>
                <w:sz w:val="13"/>
                <w:szCs w:val="18"/>
              </w:rPr>
              <w:t xml:space="preserve"> </w:t>
            </w:r>
            <w:r>
              <w:rPr>
                <w:rFonts w:hint="eastAsia" w:ascii="宋体" w:hAnsi="宋体" w:cs="宋体"/>
                <w:kern w:val="0"/>
                <w:sz w:val="13"/>
                <w:szCs w:val="18"/>
              </w:rPr>
              <w:t>的；</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应急组织指挥体系或者职责已经调整的；</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依据的法律、法规、规章和标准发生变化的；</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应急预案演练评估报告要求修订的；</w:t>
            </w:r>
          </w:p>
          <w:p>
            <w:pPr>
              <w:autoSpaceDE w:val="0"/>
              <w:autoSpaceDN w:val="0"/>
              <w:adjustRightInd w:val="0"/>
              <w:jc w:val="left"/>
              <w:rPr>
                <w:rFonts w:ascii="宋体" w:hAnsi="宋体" w:cs="宋体"/>
                <w:kern w:val="0"/>
                <w:sz w:val="13"/>
                <w:szCs w:val="18"/>
              </w:rPr>
            </w:pPr>
            <w:r>
              <w:rPr>
                <w:rFonts w:ascii="宋体" w:hAnsi="宋体" w:cs="Arial"/>
                <w:kern w:val="0"/>
                <w:sz w:val="13"/>
                <w:szCs w:val="18"/>
              </w:rPr>
              <w:t>7.</w:t>
            </w:r>
            <w:r>
              <w:rPr>
                <w:rFonts w:hint="eastAsia" w:ascii="宋体" w:hAnsi="宋体" w:cs="宋体"/>
                <w:kern w:val="0"/>
                <w:sz w:val="13"/>
                <w:szCs w:val="18"/>
              </w:rPr>
              <w:t>应急预案管理部门要求修订的。</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《生产安全事故应急预案管理</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办法》（国家安全监管总局令第</w:t>
            </w:r>
          </w:p>
          <w:p>
            <w:pPr>
              <w:autoSpaceDE w:val="0"/>
              <w:autoSpaceDN w:val="0"/>
              <w:adjustRightInd w:val="0"/>
              <w:jc w:val="left"/>
              <w:rPr>
                <w:rFonts w:ascii="宋体" w:hAnsi="宋体" w:cs="宋体"/>
                <w:kern w:val="0"/>
                <w:sz w:val="13"/>
                <w:szCs w:val="18"/>
              </w:rPr>
            </w:pPr>
            <w:r>
              <w:rPr>
                <w:rFonts w:ascii="宋体" w:hAnsi="宋体" w:cs="Arial"/>
                <w:kern w:val="0"/>
                <w:sz w:val="13"/>
                <w:szCs w:val="18"/>
              </w:rPr>
              <w:t xml:space="preserve">17 </w:t>
            </w:r>
            <w:r>
              <w:rPr>
                <w:rFonts w:hint="eastAsia" w:ascii="宋体" w:hAnsi="宋体" w:cs="宋体"/>
                <w:kern w:val="0"/>
                <w:sz w:val="13"/>
                <w:szCs w:val="18"/>
              </w:rPr>
              <w:t>号）</w:t>
            </w:r>
          </w:p>
        </w:tc>
        <w:tc>
          <w:tcPr>
            <w:tcW w:w="1160" w:type="dxa"/>
          </w:tcPr>
          <w:p>
            <w:pPr>
              <w:autoSpaceDE w:val="0"/>
              <w:autoSpaceDN w:val="0"/>
              <w:adjustRightInd w:val="0"/>
              <w:jc w:val="left"/>
              <w:rPr>
                <w:rFonts w:ascii="宋体" w:hAnsi="宋体" w:cs="Arial"/>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 xml:space="preserve">/ </w:t>
            </w:r>
            <w:r>
              <w:rPr>
                <w:rFonts w:hint="eastAsia" w:ascii="宋体" w:hAnsi="宋体" w:cs="宋体"/>
                <w:kern w:val="0"/>
                <w:sz w:val="13"/>
                <w:szCs w:val="18"/>
              </w:rPr>
              <w:t>年</w:t>
            </w:r>
            <w:r>
              <w:rPr>
                <w:rFonts w:ascii="宋体" w:hAnsi="宋体" w:cs="宋体"/>
                <w:kern w:val="0"/>
                <w:sz w:val="13"/>
                <w:szCs w:val="18"/>
              </w:rPr>
              <w:t xml:space="preserve"> </w:t>
            </w:r>
            <w:r>
              <w:rPr>
                <w:rFonts w:hint="eastAsia" w:ascii="宋体" w:hAnsi="宋体" w:cs="宋体"/>
                <w:kern w:val="0"/>
                <w:sz w:val="13"/>
                <w:szCs w:val="18"/>
              </w:rPr>
              <w:t>或根</w:t>
            </w:r>
            <w:r>
              <w:rPr>
                <w:rFonts w:ascii="宋体" w:hAnsi="宋体" w:cs="宋体"/>
                <w:kern w:val="0"/>
                <w:sz w:val="13"/>
                <w:szCs w:val="18"/>
              </w:rPr>
              <w:t xml:space="preserve"> </w:t>
            </w:r>
            <w:r>
              <w:rPr>
                <w:rFonts w:hint="eastAsia" w:ascii="宋体" w:hAnsi="宋体" w:cs="宋体"/>
                <w:kern w:val="0"/>
                <w:sz w:val="13"/>
                <w:szCs w:val="18"/>
              </w:rPr>
              <w:t>据情</w:t>
            </w:r>
            <w:r>
              <w:rPr>
                <w:rFonts w:ascii="宋体" w:hAnsi="宋体" w:cs="宋体"/>
                <w:kern w:val="0"/>
                <w:sz w:val="13"/>
                <w:szCs w:val="18"/>
              </w:rPr>
              <w:t xml:space="preserve"> </w:t>
            </w:r>
            <w:r>
              <w:rPr>
                <w:rFonts w:hint="eastAsia" w:ascii="宋体" w:hAnsi="宋体" w:cs="宋体"/>
                <w:kern w:val="0"/>
                <w:sz w:val="13"/>
                <w:szCs w:val="18"/>
              </w:rPr>
              <w:t>况随</w:t>
            </w:r>
            <w:r>
              <w:rPr>
                <w:rFonts w:ascii="宋体" w:hAnsi="宋体" w:cs="宋体"/>
                <w:kern w:val="0"/>
                <w:sz w:val="13"/>
                <w:szCs w:val="18"/>
              </w:rPr>
              <w:t xml:space="preserve"> </w:t>
            </w:r>
            <w:r>
              <w:rPr>
                <w:rFonts w:hint="eastAsia" w:ascii="宋体" w:hAnsi="宋体" w:cs="宋体"/>
                <w:kern w:val="0"/>
                <w:sz w:val="13"/>
                <w:szCs w:val="18"/>
              </w:rPr>
              <w:t>时检</w:t>
            </w:r>
            <w:r>
              <w:rPr>
                <w:rFonts w:ascii="宋体" w:hAnsi="宋体" w:cs="宋体"/>
                <w:kern w:val="0"/>
                <w:sz w:val="13"/>
                <w:szCs w:val="18"/>
              </w:rPr>
              <w:t xml:space="preserve"> </w:t>
            </w:r>
            <w:r>
              <w:rPr>
                <w:rFonts w:hint="eastAsia" w:ascii="宋体" w:hAnsi="宋体" w:cs="宋体"/>
                <w:kern w:val="0"/>
                <w:sz w:val="13"/>
                <w:szCs w:val="18"/>
              </w:rPr>
              <w:t>查</w:t>
            </w:r>
          </w:p>
        </w:tc>
      </w:tr>
    </w:tbl>
    <w:p>
      <w:pPr>
        <w:autoSpaceDE w:val="0"/>
        <w:autoSpaceDN w:val="0"/>
        <w:adjustRightInd w:val="0"/>
        <w:jc w:val="left"/>
        <w:rPr>
          <w:rFonts w:ascii="宋体" w:hAnsi="宋体"/>
          <w:kern w:val="0"/>
          <w:sz w:val="13"/>
          <w:szCs w:val="18"/>
        </w:rPr>
        <w:sectPr>
          <w:headerReference r:id="rId3" w:type="default"/>
          <w:footerReference r:id="rId4" w:type="default"/>
          <w:footerReference r:id="rId5" w:type="even"/>
          <w:pgSz w:w="11906" w:h="16838"/>
          <w:pgMar w:top="1361" w:right="1826" w:bottom="1361" w:left="1644" w:header="851" w:footer="992" w:gutter="0"/>
          <w:pgBorders w:offsetFrom="page">
            <w:top w:val="single" w:color="auto" w:sz="4" w:space="24"/>
            <w:left w:val="single" w:color="auto" w:sz="4" w:space="24"/>
            <w:bottom w:val="single" w:color="auto" w:sz="4" w:space="24"/>
            <w:right w:val="single" w:color="auto" w:sz="4" w:space="24"/>
          </w:pgBorders>
          <w:cols w:space="425" w:num="1"/>
          <w:docGrid w:type="lines" w:linePitch="312" w:charSpace="0"/>
        </w:sectPr>
      </w:pPr>
    </w:p>
    <w:p>
      <w:pPr>
        <w:pStyle w:val="3"/>
        <w:rPr>
          <w:rFonts w:hint="default"/>
          <w:sz w:val="21"/>
          <w:szCs w:val="28"/>
        </w:rPr>
      </w:pPr>
      <w:bookmarkStart w:id="122" w:name="_Toc11921484"/>
      <w:r>
        <w:rPr>
          <w:sz w:val="21"/>
          <w:szCs w:val="28"/>
        </w:rPr>
        <w:t>2 区域位置及总图布置隐患排查表</w:t>
      </w:r>
      <w:bookmarkEnd w:id="122"/>
    </w:p>
    <w:tbl>
      <w:tblPr>
        <w:tblStyle w:val="11"/>
        <w:tblW w:w="858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4236"/>
        <w:gridCol w:w="2715"/>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67"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36"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15"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3"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一、区域位置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危险化学品生产装置和储存危险化学品数量构成重大危险源的储存设施，与下列场所、区域的距离是否符合国家相关法律、法规、规章和标准的规定：</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居民区、商业中心、公园等人口密集区域；</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学校、医院、影剧院、体育场（馆）等公共设施；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供水水源、水厂及水源保护区；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车站、码头（按照国家规定，经批准专门从事危险化学品装卸作业的除外）、机场以及公路、铁路、水路交通干线、地铁风亭及出入口；</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基本农田保护区、畜牧区、渔业水域和种子、种畜、水产苗种生产基地；</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河流、湖泊、风景名胜区和自然保护区；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7.</w:t>
            </w:r>
            <w:r>
              <w:rPr>
                <w:rFonts w:hint="eastAsia" w:ascii="宋体" w:hAnsi="宋体" w:cs="宋体"/>
                <w:kern w:val="0"/>
                <w:sz w:val="13"/>
                <w:szCs w:val="18"/>
              </w:rPr>
              <w:t>军事禁区、军事管理区；</w:t>
            </w:r>
          </w:p>
          <w:p>
            <w:pPr>
              <w:autoSpaceDE w:val="0"/>
              <w:autoSpaceDN w:val="0"/>
              <w:adjustRightInd w:val="0"/>
              <w:jc w:val="left"/>
              <w:rPr>
                <w:rFonts w:ascii="宋体" w:hAnsi="宋体"/>
                <w:kern w:val="0"/>
                <w:sz w:val="13"/>
                <w:szCs w:val="18"/>
              </w:rPr>
            </w:pPr>
            <w:r>
              <w:rPr>
                <w:rFonts w:ascii="宋体" w:hAnsi="宋体" w:cs="Arial"/>
                <w:kern w:val="0"/>
                <w:sz w:val="13"/>
                <w:szCs w:val="18"/>
              </w:rPr>
              <w:t>8.</w:t>
            </w:r>
            <w:r>
              <w:rPr>
                <w:rFonts w:hint="eastAsia" w:ascii="宋体" w:hAnsi="宋体" w:cs="宋体"/>
                <w:kern w:val="0"/>
                <w:sz w:val="13"/>
                <w:szCs w:val="18"/>
              </w:rPr>
              <w:t>法律、行政法规规定予以保护的其他区域。</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《危险化学品安全管理条例》第</w:t>
            </w:r>
            <w:r>
              <w:rPr>
                <w:rFonts w:ascii="宋体" w:hAnsi="宋体" w:cs="Arial"/>
                <w:kern w:val="0"/>
                <w:sz w:val="13"/>
                <w:szCs w:val="18"/>
              </w:rPr>
              <w:t xml:space="preserve">10 </w:t>
            </w:r>
            <w:r>
              <w:rPr>
                <w:rFonts w:hint="eastAsia" w:ascii="宋体" w:hAnsi="宋体" w:cs="宋体"/>
                <w:kern w:val="0"/>
                <w:sz w:val="13"/>
                <w:szCs w:val="18"/>
              </w:rPr>
              <w:t>条、《危险化学品生产企业安全生产许可证实施办法》（国家安全监管总局令第</w:t>
            </w:r>
            <w:r>
              <w:rPr>
                <w:rFonts w:ascii="宋体" w:hAnsi="宋体" w:cs="Arial"/>
                <w:kern w:val="0"/>
                <w:sz w:val="13"/>
                <w:szCs w:val="18"/>
              </w:rPr>
              <w:t>41</w:t>
            </w:r>
            <w:r>
              <w:rPr>
                <w:rFonts w:hint="eastAsia" w:ascii="宋体" w:hAnsi="宋体" w:cs="宋体"/>
                <w:kern w:val="0"/>
                <w:sz w:val="13"/>
                <w:szCs w:val="18"/>
              </w:rPr>
              <w:t>号）第</w:t>
            </w:r>
            <w:r>
              <w:rPr>
                <w:rFonts w:ascii="宋体" w:hAnsi="宋体" w:cs="宋体"/>
                <w:kern w:val="0"/>
                <w:sz w:val="13"/>
                <w:szCs w:val="18"/>
              </w:rPr>
              <w:t xml:space="preserve"> </w:t>
            </w:r>
            <w:r>
              <w:rPr>
                <w:rFonts w:ascii="宋体" w:hAnsi="宋体" w:cs="Arial"/>
                <w:kern w:val="0"/>
                <w:sz w:val="13"/>
                <w:szCs w:val="18"/>
              </w:rPr>
              <w:t xml:space="preserve">12 </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hint="eastAsia" w:ascii="宋体" w:hAnsi="宋体" w:cs="Arial"/>
                <w:kern w:val="0"/>
                <w:sz w:val="13"/>
                <w:szCs w:val="18"/>
              </w:rPr>
              <w:t>/</w:t>
            </w:r>
            <w:r>
              <w:rPr>
                <w:rFonts w:hint="eastAsia" w:ascii="宋体" w:hAnsi="宋体" w:cs="宋体"/>
                <w:kern w:val="0"/>
                <w:sz w:val="13"/>
                <w:szCs w:val="1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石油化工装置（设施）与居住区之间的卫生防护距离，应按《石油化工企业卫生防护距离》</w:t>
            </w:r>
            <w:r>
              <w:rPr>
                <w:rFonts w:hint="eastAsia" w:ascii="宋体" w:hAnsi="宋体" w:cs="Arial"/>
                <w:kern w:val="0"/>
                <w:sz w:val="13"/>
                <w:szCs w:val="18"/>
              </w:rPr>
              <w:t>SH</w:t>
            </w:r>
            <w:r>
              <w:rPr>
                <w:rFonts w:ascii="宋体" w:hAnsi="宋体" w:cs="Arial"/>
                <w:kern w:val="0"/>
                <w:sz w:val="13"/>
                <w:szCs w:val="18"/>
              </w:rPr>
              <w:t xml:space="preserve">3093-1999 </w:t>
            </w:r>
            <w:r>
              <w:rPr>
                <w:rFonts w:hint="eastAsia" w:ascii="宋体" w:hAnsi="宋体" w:cs="宋体"/>
                <w:kern w:val="0"/>
                <w:sz w:val="13"/>
                <w:szCs w:val="18"/>
              </w:rPr>
              <w:t>中表</w:t>
            </w:r>
            <w:r>
              <w:rPr>
                <w:rFonts w:ascii="宋体" w:hAnsi="宋体" w:cs="宋体"/>
                <w:kern w:val="0"/>
                <w:sz w:val="13"/>
                <w:szCs w:val="18"/>
              </w:rPr>
              <w:t xml:space="preserve"> </w:t>
            </w:r>
            <w:r>
              <w:rPr>
                <w:rFonts w:ascii="宋体" w:hAnsi="宋体" w:cs="Arial"/>
                <w:kern w:val="0"/>
                <w:sz w:val="13"/>
                <w:szCs w:val="18"/>
              </w:rPr>
              <w:t xml:space="preserve">2.0.1 </w:t>
            </w:r>
            <w:r>
              <w:rPr>
                <w:rFonts w:hint="eastAsia" w:ascii="宋体" w:hAnsi="宋体" w:cs="宋体"/>
                <w:kern w:val="0"/>
                <w:sz w:val="13"/>
                <w:szCs w:val="18"/>
              </w:rPr>
              <w:t>确定，表中未列出的装置（设施）与居住区之间的卫生防护距离一般不应小于</w:t>
            </w:r>
            <w:r>
              <w:rPr>
                <w:rFonts w:ascii="宋体" w:hAnsi="宋体" w:cs="宋体"/>
                <w:kern w:val="0"/>
                <w:sz w:val="13"/>
                <w:szCs w:val="18"/>
              </w:rPr>
              <w:t xml:space="preserve"> </w:t>
            </w:r>
            <w:r>
              <w:rPr>
                <w:rFonts w:ascii="宋体" w:hAnsi="宋体" w:cs="Arial"/>
                <w:kern w:val="0"/>
                <w:sz w:val="13"/>
                <w:szCs w:val="18"/>
              </w:rPr>
              <w:t>150m</w:t>
            </w:r>
            <w:r>
              <w:rPr>
                <w:rFonts w:hint="eastAsia" w:ascii="宋体" w:hAnsi="宋体" w:cs="宋体"/>
                <w:kern w:val="0"/>
                <w:sz w:val="13"/>
                <w:szCs w:val="18"/>
              </w:rPr>
              <w:t>。卫生防护距离范围内不应设置居住性建筑物，并宜绿化。</w:t>
            </w:r>
          </w:p>
        </w:tc>
        <w:tc>
          <w:tcPr>
            <w:tcW w:w="2715" w:type="dxa"/>
          </w:tcPr>
          <w:p>
            <w:pPr>
              <w:autoSpaceDE w:val="0"/>
              <w:autoSpaceDN w:val="0"/>
              <w:adjustRightInd w:val="0"/>
              <w:jc w:val="left"/>
              <w:rPr>
                <w:rFonts w:ascii="宋体" w:hAnsi="宋体"/>
                <w:kern w:val="0"/>
                <w:sz w:val="13"/>
                <w:szCs w:val="18"/>
              </w:rPr>
            </w:pPr>
          </w:p>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《石油化工企业卫生防护距离》</w:t>
            </w:r>
            <w:r>
              <w:rPr>
                <w:rFonts w:ascii="宋体" w:hAnsi="宋体" w:cs="宋体"/>
                <w:kern w:val="0"/>
                <w:sz w:val="13"/>
                <w:szCs w:val="18"/>
              </w:rPr>
              <w:t xml:space="preserve"> </w:t>
            </w:r>
            <w:r>
              <w:rPr>
                <w:rFonts w:ascii="宋体" w:hAnsi="宋体" w:cs="Arial"/>
                <w:kern w:val="0"/>
                <w:sz w:val="13"/>
                <w:szCs w:val="18"/>
              </w:rPr>
              <w:t>SH3093-1999</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严重产生有毒有害气体、恶臭、粉尘、噪声且目前尚无有</w:t>
            </w:r>
            <w:r>
              <w:rPr>
                <w:rFonts w:ascii="宋体" w:hAnsi="宋体" w:cs="宋体"/>
                <w:kern w:val="0"/>
                <w:sz w:val="13"/>
                <w:szCs w:val="18"/>
              </w:rPr>
              <w:t xml:space="preserve"> </w:t>
            </w:r>
            <w:r>
              <w:rPr>
                <w:rFonts w:hint="eastAsia" w:ascii="宋体" w:hAnsi="宋体" w:cs="宋体"/>
                <w:kern w:val="0"/>
                <w:sz w:val="13"/>
                <w:szCs w:val="18"/>
              </w:rPr>
              <w:t>效控制技术的工业企业，不得在居住区、学校、医院和其他人口密集的被保护区域内建设。</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《工业企业卫生设计标准》</w:t>
            </w:r>
            <w:r>
              <w:rPr>
                <w:rFonts w:ascii="宋体" w:hAnsi="宋体" w:cs="宋体"/>
                <w:kern w:val="0"/>
                <w:sz w:val="13"/>
                <w:szCs w:val="18"/>
              </w:rPr>
              <w:t>GBZ1-2002</w:t>
            </w:r>
            <w:r>
              <w:rPr>
                <w:rFonts w:hint="eastAsia" w:ascii="宋体" w:hAnsi="宋体" w:cs="宋体"/>
                <w:kern w:val="0"/>
                <w:sz w:val="13"/>
                <w:szCs w:val="18"/>
              </w:rPr>
              <w:t>第</w:t>
            </w:r>
            <w:r>
              <w:rPr>
                <w:rFonts w:ascii="宋体" w:hAnsi="宋体" w:cs="宋体"/>
                <w:kern w:val="0"/>
                <w:sz w:val="13"/>
                <w:szCs w:val="18"/>
              </w:rPr>
              <w:t xml:space="preserve"> 4.1.1</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危险化学品企业与相邻工厂或设施</w:t>
            </w:r>
            <w:r>
              <w:rPr>
                <w:rFonts w:ascii="宋体" w:hAnsi="宋体" w:cs="Arial"/>
                <w:kern w:val="0"/>
                <w:sz w:val="13"/>
                <w:szCs w:val="18"/>
              </w:rPr>
              <w:t>,</w:t>
            </w:r>
            <w:r>
              <w:rPr>
                <w:rFonts w:hint="eastAsia" w:ascii="宋体" w:hAnsi="宋体" w:cs="宋体"/>
                <w:kern w:val="0"/>
                <w:sz w:val="13"/>
                <w:szCs w:val="18"/>
              </w:rPr>
              <w:t>同类企业及油库的防火间距是否满足</w:t>
            </w:r>
            <w:r>
              <w:rPr>
                <w:rFonts w:ascii="宋体" w:hAnsi="宋体" w:cs="宋体"/>
                <w:kern w:val="0"/>
                <w:sz w:val="13"/>
                <w:szCs w:val="18"/>
              </w:rPr>
              <w:t xml:space="preserve"> </w:t>
            </w:r>
            <w:r>
              <w:rPr>
                <w:rFonts w:ascii="宋体" w:hAnsi="宋体" w:cs="Arial"/>
                <w:kern w:val="0"/>
                <w:sz w:val="13"/>
                <w:szCs w:val="18"/>
              </w:rPr>
              <w:t>GB50016</w:t>
            </w:r>
            <w:r>
              <w:rPr>
                <w:rFonts w:hint="eastAsia" w:ascii="宋体" w:hAnsi="宋体" w:cs="宋体"/>
                <w:kern w:val="0"/>
                <w:sz w:val="13"/>
                <w:szCs w:val="18"/>
              </w:rPr>
              <w:t>、</w:t>
            </w:r>
            <w:r>
              <w:rPr>
                <w:rFonts w:ascii="宋体" w:hAnsi="宋体" w:cs="Arial"/>
                <w:kern w:val="0"/>
                <w:sz w:val="13"/>
                <w:szCs w:val="18"/>
              </w:rPr>
              <w:t>GB50160</w:t>
            </w:r>
            <w:r>
              <w:rPr>
                <w:rFonts w:hint="eastAsia" w:ascii="宋体" w:hAnsi="宋体" w:cs="宋体"/>
                <w:kern w:val="0"/>
                <w:sz w:val="13"/>
                <w:szCs w:val="18"/>
              </w:rPr>
              <w:t>、</w:t>
            </w:r>
            <w:r>
              <w:rPr>
                <w:rFonts w:ascii="宋体" w:hAnsi="宋体" w:cs="Arial"/>
                <w:kern w:val="0"/>
                <w:sz w:val="13"/>
                <w:szCs w:val="18"/>
              </w:rPr>
              <w:t>GB50074</w:t>
            </w:r>
            <w:r>
              <w:rPr>
                <w:rFonts w:hint="eastAsia" w:ascii="宋体" w:hAnsi="宋体" w:cs="宋体"/>
                <w:kern w:val="0"/>
                <w:sz w:val="13"/>
                <w:szCs w:val="18"/>
              </w:rPr>
              <w:t>、</w:t>
            </w:r>
            <w:r>
              <w:rPr>
                <w:rFonts w:ascii="宋体" w:hAnsi="宋体" w:cs="Arial"/>
                <w:kern w:val="0"/>
                <w:sz w:val="13"/>
                <w:szCs w:val="18"/>
              </w:rPr>
              <w:t xml:space="preserve">GB50183 </w:t>
            </w:r>
            <w:r>
              <w:rPr>
                <w:rFonts w:hint="eastAsia" w:ascii="宋体" w:hAnsi="宋体" w:cs="宋体"/>
                <w:kern w:val="0"/>
                <w:sz w:val="13"/>
                <w:szCs w:val="18"/>
              </w:rPr>
              <w:t>等相关规范的要求。</w:t>
            </w:r>
          </w:p>
        </w:tc>
        <w:tc>
          <w:tcPr>
            <w:tcW w:w="2715" w:type="dxa"/>
          </w:tcPr>
          <w:p>
            <w:pPr>
              <w:autoSpaceDE w:val="0"/>
              <w:autoSpaceDN w:val="0"/>
              <w:adjustRightInd w:val="0"/>
              <w:jc w:val="left"/>
              <w:rPr>
                <w:rFonts w:ascii="宋体" w:hAnsi="宋体"/>
                <w:kern w:val="0"/>
                <w:sz w:val="13"/>
                <w:szCs w:val="18"/>
              </w:rPr>
            </w:pP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邻近江河、湖、海岸布置的危险化学品装置和罐区，是否采取防止泄漏的危险化学品液体和受污染的消防水进入水域的措施。</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《石油化工企业设计防火规范》</w:t>
            </w:r>
            <w:r>
              <w:rPr>
                <w:rFonts w:ascii="宋体" w:hAnsi="宋体" w:cs="Arial"/>
                <w:kern w:val="0"/>
                <w:sz w:val="13"/>
                <w:szCs w:val="18"/>
              </w:rPr>
              <w:t>GB 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 xml:space="preserve">4.1.5 </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当区域排洪沟通过厂区时：</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不宜通过生产区；</w:t>
            </w:r>
          </w:p>
          <w:p>
            <w:pPr>
              <w:autoSpaceDE w:val="0"/>
              <w:autoSpaceDN w:val="0"/>
              <w:adjustRightInd w:val="0"/>
              <w:jc w:val="left"/>
              <w:rPr>
                <w:rFonts w:ascii="宋体" w:hAnsi="宋体"/>
                <w:kern w:val="0"/>
                <w:sz w:val="13"/>
                <w:szCs w:val="18"/>
              </w:rPr>
            </w:pPr>
            <w:r>
              <w:rPr>
                <w:rFonts w:ascii="宋体" w:hAnsi="宋体" w:cs="Arial"/>
                <w:kern w:val="0"/>
                <w:sz w:val="13"/>
                <w:szCs w:val="18"/>
              </w:rPr>
              <w:t>2.</w:t>
            </w:r>
            <w:r>
              <w:rPr>
                <w:rFonts w:hint="eastAsia" w:ascii="宋体" w:hAnsi="宋体" w:cs="宋体"/>
                <w:kern w:val="0"/>
                <w:sz w:val="13"/>
                <w:szCs w:val="18"/>
              </w:rPr>
              <w:t>应采取防止泄漏的可燃液体和受污染的消防水流入区域排洪沟的措施。</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 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4.1.7</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危险化学品企业对下列自然灾害因素是否采取了有效的防范措施。抗震、抗洪、抗地质灾害等设计标准是否符合要求：</w:t>
            </w:r>
          </w:p>
          <w:p>
            <w:pPr>
              <w:autoSpaceDE w:val="0"/>
              <w:autoSpaceDN w:val="0"/>
              <w:adjustRightInd w:val="0"/>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破坏性地震；</w:t>
            </w:r>
          </w:p>
          <w:p>
            <w:pPr>
              <w:autoSpaceDE w:val="0"/>
              <w:autoSpaceDN w:val="0"/>
              <w:adjustRightInd w:val="0"/>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洪汛灾害（江河洪水、渍涝灾害、山洪灾害、风暴潮灾害）；</w:t>
            </w:r>
          </w:p>
          <w:p>
            <w:pPr>
              <w:autoSpaceDE w:val="0"/>
              <w:autoSpaceDN w:val="0"/>
              <w:adjustRightInd w:val="0"/>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气象灾害（强热带风暴、飓风、暴雨、冰雪、海啸、海</w:t>
            </w:r>
            <w:r>
              <w:rPr>
                <w:rFonts w:ascii="宋体" w:hAnsi="宋体" w:cs="宋体"/>
                <w:kern w:val="0"/>
                <w:sz w:val="13"/>
                <w:szCs w:val="18"/>
              </w:rPr>
              <w:t xml:space="preserve"> </w:t>
            </w:r>
            <w:r>
              <w:rPr>
                <w:rFonts w:hint="eastAsia" w:ascii="宋体" w:hAnsi="宋体" w:cs="宋体"/>
                <w:kern w:val="0"/>
                <w:sz w:val="13"/>
                <w:szCs w:val="18"/>
              </w:rPr>
              <w:t>冰等）；</w:t>
            </w:r>
          </w:p>
          <w:p>
            <w:pPr>
              <w:autoSpaceDE w:val="0"/>
              <w:autoSpaceDN w:val="0"/>
              <w:adjustRightInd w:val="0"/>
              <w:rPr>
                <w:rFonts w:ascii="宋体" w:hAnsi="宋体"/>
                <w:kern w:val="0"/>
                <w:sz w:val="13"/>
                <w:szCs w:val="18"/>
              </w:rPr>
            </w:pPr>
            <w:r>
              <w:rPr>
                <w:rFonts w:ascii="宋体" w:hAnsi="宋体" w:cs="宋体"/>
                <w:kern w:val="0"/>
                <w:sz w:val="13"/>
                <w:szCs w:val="18"/>
              </w:rPr>
              <w:t>4.</w:t>
            </w:r>
            <w:r>
              <w:rPr>
                <w:rFonts w:hint="eastAsia" w:ascii="宋体" w:hAnsi="宋体" w:cs="宋体"/>
                <w:kern w:val="0"/>
                <w:sz w:val="13"/>
                <w:szCs w:val="18"/>
              </w:rPr>
              <w:t>由于地震、洪汛、气象灾害而引发的其他灾害。</w:t>
            </w:r>
          </w:p>
        </w:tc>
        <w:tc>
          <w:tcPr>
            <w:tcW w:w="2715" w:type="dxa"/>
          </w:tcPr>
          <w:p>
            <w:pPr>
              <w:autoSpaceDE w:val="0"/>
              <w:autoSpaceDN w:val="0"/>
              <w:adjustRightInd w:val="0"/>
              <w:jc w:val="left"/>
              <w:rPr>
                <w:rFonts w:ascii="宋体" w:hAnsi="宋体"/>
                <w:kern w:val="0"/>
                <w:sz w:val="13"/>
                <w:szCs w:val="18"/>
              </w:rPr>
            </w:pPr>
          </w:p>
        </w:tc>
        <w:tc>
          <w:tcPr>
            <w:tcW w:w="1163"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二、总图布置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可能散发可燃气体的工艺装置、罐组、装卸区或全厂性污水处理场等设施，宜布置在人员集中场所，及明火或散发火花地点的全年最小频率风向的上风侧。</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 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4.2.2</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危险化学品生产装置与下列场所防火安全间距是否符合规范要求：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控制室；</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变配电室；</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点火源（包括火炬）；</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办公楼；</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厂房；</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消防站及消防泵房；</w:t>
            </w:r>
          </w:p>
          <w:p>
            <w:pPr>
              <w:autoSpaceDE w:val="0"/>
              <w:autoSpaceDN w:val="0"/>
              <w:adjustRightInd w:val="0"/>
              <w:jc w:val="left"/>
              <w:rPr>
                <w:rFonts w:ascii="宋体" w:hAnsi="宋体" w:cs="宋体"/>
                <w:kern w:val="0"/>
                <w:sz w:val="13"/>
                <w:szCs w:val="18"/>
              </w:rPr>
            </w:pPr>
            <w:r>
              <w:rPr>
                <w:rFonts w:ascii="宋体" w:hAnsi="宋体" w:cs="Arial"/>
                <w:kern w:val="0"/>
                <w:sz w:val="13"/>
                <w:szCs w:val="18"/>
              </w:rPr>
              <w:t>7.</w:t>
            </w:r>
            <w:r>
              <w:rPr>
                <w:rFonts w:hint="eastAsia" w:ascii="宋体" w:hAnsi="宋体" w:cs="宋体"/>
                <w:kern w:val="0"/>
                <w:sz w:val="13"/>
                <w:szCs w:val="18"/>
              </w:rPr>
              <w:t>空分空压站；</w:t>
            </w:r>
          </w:p>
          <w:p>
            <w:pPr>
              <w:autoSpaceDE w:val="0"/>
              <w:autoSpaceDN w:val="0"/>
              <w:adjustRightInd w:val="0"/>
              <w:jc w:val="left"/>
              <w:rPr>
                <w:rFonts w:ascii="宋体" w:hAnsi="宋体" w:cs="宋体"/>
                <w:kern w:val="0"/>
                <w:sz w:val="13"/>
                <w:szCs w:val="18"/>
              </w:rPr>
            </w:pPr>
            <w:r>
              <w:rPr>
                <w:rFonts w:ascii="宋体" w:hAnsi="宋体" w:cs="Arial"/>
                <w:kern w:val="0"/>
                <w:sz w:val="13"/>
                <w:szCs w:val="18"/>
              </w:rPr>
              <w:t>8.</w:t>
            </w:r>
            <w:r>
              <w:rPr>
                <w:rFonts w:hint="eastAsia" w:ascii="宋体" w:hAnsi="宋体" w:cs="宋体"/>
                <w:kern w:val="0"/>
                <w:sz w:val="13"/>
                <w:szCs w:val="18"/>
              </w:rPr>
              <w:t>危险化学品生产与储存设施；</w:t>
            </w:r>
          </w:p>
          <w:p>
            <w:pPr>
              <w:autoSpaceDE w:val="0"/>
              <w:autoSpaceDN w:val="0"/>
              <w:adjustRightInd w:val="0"/>
              <w:jc w:val="left"/>
              <w:rPr>
                <w:rFonts w:ascii="宋体" w:hAnsi="宋体"/>
                <w:kern w:val="0"/>
                <w:sz w:val="13"/>
                <w:szCs w:val="18"/>
              </w:rPr>
            </w:pPr>
            <w:r>
              <w:rPr>
                <w:rFonts w:ascii="宋体" w:hAnsi="宋体" w:cs="Arial"/>
                <w:kern w:val="0"/>
                <w:sz w:val="13"/>
                <w:szCs w:val="18"/>
              </w:rPr>
              <w:t>9.</w:t>
            </w:r>
            <w:r>
              <w:rPr>
                <w:rFonts w:hint="eastAsia" w:ascii="宋体" w:hAnsi="宋体" w:cs="宋体"/>
                <w:kern w:val="0"/>
                <w:sz w:val="13"/>
                <w:szCs w:val="18"/>
              </w:rPr>
              <w:t>其他重要设施及场所。</w:t>
            </w:r>
          </w:p>
        </w:tc>
        <w:tc>
          <w:tcPr>
            <w:tcW w:w="2715" w:type="dxa"/>
          </w:tcPr>
          <w:p>
            <w:pPr>
              <w:autoSpaceDE w:val="0"/>
              <w:autoSpaceDN w:val="0"/>
              <w:adjustRightInd w:val="0"/>
              <w:jc w:val="left"/>
              <w:rPr>
                <w:rFonts w:ascii="宋体" w:hAnsi="宋体"/>
                <w:kern w:val="0"/>
                <w:sz w:val="13"/>
                <w:szCs w:val="18"/>
              </w:rPr>
            </w:pP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空分站应布置在空气清洁地段，并宜位于散发乙炔及其他</w:t>
            </w:r>
            <w:r>
              <w:rPr>
                <w:rFonts w:ascii="宋体" w:hAnsi="宋体" w:cs="宋体"/>
                <w:kern w:val="0"/>
                <w:sz w:val="13"/>
                <w:szCs w:val="18"/>
              </w:rPr>
              <w:t xml:space="preserve"> </w:t>
            </w:r>
            <w:r>
              <w:rPr>
                <w:rFonts w:hint="eastAsia" w:ascii="宋体" w:hAnsi="宋体" w:cs="宋体"/>
                <w:kern w:val="0"/>
                <w:sz w:val="13"/>
                <w:szCs w:val="18"/>
              </w:rPr>
              <w:t>可燃气体、粉尘等场所的全年最小频率风向的下风侧。</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w:t>
            </w:r>
            <w:r>
              <w:rPr>
                <w:rFonts w:hint="eastAsia" w:ascii="宋体" w:hAnsi="宋体" w:cs="Arial"/>
                <w:kern w:val="0"/>
                <w:sz w:val="13"/>
                <w:szCs w:val="18"/>
              </w:rPr>
              <w:t xml:space="preserve"> </w:t>
            </w:r>
            <w:r>
              <w:rPr>
                <w:rFonts w:ascii="宋体" w:hAnsi="宋体" w:cs="Arial"/>
                <w:kern w:val="0"/>
                <w:sz w:val="13"/>
                <w:szCs w:val="18"/>
              </w:rPr>
              <w:t>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 xml:space="preserve">4.2.5 </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汽车装卸设施、液化烃灌装站及各类物品仓库等机动车辆频繁进出的设施应布置在厂区边缘或厂区外，并宜设围墙独立成区。</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 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3.2.7</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下列设施应满足：</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公路和地区架空电力线不应穿越生产区；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地区输油（输气）管道不应穿越厂区；</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采用架空电力线路进出厂区的总变电所，应布置在厂区边缘。</w:t>
            </w:r>
          </w:p>
        </w:tc>
        <w:tc>
          <w:tcPr>
            <w:tcW w:w="2715" w:type="dxa"/>
          </w:tcPr>
          <w:p>
            <w:pPr>
              <w:autoSpaceDE w:val="0"/>
              <w:autoSpaceDN w:val="0"/>
              <w:adjustRightInd w:val="0"/>
              <w:rPr>
                <w:rFonts w:ascii="宋体" w:hAnsi="宋体"/>
                <w:kern w:val="0"/>
                <w:sz w:val="13"/>
                <w:szCs w:val="18"/>
              </w:rPr>
            </w:pPr>
            <w:r>
              <w:rPr>
                <w:rFonts w:ascii="宋体" w:hAnsi="宋体" w:cs="Arial"/>
                <w:kern w:val="0"/>
                <w:sz w:val="13"/>
                <w:szCs w:val="18"/>
              </w:rPr>
              <w:t>GB 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 xml:space="preserve">4.1.6 </w:t>
            </w:r>
            <w:r>
              <w:rPr>
                <w:rFonts w:hint="eastAsia" w:ascii="宋体" w:hAnsi="宋体" w:cs="宋体"/>
                <w:kern w:val="0"/>
                <w:sz w:val="13"/>
                <w:szCs w:val="18"/>
              </w:rPr>
              <w:t>条、第</w:t>
            </w:r>
            <w:r>
              <w:rPr>
                <w:rFonts w:ascii="宋体" w:hAnsi="宋体" w:cs="宋体"/>
                <w:kern w:val="0"/>
                <w:sz w:val="13"/>
                <w:szCs w:val="18"/>
              </w:rPr>
              <w:t xml:space="preserve"> </w:t>
            </w:r>
            <w:r>
              <w:rPr>
                <w:rFonts w:ascii="宋体" w:hAnsi="宋体" w:cs="Arial"/>
                <w:kern w:val="0"/>
                <w:sz w:val="13"/>
                <w:szCs w:val="18"/>
              </w:rPr>
              <w:t>4.1.8</w:t>
            </w:r>
            <w:r>
              <w:rPr>
                <w:rFonts w:hint="eastAsia" w:ascii="宋体" w:hAnsi="宋体" w:cs="宋体"/>
                <w:kern w:val="0"/>
                <w:sz w:val="13"/>
                <w:szCs w:val="18"/>
              </w:rPr>
              <w:t>条、第</w:t>
            </w:r>
            <w:r>
              <w:rPr>
                <w:rFonts w:ascii="宋体" w:hAnsi="宋体" w:cs="宋体"/>
                <w:kern w:val="0"/>
                <w:sz w:val="13"/>
                <w:szCs w:val="18"/>
              </w:rPr>
              <w:t xml:space="preserve"> </w:t>
            </w:r>
            <w:r>
              <w:rPr>
                <w:rFonts w:ascii="宋体" w:hAnsi="宋体" w:cs="Arial"/>
                <w:kern w:val="0"/>
                <w:sz w:val="13"/>
                <w:szCs w:val="18"/>
              </w:rPr>
              <w:t>4.2.9</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在布置产生剧毒物质、高温以及强放射性装置的车间时，同时考虑相应事故防范和应急、救援设施和设备的配套并留有应急通道。</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GBZ 1-2002</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 xml:space="preserve">4.2.1.6 </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严禁将泡沫站设置在防火堤内、围堰内、泡沫灭火系统保护区或其他火灾及爆炸危险区内；当泡沫站靠近防火堤设置时，其与各甲、乙、丙类液体储罐罐壁之间的间距应大于</w:t>
            </w:r>
            <w:r>
              <w:rPr>
                <w:rFonts w:ascii="宋体" w:hAnsi="宋体" w:cs="宋体"/>
                <w:kern w:val="0"/>
                <w:sz w:val="13"/>
                <w:szCs w:val="18"/>
              </w:rPr>
              <w:t xml:space="preserve"> </w:t>
            </w:r>
            <w:r>
              <w:rPr>
                <w:rFonts w:ascii="宋体" w:hAnsi="宋体" w:cs="Arial"/>
                <w:kern w:val="0"/>
                <w:sz w:val="13"/>
                <w:szCs w:val="18"/>
              </w:rPr>
              <w:t>20m</w:t>
            </w:r>
            <w:r>
              <w:rPr>
                <w:rFonts w:hint="eastAsia" w:ascii="宋体" w:hAnsi="宋体" w:cs="宋体"/>
                <w:kern w:val="0"/>
                <w:sz w:val="13"/>
                <w:szCs w:val="18"/>
              </w:rPr>
              <w:t>，且应具备远程控制功能；当泡沫站设置在室内时，其建筑的耐火等级不应低于二级。</w:t>
            </w:r>
          </w:p>
        </w:tc>
        <w:tc>
          <w:tcPr>
            <w:tcW w:w="2715" w:type="dxa"/>
          </w:tcPr>
          <w:p>
            <w:pPr>
              <w:autoSpaceDE w:val="0"/>
              <w:autoSpaceDN w:val="0"/>
              <w:adjustRightInd w:val="0"/>
              <w:jc w:val="left"/>
              <w:rPr>
                <w:rFonts w:ascii="宋体" w:hAnsi="宋体"/>
                <w:kern w:val="0"/>
                <w:sz w:val="13"/>
                <w:szCs w:val="18"/>
              </w:rPr>
            </w:pP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三、道路、建构筑物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装置区、罐区、仓库区、可燃物料装卸区四周是否有环形消防车道；转弯半径、净空高度是否满足规范要求</w:t>
            </w:r>
          </w:p>
        </w:tc>
        <w:tc>
          <w:tcPr>
            <w:tcW w:w="2715" w:type="dxa"/>
          </w:tcPr>
          <w:p>
            <w:pPr>
              <w:autoSpaceDE w:val="0"/>
              <w:autoSpaceDN w:val="0"/>
              <w:adjustRightInd w:val="0"/>
              <w:jc w:val="left"/>
              <w:rPr>
                <w:rFonts w:ascii="宋体" w:hAnsi="宋体" w:cs="Arial"/>
                <w:kern w:val="0"/>
                <w:sz w:val="13"/>
                <w:szCs w:val="18"/>
              </w:rPr>
            </w:pPr>
            <w:r>
              <w:rPr>
                <w:rFonts w:ascii="宋体" w:hAnsi="宋体" w:cs="Arial"/>
                <w:kern w:val="0"/>
                <w:sz w:val="13"/>
                <w:szCs w:val="18"/>
              </w:rPr>
              <w:t>GB  50160-2008</w:t>
            </w:r>
          </w:p>
          <w:p>
            <w:pPr>
              <w:autoSpaceDE w:val="0"/>
              <w:autoSpaceDN w:val="0"/>
              <w:adjustRightInd w:val="0"/>
              <w:jc w:val="left"/>
              <w:rPr>
                <w:rFonts w:ascii="宋体" w:hAnsi="宋体"/>
                <w:kern w:val="0"/>
                <w:sz w:val="13"/>
                <w:szCs w:val="18"/>
              </w:rPr>
            </w:pPr>
            <w:r>
              <w:rPr>
                <w:rFonts w:ascii="宋体" w:hAnsi="宋体" w:cs="Arial"/>
                <w:kern w:val="0"/>
                <w:sz w:val="13"/>
                <w:szCs w:val="18"/>
              </w:rPr>
              <w:t>GB  50016-2006</w:t>
            </w:r>
          </w:p>
        </w:tc>
        <w:tc>
          <w:tcPr>
            <w:tcW w:w="1163"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原料及产品运输道路与生产设施的防火间距是否符合规范要求。</w:t>
            </w:r>
          </w:p>
        </w:tc>
        <w:tc>
          <w:tcPr>
            <w:tcW w:w="2715" w:type="dxa"/>
          </w:tcPr>
          <w:p>
            <w:pPr>
              <w:autoSpaceDE w:val="0"/>
              <w:autoSpaceDN w:val="0"/>
              <w:adjustRightInd w:val="0"/>
              <w:jc w:val="left"/>
              <w:rPr>
                <w:rFonts w:ascii="宋体" w:hAnsi="宋体" w:cs="Arial"/>
                <w:kern w:val="0"/>
                <w:sz w:val="13"/>
                <w:szCs w:val="18"/>
              </w:rPr>
            </w:pPr>
            <w:r>
              <w:rPr>
                <w:rFonts w:ascii="宋体" w:hAnsi="宋体" w:cs="Arial"/>
                <w:kern w:val="0"/>
                <w:sz w:val="13"/>
                <w:szCs w:val="18"/>
              </w:rPr>
              <w:t>GB  50160-2008</w:t>
            </w:r>
          </w:p>
          <w:p>
            <w:pPr>
              <w:autoSpaceDE w:val="0"/>
              <w:autoSpaceDN w:val="0"/>
              <w:adjustRightInd w:val="0"/>
              <w:jc w:val="left"/>
              <w:rPr>
                <w:rFonts w:ascii="宋体" w:hAnsi="宋体"/>
                <w:kern w:val="0"/>
                <w:sz w:val="13"/>
                <w:szCs w:val="18"/>
              </w:rPr>
            </w:pPr>
            <w:r>
              <w:rPr>
                <w:rFonts w:ascii="宋体" w:hAnsi="宋体" w:cs="Arial"/>
                <w:kern w:val="0"/>
                <w:sz w:val="13"/>
                <w:szCs w:val="18"/>
              </w:rPr>
              <w:t>GB  50016-2006</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石油化工企业的主要出入口不应少于两个，并宜位于不同方位；石油库通向公路的车辆出入口（公路装卸区的单独出入口除外），一、二、三级石油库不宜少于</w:t>
            </w:r>
            <w:r>
              <w:rPr>
                <w:rFonts w:ascii="宋体" w:hAnsi="宋体" w:cs="宋体"/>
                <w:kern w:val="0"/>
                <w:sz w:val="13"/>
                <w:szCs w:val="18"/>
              </w:rPr>
              <w:t xml:space="preserve"> 2 </w:t>
            </w:r>
            <w:r>
              <w:rPr>
                <w:rFonts w:hint="eastAsia" w:ascii="宋体" w:hAnsi="宋体" w:cs="宋体"/>
                <w:kern w:val="0"/>
                <w:sz w:val="13"/>
                <w:szCs w:val="18"/>
              </w:rPr>
              <w:t>处；其他厂</w:t>
            </w:r>
            <w:r>
              <w:rPr>
                <w:rFonts w:ascii="宋体" w:hAnsi="宋体" w:cs="宋体"/>
                <w:kern w:val="0"/>
                <w:sz w:val="13"/>
                <w:szCs w:val="18"/>
              </w:rPr>
              <w:t xml:space="preserve"> </w:t>
            </w:r>
            <w:r>
              <w:rPr>
                <w:rFonts w:hint="eastAsia" w:ascii="宋体" w:hAnsi="宋体" w:cs="宋体"/>
                <w:kern w:val="0"/>
                <w:sz w:val="13"/>
                <w:szCs w:val="18"/>
              </w:rPr>
              <w:t>区面积大于</w:t>
            </w:r>
            <w:r>
              <w:rPr>
                <w:rFonts w:ascii="宋体" w:hAnsi="宋体" w:cs="宋体"/>
                <w:kern w:val="0"/>
                <w:sz w:val="13"/>
                <w:szCs w:val="18"/>
              </w:rPr>
              <w:t xml:space="preserve"> 5 </w:t>
            </w:r>
            <w:r>
              <w:rPr>
                <w:rFonts w:hint="eastAsia" w:ascii="宋体" w:hAnsi="宋体" w:cs="宋体"/>
                <w:kern w:val="0"/>
                <w:sz w:val="13"/>
                <w:szCs w:val="18"/>
              </w:rPr>
              <w:t>万</w:t>
            </w:r>
            <w:r>
              <w:rPr>
                <w:rFonts w:ascii="宋体" w:hAnsi="宋体" w:cs="宋体"/>
                <w:kern w:val="0"/>
                <w:sz w:val="13"/>
                <w:szCs w:val="18"/>
              </w:rPr>
              <w:t xml:space="preserve"> m2 </w:t>
            </w:r>
            <w:r>
              <w:rPr>
                <w:rFonts w:hint="eastAsia" w:ascii="宋体" w:hAnsi="宋体" w:cs="宋体"/>
                <w:kern w:val="0"/>
                <w:sz w:val="13"/>
                <w:szCs w:val="18"/>
              </w:rPr>
              <w:t>的化工企业应有两个以上的出入口，人流和货运应明确分开，大宗危险货物运输须有单独路线，不与人流及其他货流混行或平交。</w:t>
            </w:r>
          </w:p>
        </w:tc>
        <w:tc>
          <w:tcPr>
            <w:tcW w:w="2715" w:type="dxa"/>
          </w:tcPr>
          <w:p>
            <w:pPr>
              <w:autoSpaceDE w:val="0"/>
              <w:autoSpaceDN w:val="0"/>
              <w:adjustRightInd w:val="0"/>
              <w:jc w:val="left"/>
              <w:rPr>
                <w:rFonts w:ascii="宋体" w:hAnsi="宋体"/>
                <w:kern w:val="0"/>
                <w:sz w:val="13"/>
                <w:szCs w:val="18"/>
              </w:rPr>
            </w:pP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当大型石油化工装置的设备、建筑物区占地面积大于</w:t>
            </w:r>
          </w:p>
          <w:p>
            <w:pPr>
              <w:autoSpaceDE w:val="0"/>
              <w:autoSpaceDN w:val="0"/>
              <w:adjustRightInd w:val="0"/>
              <w:rPr>
                <w:rFonts w:ascii="宋体" w:hAnsi="宋体"/>
                <w:kern w:val="0"/>
                <w:sz w:val="13"/>
                <w:szCs w:val="18"/>
              </w:rPr>
            </w:pPr>
            <w:r>
              <w:rPr>
                <w:rFonts w:ascii="宋体" w:hAnsi="宋体" w:cs="Arial"/>
                <w:kern w:val="0"/>
                <w:sz w:val="13"/>
                <w:szCs w:val="18"/>
              </w:rPr>
              <w:t>10000m2</w:t>
            </w:r>
            <w:r>
              <w:rPr>
                <w:rFonts w:hint="eastAsia" w:ascii="宋体" w:hAnsi="宋体" w:cs="宋体"/>
                <w:kern w:val="0"/>
                <w:sz w:val="13"/>
                <w:szCs w:val="18"/>
              </w:rPr>
              <w:t>小于</w:t>
            </w:r>
            <w:r>
              <w:rPr>
                <w:rFonts w:ascii="宋体" w:hAnsi="宋体" w:cs="Arial"/>
                <w:kern w:val="0"/>
                <w:sz w:val="13"/>
                <w:szCs w:val="18"/>
              </w:rPr>
              <w:t xml:space="preserve">20000m2 </w:t>
            </w:r>
            <w:r>
              <w:rPr>
                <w:rFonts w:hint="eastAsia" w:ascii="宋体" w:hAnsi="宋体" w:cs="宋体"/>
                <w:kern w:val="0"/>
                <w:sz w:val="13"/>
                <w:szCs w:val="18"/>
              </w:rPr>
              <w:t>时，在设备、建筑物区四周应设环形</w:t>
            </w:r>
            <w:r>
              <w:rPr>
                <w:rFonts w:ascii="宋体" w:hAnsi="宋体" w:cs="宋体"/>
                <w:kern w:val="0"/>
                <w:sz w:val="13"/>
                <w:szCs w:val="18"/>
              </w:rPr>
              <w:t xml:space="preserve"> </w:t>
            </w:r>
            <w:r>
              <w:rPr>
                <w:rFonts w:hint="eastAsia" w:ascii="宋体" w:hAnsi="宋体" w:cs="宋体"/>
                <w:kern w:val="0"/>
                <w:sz w:val="13"/>
                <w:szCs w:val="18"/>
              </w:rPr>
              <w:t>道路，道路路面宽度不应小于</w:t>
            </w:r>
            <w:r>
              <w:rPr>
                <w:rFonts w:ascii="宋体" w:hAnsi="宋体" w:cs="Arial"/>
                <w:kern w:val="0"/>
                <w:sz w:val="13"/>
                <w:szCs w:val="18"/>
              </w:rPr>
              <w:t>6m</w:t>
            </w:r>
            <w:r>
              <w:rPr>
                <w:rFonts w:hint="eastAsia" w:ascii="宋体" w:hAnsi="宋体" w:cs="宋体"/>
                <w:kern w:val="0"/>
                <w:sz w:val="13"/>
                <w:szCs w:val="18"/>
              </w:rPr>
              <w:t>，设备、建筑物区的宽度不应大于</w:t>
            </w:r>
            <w:r>
              <w:rPr>
                <w:rFonts w:ascii="宋体" w:hAnsi="宋体" w:cs="Arial"/>
                <w:kern w:val="0"/>
                <w:sz w:val="13"/>
                <w:szCs w:val="18"/>
              </w:rPr>
              <w:t>120m</w:t>
            </w:r>
            <w:r>
              <w:rPr>
                <w:rFonts w:hint="eastAsia" w:ascii="宋体" w:hAnsi="宋体" w:cs="宋体"/>
                <w:kern w:val="0"/>
                <w:sz w:val="13"/>
                <w:szCs w:val="18"/>
              </w:rPr>
              <w:t>，相邻两设备、建筑物区的防火间距不应小于</w:t>
            </w:r>
            <w:r>
              <w:rPr>
                <w:rFonts w:ascii="宋体" w:hAnsi="宋体" w:cs="Arial"/>
                <w:kern w:val="0"/>
                <w:sz w:val="13"/>
                <w:szCs w:val="18"/>
              </w:rPr>
              <w:t>15m</w:t>
            </w:r>
            <w:r>
              <w:rPr>
                <w:rFonts w:hint="eastAsia" w:ascii="宋体" w:hAnsi="宋体" w:cs="宋体"/>
                <w:kern w:val="0"/>
                <w:sz w:val="13"/>
                <w:szCs w:val="18"/>
              </w:rPr>
              <w:t>。</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5.2.11</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两条或两条以上的工厂主要出入口的道路，应避免与同一条铁路平交；若必须平交时，其中至少有两条道路的间距</w:t>
            </w:r>
            <w:r>
              <w:rPr>
                <w:rFonts w:ascii="宋体" w:hAnsi="宋体" w:cs="宋体"/>
                <w:kern w:val="0"/>
                <w:sz w:val="13"/>
                <w:szCs w:val="18"/>
              </w:rPr>
              <w:t xml:space="preserve"> </w:t>
            </w:r>
            <w:r>
              <w:rPr>
                <w:rFonts w:hint="eastAsia" w:ascii="宋体" w:hAnsi="宋体" w:cs="宋体"/>
                <w:kern w:val="0"/>
                <w:sz w:val="13"/>
                <w:szCs w:val="18"/>
              </w:rPr>
              <w:t>不应小于所通过的最长列车的长度；若小于所通过的最长</w:t>
            </w:r>
            <w:r>
              <w:rPr>
                <w:rFonts w:ascii="宋体" w:hAnsi="宋体" w:cs="宋体"/>
                <w:kern w:val="0"/>
                <w:sz w:val="13"/>
                <w:szCs w:val="18"/>
              </w:rPr>
              <w:t xml:space="preserve"> </w:t>
            </w:r>
            <w:r>
              <w:rPr>
                <w:rFonts w:hint="eastAsia" w:ascii="宋体" w:hAnsi="宋体" w:cs="宋体"/>
                <w:kern w:val="0"/>
                <w:sz w:val="13"/>
                <w:szCs w:val="18"/>
              </w:rPr>
              <w:t>列车的长度，应另设消防车道。</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 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4.3.2</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建、构筑物安全设施是否符合规范要求：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安全通道；</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安全出口；</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耐火等级。</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GB50016-2006</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建、构筑物抗震设计是否满足</w:t>
            </w:r>
            <w:r>
              <w:rPr>
                <w:rFonts w:ascii="宋体" w:hAnsi="宋体" w:cs="Arial"/>
                <w:kern w:val="0"/>
                <w:sz w:val="13"/>
                <w:szCs w:val="18"/>
              </w:rPr>
              <w:t>GB50223.GB50011.GB50453</w:t>
            </w:r>
            <w:r>
              <w:rPr>
                <w:rFonts w:hint="eastAsia" w:ascii="宋体" w:hAnsi="宋体" w:cs="宋体"/>
                <w:kern w:val="0"/>
                <w:sz w:val="13"/>
                <w:szCs w:val="18"/>
              </w:rPr>
              <w:t>等规范要求</w:t>
            </w:r>
          </w:p>
        </w:tc>
        <w:tc>
          <w:tcPr>
            <w:tcW w:w="2715" w:type="dxa"/>
          </w:tcPr>
          <w:p>
            <w:pPr>
              <w:autoSpaceDE w:val="0"/>
              <w:autoSpaceDN w:val="0"/>
              <w:adjustRightInd w:val="0"/>
              <w:jc w:val="left"/>
              <w:rPr>
                <w:rFonts w:ascii="宋体" w:hAnsi="宋体"/>
                <w:kern w:val="0"/>
                <w:sz w:val="13"/>
                <w:szCs w:val="18"/>
              </w:rPr>
            </w:pP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建、构筑物防雷（感应雷、直击雷）措施是否符合规范要求。</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《建筑物防雷设计规范》</w:t>
            </w:r>
            <w:r>
              <w:rPr>
                <w:rFonts w:ascii="宋体" w:hAnsi="宋体" w:cs="Arial"/>
                <w:kern w:val="0"/>
                <w:sz w:val="13"/>
                <w:szCs w:val="18"/>
              </w:rPr>
              <w:t>GB50057-2010</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9</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大型机组（压缩机、泵等）、散发油气的生产设备宜采用敞开式或半敞开式厂房。有爆炸危险的甲、乙类厂房泄压设施是否满足规定</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GB50016-2006</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ind w:firstLine="130" w:firstLineChars="100"/>
              <w:jc w:val="left"/>
              <w:rPr>
                <w:rFonts w:ascii="宋体" w:hAnsi="宋体"/>
                <w:kern w:val="0"/>
                <w:sz w:val="13"/>
                <w:szCs w:val="18"/>
              </w:rPr>
            </w:pPr>
            <w:r>
              <w:rPr>
                <w:rFonts w:ascii="宋体" w:hAnsi="宋体" w:cs="Arial"/>
                <w:kern w:val="0"/>
                <w:sz w:val="13"/>
                <w:szCs w:val="18"/>
              </w:rPr>
              <w:t>10</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生产、储存危险化学品的车间、仓库不得与员工宿舍在同一座建筑物内，且与员工宿舍保持符合规定的安全距离。</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w:t>
            </w:r>
            <w:r>
              <w:rPr>
                <w:rFonts w:ascii="宋体" w:hAnsi="宋体" w:cs="Arial"/>
                <w:kern w:val="0"/>
                <w:sz w:val="13"/>
                <w:szCs w:val="18"/>
              </w:rPr>
              <w:t xml:space="preserve">34 </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ind w:firstLine="130" w:firstLineChars="100"/>
              <w:jc w:val="left"/>
              <w:rPr>
                <w:rFonts w:ascii="宋体" w:hAnsi="宋体"/>
                <w:kern w:val="0"/>
                <w:sz w:val="13"/>
                <w:szCs w:val="18"/>
              </w:rPr>
            </w:pPr>
            <w:r>
              <w:rPr>
                <w:rFonts w:ascii="宋体" w:hAnsi="宋体" w:cs="Arial"/>
                <w:kern w:val="0"/>
                <w:sz w:val="13"/>
                <w:szCs w:val="18"/>
              </w:rPr>
              <w:t>11</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贮存化学危险品的建筑物应满足：</w:t>
            </w:r>
          </w:p>
          <w:p>
            <w:pPr>
              <w:autoSpaceDE w:val="0"/>
              <w:autoSpaceDN w:val="0"/>
              <w:adjustRightInd w:val="0"/>
              <w:ind w:firstLine="106"/>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不得有地下室或其他地下建筑。甲、乙类仓库不应设置在地下或半地下。</w:t>
            </w:r>
          </w:p>
          <w:p>
            <w:pPr>
              <w:autoSpaceDE w:val="0"/>
              <w:autoSpaceDN w:val="0"/>
              <w:adjustRightInd w:val="0"/>
              <w:ind w:firstLine="106"/>
              <w:jc w:val="left"/>
              <w:rPr>
                <w:rFonts w:ascii="宋体" w:hAnsi="宋体"/>
                <w:kern w:val="0"/>
                <w:sz w:val="13"/>
                <w:szCs w:val="18"/>
              </w:rPr>
            </w:pPr>
            <w:r>
              <w:rPr>
                <w:rFonts w:ascii="宋体" w:hAnsi="宋体" w:cs="Arial"/>
                <w:kern w:val="0"/>
                <w:sz w:val="13"/>
                <w:szCs w:val="18"/>
              </w:rPr>
              <w:t>2.</w:t>
            </w:r>
            <w:r>
              <w:rPr>
                <w:rFonts w:hint="eastAsia" w:ascii="宋体" w:hAnsi="宋体" w:cs="宋体"/>
                <w:kern w:val="0"/>
                <w:sz w:val="13"/>
                <w:szCs w:val="18"/>
              </w:rPr>
              <w:t>仓库内容严禁设置员工宿舍。甲乙类仓库内严禁设置办公室、休息室。</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GB50016-2006</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3.3.7</w:t>
            </w:r>
            <w:r>
              <w:rPr>
                <w:rFonts w:hint="eastAsia" w:ascii="宋体" w:hAnsi="宋体" w:cs="宋体"/>
                <w:kern w:val="0"/>
                <w:sz w:val="13"/>
                <w:szCs w:val="18"/>
              </w:rPr>
              <w:t>条、</w:t>
            </w:r>
            <w:r>
              <w:rPr>
                <w:rFonts w:ascii="宋体" w:hAnsi="宋体" w:cs="Arial"/>
                <w:kern w:val="0"/>
                <w:sz w:val="13"/>
                <w:szCs w:val="18"/>
              </w:rPr>
              <w:t xml:space="preserve">3.3.15 </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四、安全警示标志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企业应按照</w:t>
            </w:r>
            <w:r>
              <w:rPr>
                <w:rFonts w:ascii="宋体" w:hAnsi="宋体" w:cs="宋体"/>
                <w:kern w:val="0"/>
                <w:sz w:val="13"/>
                <w:szCs w:val="18"/>
              </w:rPr>
              <w:t xml:space="preserve"> </w:t>
            </w:r>
            <w:r>
              <w:rPr>
                <w:rFonts w:ascii="宋体" w:hAnsi="宋体" w:cs="Arial"/>
                <w:kern w:val="0"/>
                <w:sz w:val="13"/>
                <w:szCs w:val="18"/>
              </w:rPr>
              <w:t xml:space="preserve">GB 16179 </w:t>
            </w:r>
            <w:r>
              <w:rPr>
                <w:rFonts w:hint="eastAsia" w:ascii="宋体" w:hAnsi="宋体" w:cs="宋体"/>
                <w:kern w:val="0"/>
                <w:sz w:val="13"/>
                <w:szCs w:val="18"/>
              </w:rPr>
              <w:t>规定，在易燃、易爆、有毒有害等危险场所的醒目位置设置符合</w:t>
            </w:r>
            <w:r>
              <w:rPr>
                <w:rFonts w:ascii="宋体" w:hAnsi="宋体" w:cs="宋体"/>
                <w:kern w:val="0"/>
                <w:sz w:val="13"/>
                <w:szCs w:val="18"/>
              </w:rPr>
              <w:t xml:space="preserve"> </w:t>
            </w:r>
            <w:r>
              <w:rPr>
                <w:rFonts w:ascii="宋体" w:hAnsi="宋体" w:cs="Arial"/>
                <w:kern w:val="0"/>
                <w:sz w:val="13"/>
                <w:szCs w:val="18"/>
              </w:rPr>
              <w:t xml:space="preserve">GB2894 </w:t>
            </w:r>
            <w:r>
              <w:rPr>
                <w:rFonts w:hint="eastAsia" w:ascii="宋体" w:hAnsi="宋体" w:cs="宋体"/>
                <w:kern w:val="0"/>
                <w:sz w:val="13"/>
                <w:szCs w:val="18"/>
              </w:rPr>
              <w:t>规定的安全标志。</w:t>
            </w:r>
          </w:p>
        </w:tc>
        <w:tc>
          <w:tcPr>
            <w:tcW w:w="2715" w:type="dxa"/>
          </w:tcPr>
          <w:p>
            <w:pPr>
              <w:autoSpaceDE w:val="0"/>
              <w:autoSpaceDN w:val="0"/>
              <w:adjustRightInd w:val="0"/>
              <w:rPr>
                <w:rFonts w:ascii="宋体" w:hAnsi="宋体" w:cs="Arial"/>
                <w:kern w:val="0"/>
                <w:sz w:val="13"/>
                <w:szCs w:val="18"/>
              </w:rPr>
            </w:pPr>
            <w:r>
              <w:rPr>
                <w:rFonts w:hint="eastAsia" w:ascii="宋体" w:hAnsi="宋体" w:cs="宋体"/>
                <w:kern w:val="0"/>
                <w:sz w:val="13"/>
                <w:szCs w:val="18"/>
              </w:rPr>
              <w:t>《危险化学品从业单位安全标准化通用规范》</w:t>
            </w:r>
            <w:r>
              <w:rPr>
                <w:rFonts w:ascii="宋体" w:hAnsi="宋体" w:cs="Arial"/>
                <w:kern w:val="0"/>
                <w:sz w:val="13"/>
                <w:szCs w:val="18"/>
              </w:rPr>
              <w:t>AQ3013-2008</w:t>
            </w:r>
          </w:p>
          <w:p>
            <w:pPr>
              <w:autoSpaceDE w:val="0"/>
              <w:autoSpaceDN w:val="0"/>
              <w:adjustRightInd w:val="0"/>
              <w:rPr>
                <w:rFonts w:ascii="宋体" w:hAnsi="宋体"/>
                <w:kern w:val="0"/>
                <w:sz w:val="13"/>
                <w:szCs w:val="18"/>
              </w:rPr>
            </w:pP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5.2.1</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企业应在重大危险源现场设置明显的安全警示标志。</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AQ3013-2008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5.2.2</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企业应按有关规定，在厂内道路设置限速、限高、禁行等标志。</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AQ3013-2008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5.2.3</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企业应在检维修、施工、吊装等作业现场设置警戒区域和安全标志，在检修现场的坑、井、洼、沟、陡坡等场所设置围栏和警示灯。</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AQ3013-2008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5.2.4</w:t>
            </w:r>
            <w:r>
              <w:rPr>
                <w:rFonts w:hint="eastAsia" w:ascii="宋体" w:hAnsi="宋体" w:cs="宋体"/>
                <w:kern w:val="0"/>
                <w:sz w:val="13"/>
                <w:szCs w:val="18"/>
              </w:rPr>
              <w:t>条</w:t>
            </w:r>
          </w:p>
        </w:tc>
        <w:tc>
          <w:tcPr>
            <w:tcW w:w="1163" w:type="dxa"/>
          </w:tcPr>
          <w:p>
            <w:pPr>
              <w:rPr>
                <w:rFonts w:ascii="宋体" w:hAnsi="宋体" w:cs="宋体"/>
                <w:kern w:val="0"/>
                <w:sz w:val="13"/>
                <w:szCs w:val="18"/>
              </w:rPr>
            </w:pPr>
            <w:r>
              <w:rPr>
                <w:rFonts w:hint="eastAsia" w:ascii="宋体" w:hAnsi="宋体" w:cs="宋体"/>
                <w:kern w:val="0"/>
                <w:sz w:val="13"/>
                <w:szCs w:val="18"/>
              </w:rPr>
              <w:t>根据现</w:t>
            </w:r>
            <w:r>
              <w:rPr>
                <w:rFonts w:ascii="宋体" w:hAnsi="宋体" w:cs="宋体"/>
                <w:kern w:val="0"/>
                <w:sz w:val="13"/>
                <w:szCs w:val="18"/>
              </w:rPr>
              <w:t xml:space="preserve"> </w:t>
            </w:r>
            <w:r>
              <w:rPr>
                <w:rFonts w:hint="eastAsia" w:ascii="宋体" w:hAnsi="宋体" w:cs="宋体"/>
                <w:kern w:val="0"/>
                <w:sz w:val="13"/>
                <w:szCs w:val="18"/>
              </w:rPr>
              <w:t>场</w:t>
            </w:r>
            <w:r>
              <w:rPr>
                <w:rFonts w:ascii="宋体" w:hAnsi="宋体" w:cs="宋体"/>
                <w:kern w:val="0"/>
                <w:sz w:val="13"/>
                <w:szCs w:val="18"/>
              </w:rPr>
              <w:t xml:space="preserve"> </w:t>
            </w:r>
            <w:r>
              <w:rPr>
                <w:rFonts w:hint="eastAsia" w:ascii="宋体" w:hAnsi="宋体" w:cs="宋体"/>
                <w:kern w:val="0"/>
                <w:sz w:val="13"/>
                <w:szCs w:val="18"/>
              </w:rPr>
              <w:t>情</w:t>
            </w:r>
            <w:r>
              <w:rPr>
                <w:rFonts w:ascii="宋体" w:hAnsi="宋体" w:cs="宋体"/>
                <w:kern w:val="0"/>
                <w:sz w:val="13"/>
                <w:szCs w:val="18"/>
              </w:rPr>
              <w:t xml:space="preserve"> </w:t>
            </w:r>
            <w:r>
              <w:rPr>
                <w:rFonts w:hint="eastAsia" w:ascii="宋体" w:hAnsi="宋体" w:cs="宋体"/>
                <w:kern w:val="0"/>
                <w:sz w:val="13"/>
                <w:szCs w:val="18"/>
              </w:rPr>
              <w:t>况</w:t>
            </w:r>
            <w:r>
              <w:rPr>
                <w:rFonts w:ascii="宋体" w:hAnsi="宋体" w:cs="宋体"/>
                <w:kern w:val="0"/>
                <w:sz w:val="13"/>
                <w:szCs w:val="18"/>
              </w:rPr>
              <w:t xml:space="preserve"> </w:t>
            </w:r>
            <w:r>
              <w:rPr>
                <w:rFonts w:hint="eastAsia" w:ascii="宋体" w:hAnsi="宋体" w:cs="宋体"/>
                <w:kern w:val="0"/>
                <w:sz w:val="13"/>
                <w:szCs w:val="18"/>
              </w:rPr>
              <w:t>随</w:t>
            </w:r>
            <w:r>
              <w:rPr>
                <w:rFonts w:ascii="宋体" w:hAnsi="宋体" w:cs="宋体"/>
                <w:kern w:val="0"/>
                <w:sz w:val="13"/>
                <w:szCs w:val="18"/>
              </w:rPr>
              <w:t xml:space="preserve"> </w:t>
            </w:r>
            <w:r>
              <w:rPr>
                <w:rFonts w:hint="eastAsia" w:ascii="宋体" w:hAnsi="宋体" w:cs="宋体"/>
                <w:kern w:val="0"/>
                <w:sz w:val="13"/>
                <w:szCs w:val="18"/>
              </w:rPr>
              <w:t>时</w:t>
            </w:r>
            <w:r>
              <w:rPr>
                <w:rFonts w:ascii="宋体" w:hAnsi="宋体" w:cs="宋体"/>
                <w:kern w:val="0"/>
                <w:sz w:val="13"/>
                <w:szCs w:val="18"/>
              </w:rPr>
              <w:t xml:space="preserve"> </w:t>
            </w:r>
            <w:r>
              <w:rPr>
                <w:rFonts w:hint="eastAsia" w:ascii="宋体" w:hAnsi="宋体" w:cs="宋体"/>
                <w:kern w:val="0"/>
                <w:sz w:val="13"/>
                <w:szCs w:val="18"/>
              </w:rPr>
              <w:t>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企业应在可能产生严重职业危害作业岗位的醒目位置，按照</w:t>
            </w:r>
            <w:r>
              <w:rPr>
                <w:rFonts w:ascii="宋体" w:hAnsi="宋体" w:cs="宋体"/>
                <w:kern w:val="0"/>
                <w:sz w:val="13"/>
                <w:szCs w:val="18"/>
              </w:rPr>
              <w:t>GBZ158</w:t>
            </w:r>
            <w:r>
              <w:rPr>
                <w:rFonts w:hint="eastAsia" w:ascii="宋体" w:hAnsi="宋体" w:cs="宋体"/>
                <w:kern w:val="0"/>
                <w:sz w:val="13"/>
                <w:szCs w:val="18"/>
              </w:rPr>
              <w:t>设置职业危害警示标识，同时设置告知牌，告知产生职业危害的种类、后果、预防及应急救治措施、作业场所职业危害因素检测结果等。</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AQ3013-2008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5.2.5</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企业应按有关规定在生产区域设置风向标</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AQ3013-2008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5.2.6</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bl>
    <w:p>
      <w:pPr>
        <w:rPr>
          <w:sz w:val="16"/>
        </w:rPr>
      </w:pPr>
    </w:p>
    <w:p>
      <w:pPr>
        <w:rPr>
          <w:sz w:val="16"/>
        </w:rPr>
      </w:pPr>
    </w:p>
    <w:p>
      <w:pPr>
        <w:pStyle w:val="3"/>
        <w:rPr>
          <w:rFonts w:hint="default"/>
          <w:sz w:val="21"/>
          <w:szCs w:val="28"/>
        </w:rPr>
      </w:pPr>
      <w:bookmarkStart w:id="123" w:name="_Toc11921485"/>
      <w:r>
        <w:rPr>
          <w:sz w:val="21"/>
          <w:szCs w:val="28"/>
        </w:rPr>
        <w:t>3 工艺隐患排查表</w:t>
      </w:r>
      <w:bookmarkEnd w:id="123"/>
    </w:p>
    <w:tbl>
      <w:tblPr>
        <w:tblStyle w:val="11"/>
        <w:tblW w:w="858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4236"/>
        <w:gridCol w:w="2715"/>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67"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36"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15"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3"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一、工艺的安全管理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企业应进行工艺安全信息管理，工艺安全信息文件应纳入企业文件控制系统予以管理，保持最新版本。工艺安全信息包括：</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危险品危害信息；</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工艺技术信息；</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工艺设备信息；</w:t>
            </w:r>
          </w:p>
          <w:p>
            <w:pPr>
              <w:autoSpaceDE w:val="0"/>
              <w:autoSpaceDN w:val="0"/>
              <w:adjustRightInd w:val="0"/>
              <w:jc w:val="left"/>
              <w:rPr>
                <w:rFonts w:ascii="宋体" w:hAnsi="宋体"/>
                <w:kern w:val="0"/>
                <w:sz w:val="13"/>
                <w:szCs w:val="18"/>
              </w:rPr>
            </w:pPr>
            <w:r>
              <w:rPr>
                <w:rFonts w:ascii="宋体" w:hAnsi="宋体" w:cs="Arial"/>
                <w:kern w:val="0"/>
                <w:sz w:val="13"/>
                <w:szCs w:val="18"/>
              </w:rPr>
              <w:t>4.</w:t>
            </w:r>
            <w:r>
              <w:rPr>
                <w:rFonts w:hint="eastAsia" w:ascii="宋体" w:hAnsi="宋体" w:cs="宋体"/>
                <w:kern w:val="0"/>
                <w:sz w:val="13"/>
                <w:szCs w:val="18"/>
              </w:rPr>
              <w:t>工艺安全安全信息。</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《化工企业工艺安全管理实施导则》</w:t>
            </w:r>
            <w:r>
              <w:rPr>
                <w:rFonts w:ascii="宋体" w:hAnsi="宋体" w:cs="Arial"/>
                <w:kern w:val="0"/>
                <w:sz w:val="13"/>
                <w:szCs w:val="18"/>
              </w:rPr>
              <w:t>AQ3034/T-2010</w:t>
            </w:r>
            <w:r>
              <w:rPr>
                <w:rFonts w:hint="eastAsia" w:ascii="宋体" w:hAnsi="宋体" w:cs="宋体"/>
                <w:kern w:val="0"/>
                <w:sz w:val="13"/>
                <w:szCs w:val="18"/>
              </w:rPr>
              <w:t>第</w:t>
            </w:r>
            <w:r>
              <w:rPr>
                <w:rFonts w:ascii="宋体" w:hAnsi="宋体" w:cs="Arial"/>
                <w:kern w:val="0"/>
                <w:sz w:val="13"/>
                <w:szCs w:val="18"/>
              </w:rPr>
              <w:t>4.1</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建立风险管理制度，积极组织开展危害辨识、风险分析工作。应定期开展系统的工艺过程风险分析。企业应在工艺装置建设期间进行一次工艺危害分析，识别、评估和控制工艺系统相关的危害，所选择的方法要与工艺系统的复杂性相适应。企业应每三年对以前完成的工艺危害分析重新进行确认和更新，涉及剧毒化学品的工艺可结合法规对现役装置评价要求频次进行。</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《危险化学品从业单位安全生产标准化通用规范》</w:t>
            </w:r>
            <w:r>
              <w:rPr>
                <w:rFonts w:ascii="宋体" w:hAnsi="宋体" w:cs="Arial"/>
                <w:kern w:val="0"/>
                <w:sz w:val="13"/>
                <w:szCs w:val="18"/>
              </w:rPr>
              <w:t>(AQ3013</w:t>
            </w:r>
            <w:r>
              <w:rPr>
                <w:rFonts w:hint="eastAsia" w:ascii="宋体" w:hAnsi="宋体" w:cs="宋体"/>
                <w:kern w:val="0"/>
                <w:sz w:val="13"/>
                <w:szCs w:val="18"/>
              </w:rPr>
              <w:t>－</w:t>
            </w:r>
            <w:r>
              <w:rPr>
                <w:rFonts w:ascii="宋体" w:hAnsi="宋体" w:cs="Arial"/>
                <w:kern w:val="0"/>
                <w:sz w:val="13"/>
                <w:szCs w:val="18"/>
              </w:rPr>
              <w:t>2008) AQ3034/T-2010</w:t>
            </w:r>
            <w:r>
              <w:rPr>
                <w:rFonts w:hint="eastAsia" w:ascii="宋体" w:hAnsi="宋体" w:cs="宋体"/>
                <w:kern w:val="0"/>
                <w:sz w:val="13"/>
                <w:szCs w:val="18"/>
              </w:rPr>
              <w:t>第</w:t>
            </w:r>
            <w:r>
              <w:rPr>
                <w:rFonts w:ascii="宋体" w:hAnsi="宋体" w:cs="Arial"/>
                <w:kern w:val="0"/>
                <w:sz w:val="13"/>
                <w:szCs w:val="18"/>
              </w:rPr>
              <w:t>4.2.3</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大型和采用危险化工工艺的装置在初步设计完成后要进行</w:t>
            </w:r>
            <w:r>
              <w:rPr>
                <w:rFonts w:ascii="宋体" w:hAnsi="宋体" w:cs="Arial"/>
                <w:kern w:val="0"/>
                <w:sz w:val="13"/>
                <w:szCs w:val="18"/>
              </w:rPr>
              <w:t>HAZOP</w:t>
            </w:r>
            <w:r>
              <w:rPr>
                <w:rFonts w:hint="eastAsia" w:ascii="宋体" w:hAnsi="宋体" w:cs="宋体"/>
                <w:kern w:val="0"/>
                <w:sz w:val="13"/>
                <w:szCs w:val="18"/>
              </w:rPr>
              <w:t>分析。国内首次采用的化工工艺，要通过省级有关部门组织专家组进行安全论证。</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安监总管三〔</w:t>
            </w:r>
            <w:r>
              <w:rPr>
                <w:rFonts w:ascii="宋体" w:hAnsi="宋体" w:cs="宋体"/>
                <w:kern w:val="0"/>
                <w:sz w:val="13"/>
                <w:szCs w:val="18"/>
              </w:rPr>
              <w:t>2010</w:t>
            </w:r>
            <w:r>
              <w:rPr>
                <w:rFonts w:hint="eastAsia" w:ascii="宋体" w:hAnsi="宋体" w:cs="宋体"/>
                <w:kern w:val="0"/>
                <w:sz w:val="13"/>
                <w:szCs w:val="18"/>
              </w:rPr>
              <w:t>〕</w:t>
            </w:r>
            <w:r>
              <w:rPr>
                <w:rFonts w:ascii="宋体" w:hAnsi="宋体" w:cs="宋体"/>
                <w:kern w:val="0"/>
                <w:sz w:val="13"/>
                <w:szCs w:val="18"/>
              </w:rPr>
              <w:t xml:space="preserve">186 </w:t>
            </w:r>
            <w:r>
              <w:rPr>
                <w:rFonts w:hint="eastAsia" w:ascii="宋体" w:hAnsi="宋体" w:cs="宋体"/>
                <w:kern w:val="0"/>
                <w:sz w:val="13"/>
                <w:szCs w:val="18"/>
              </w:rPr>
              <w:t>号</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企业应编制并实施书面的操作规程，规程应与工艺安全信息保持一致。企业应鼓励员工参与操作规程的编制，并组织进行相关培训。操作规程应至少包括以下内容：</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．初始开车、正常操作、临时操作、应急操作、正常停车、紧急停车等各个操作阶段的操作步骤；</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．正常工况控制范围、偏离正常工况的后果；纠正或防止偏离正常工况的步骤；</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．安全、健康和环境相关的事项。如危险化学品的特性与危害、</w:t>
            </w:r>
            <w:r>
              <w:rPr>
                <w:rFonts w:ascii="宋体" w:hAnsi="宋体" w:cs="宋体"/>
                <w:kern w:val="0"/>
                <w:sz w:val="13"/>
                <w:szCs w:val="18"/>
              </w:rPr>
              <w:t xml:space="preserve"> </w:t>
            </w:r>
            <w:r>
              <w:rPr>
                <w:rFonts w:hint="eastAsia" w:ascii="宋体" w:hAnsi="宋体" w:cs="宋体"/>
                <w:kern w:val="0"/>
                <w:sz w:val="13"/>
                <w:szCs w:val="18"/>
              </w:rPr>
              <w:t>防止暴露的必要措施、发生身体接触或暴露后的处理措施、安全系统及其功能（联锁、监测和抑制系统）等。</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AQ3034/T</w:t>
            </w:r>
            <w:r>
              <w:rPr>
                <w:rFonts w:hint="eastAsia" w:ascii="宋体" w:hAnsi="宋体" w:cs="Arial"/>
                <w:kern w:val="0"/>
                <w:sz w:val="13"/>
                <w:szCs w:val="18"/>
              </w:rPr>
              <w:t>-</w:t>
            </w:r>
            <w:r>
              <w:rPr>
                <w:rFonts w:ascii="宋体" w:hAnsi="宋体" w:cs="Arial"/>
                <w:kern w:val="0"/>
                <w:sz w:val="13"/>
                <w:szCs w:val="18"/>
              </w:rPr>
              <w:t>2010</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4.3.1</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操作规程的审查、发布等应满足：</w:t>
            </w:r>
          </w:p>
          <w:p>
            <w:pPr>
              <w:autoSpaceDE w:val="0"/>
              <w:autoSpaceDN w:val="0"/>
              <w:adjustRightInd w:val="0"/>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．企业应根据需要经常对操作规程进行审核，确保反映当前的操作状况，包括化学品、工艺技术设备和设施的变更。企业应每年</w:t>
            </w:r>
            <w:r>
              <w:rPr>
                <w:rFonts w:ascii="宋体" w:hAnsi="宋体" w:cs="宋体"/>
                <w:kern w:val="0"/>
                <w:sz w:val="13"/>
                <w:szCs w:val="18"/>
              </w:rPr>
              <w:t xml:space="preserve"> </w:t>
            </w:r>
            <w:r>
              <w:rPr>
                <w:rFonts w:hint="eastAsia" w:ascii="宋体" w:hAnsi="宋体" w:cs="宋体"/>
                <w:kern w:val="0"/>
                <w:sz w:val="13"/>
                <w:szCs w:val="18"/>
              </w:rPr>
              <w:t>确认操作规程的适应性和有效性。</w:t>
            </w:r>
          </w:p>
          <w:p>
            <w:pPr>
              <w:autoSpaceDE w:val="0"/>
              <w:autoSpaceDN w:val="0"/>
              <w:adjustRightInd w:val="0"/>
              <w:rPr>
                <w:rFonts w:ascii="宋体" w:hAnsi="宋体"/>
                <w:kern w:val="0"/>
                <w:sz w:val="13"/>
                <w:szCs w:val="18"/>
              </w:rPr>
            </w:pPr>
            <w:r>
              <w:rPr>
                <w:rFonts w:ascii="宋体" w:hAnsi="宋体" w:cs="Arial"/>
                <w:kern w:val="0"/>
                <w:sz w:val="13"/>
                <w:szCs w:val="18"/>
              </w:rPr>
              <w:t>2</w:t>
            </w:r>
            <w:r>
              <w:rPr>
                <w:rFonts w:hint="eastAsia" w:ascii="宋体" w:hAnsi="宋体" w:cs="宋体"/>
                <w:kern w:val="0"/>
                <w:sz w:val="13"/>
                <w:szCs w:val="18"/>
              </w:rPr>
              <w:t>．企业应确保操作人员可以获得书面的操作规程。通过培训，帮</w:t>
            </w:r>
            <w:r>
              <w:rPr>
                <w:rFonts w:ascii="宋体" w:hAnsi="宋体" w:cs="宋体"/>
                <w:kern w:val="0"/>
                <w:sz w:val="13"/>
                <w:szCs w:val="18"/>
              </w:rPr>
              <w:t xml:space="preserve"> </w:t>
            </w:r>
            <w:r>
              <w:rPr>
                <w:rFonts w:hint="eastAsia" w:ascii="宋体" w:hAnsi="宋体" w:cs="宋体"/>
                <w:kern w:val="0"/>
                <w:sz w:val="13"/>
                <w:szCs w:val="18"/>
              </w:rPr>
              <w:t>助他们掌握如何正确使用操作规程，并且使他们意识到操作规程</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AQ3034/T-2010</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4.3.2</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工艺的安全培训应包括：</w:t>
            </w:r>
          </w:p>
          <w:p>
            <w:pPr>
              <w:autoSpaceDE w:val="0"/>
              <w:autoSpaceDN w:val="0"/>
              <w:adjustRightInd w:val="0"/>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．应建立并实施工艺安全培训管理程序。根据岗位特点和应具备的技能，明确制订各个岗位的具体培训要求，编制落实相应的培训计划，并定期对培训计划进行审查和演练。</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培训管理程序应包含培训反馈评估方法和再培训规定。对培训内容、培训方式、培训人员、教师的表现以及培训效果进行评估，并作为改进和优化培训方案的依据；再培训至少每三年举办一次，根据需要可适当增加频次。当工艺技术、工艺设备发生变更时，需要按照变更管理程序的要求，就变更的内容和要求告知或培训操作人员及其他相关人员。</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．应保存好员工的培训记录。包括员工的姓名、培训时间和培训</w:t>
            </w:r>
            <w:r>
              <w:rPr>
                <w:rFonts w:ascii="宋体" w:hAnsi="宋体" w:cs="宋体"/>
                <w:kern w:val="0"/>
                <w:sz w:val="13"/>
                <w:szCs w:val="18"/>
              </w:rPr>
              <w:t xml:space="preserve"> </w:t>
            </w:r>
            <w:r>
              <w:rPr>
                <w:rFonts w:hint="eastAsia" w:ascii="宋体" w:hAnsi="宋体" w:cs="宋体"/>
                <w:kern w:val="0"/>
                <w:sz w:val="13"/>
                <w:szCs w:val="18"/>
              </w:rPr>
              <w:t>效果等都要以记录形式保存。</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AQ3034/T-2010</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4.4</w:t>
            </w:r>
            <w:r>
              <w:rPr>
                <w:rFonts w:hint="eastAsia" w:ascii="宋体" w:hAnsi="宋体" w:cs="宋体"/>
                <w:kern w:val="0"/>
                <w:sz w:val="13"/>
                <w:szCs w:val="18"/>
              </w:rPr>
              <w:t>条</w:t>
            </w:r>
          </w:p>
        </w:tc>
        <w:tc>
          <w:tcPr>
            <w:tcW w:w="1163"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二、工艺技术及工艺装置的安全控制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生产经营单位不得使用国家明令淘汰、禁止使用的危及生产安全的工艺、设备。</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Arial"/>
                <w:kern w:val="0"/>
                <w:sz w:val="13"/>
                <w:szCs w:val="18"/>
              </w:rPr>
              <w:t>31</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危险化工工艺的安全控制应按照《首批重点监管的危险化工工艺目录》和《首批重点监管的危险化工工艺安全控制要求、重点监控参数及推荐的控制方案》的要求进行设置。</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安监总管三〔</w:t>
            </w:r>
            <w:r>
              <w:rPr>
                <w:rFonts w:ascii="宋体" w:hAnsi="宋体" w:cs="Arial"/>
                <w:kern w:val="0"/>
                <w:sz w:val="13"/>
                <w:szCs w:val="18"/>
              </w:rPr>
              <w:t>2009</w:t>
            </w:r>
            <w:r>
              <w:rPr>
                <w:rFonts w:hint="eastAsia" w:ascii="宋体" w:hAnsi="宋体" w:cs="宋体"/>
                <w:kern w:val="0"/>
                <w:sz w:val="13"/>
                <w:szCs w:val="18"/>
              </w:rPr>
              <w:t>〕</w:t>
            </w:r>
            <w:r>
              <w:rPr>
                <w:rFonts w:ascii="宋体" w:hAnsi="宋体" w:cs="Arial"/>
                <w:kern w:val="0"/>
                <w:sz w:val="13"/>
                <w:szCs w:val="18"/>
              </w:rPr>
              <w:t xml:space="preserve">116 </w:t>
            </w:r>
            <w:r>
              <w:rPr>
                <w:rFonts w:hint="eastAsia" w:ascii="宋体" w:hAnsi="宋体" w:cs="宋体"/>
                <w:kern w:val="0"/>
                <w:sz w:val="13"/>
                <w:szCs w:val="18"/>
              </w:rPr>
              <w:t>号</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大型和高度危险化工装置要按照《首批重点监管的危险化工工艺目录》和《首批重点监管的危险化工工艺安全控制要求、重点监控参数及推荐的控制方案》推荐的控制方案装备紧急停车系统。</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安监总管三〔</w:t>
            </w:r>
            <w:r>
              <w:rPr>
                <w:rFonts w:ascii="宋体" w:hAnsi="宋体" w:cs="Arial"/>
                <w:kern w:val="0"/>
                <w:sz w:val="13"/>
                <w:szCs w:val="18"/>
              </w:rPr>
              <w:t>2009</w:t>
            </w:r>
            <w:r>
              <w:rPr>
                <w:rFonts w:hint="eastAsia" w:ascii="宋体" w:hAnsi="宋体" w:cs="宋体"/>
                <w:kern w:val="0"/>
                <w:sz w:val="13"/>
                <w:szCs w:val="18"/>
              </w:rPr>
              <w:t>〕</w:t>
            </w:r>
            <w:r>
              <w:rPr>
                <w:rFonts w:ascii="宋体" w:hAnsi="宋体" w:cs="Arial"/>
                <w:kern w:val="0"/>
                <w:sz w:val="13"/>
                <w:szCs w:val="18"/>
              </w:rPr>
              <w:t xml:space="preserve">116 </w:t>
            </w:r>
            <w:r>
              <w:rPr>
                <w:rFonts w:hint="eastAsia" w:ascii="宋体" w:hAnsi="宋体" w:cs="宋体"/>
                <w:kern w:val="0"/>
                <w:sz w:val="13"/>
                <w:szCs w:val="18"/>
              </w:rPr>
              <w:t>号</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装置可能引起火灾、爆炸等严重事故的部位应设置超温、超压等检测仪表、声和</w:t>
            </w:r>
            <w:r>
              <w:rPr>
                <w:rFonts w:ascii="宋体" w:hAnsi="宋体" w:cs="Arial"/>
                <w:kern w:val="0"/>
                <w:sz w:val="13"/>
                <w:szCs w:val="18"/>
              </w:rPr>
              <w:t>/</w:t>
            </w:r>
            <w:r>
              <w:rPr>
                <w:rFonts w:hint="eastAsia" w:ascii="宋体" w:hAnsi="宋体" w:cs="宋体"/>
                <w:kern w:val="0"/>
                <w:sz w:val="13"/>
                <w:szCs w:val="18"/>
              </w:rPr>
              <w:t>或光报警、泄压设施和安全联锁装置等设施。</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AQ3013-2008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 xml:space="preserve">5.5.2.2 </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在非正常条件下，下列可能超压的设备或管道是否设置可靠的安全泄压措施以及安全泄压措施的完好性：</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顶部最高操作压力大于等于</w:t>
            </w:r>
            <w:r>
              <w:rPr>
                <w:rFonts w:ascii="宋体" w:hAnsi="宋体" w:cs="Arial"/>
                <w:kern w:val="0"/>
                <w:sz w:val="13"/>
                <w:szCs w:val="18"/>
              </w:rPr>
              <w:t xml:space="preserve">0.1MPa </w:t>
            </w:r>
            <w:r>
              <w:rPr>
                <w:rFonts w:hint="eastAsia" w:ascii="宋体" w:hAnsi="宋体" w:cs="宋体"/>
                <w:kern w:val="0"/>
                <w:sz w:val="13"/>
                <w:szCs w:val="18"/>
              </w:rPr>
              <w:t>的压力容器；</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顶部最高操作压力大于</w:t>
            </w:r>
            <w:r>
              <w:rPr>
                <w:rFonts w:ascii="宋体" w:hAnsi="宋体" w:cs="宋体"/>
                <w:kern w:val="0"/>
                <w:sz w:val="13"/>
                <w:szCs w:val="18"/>
              </w:rPr>
              <w:t xml:space="preserve"> </w:t>
            </w:r>
            <w:r>
              <w:rPr>
                <w:rFonts w:ascii="宋体" w:hAnsi="宋体" w:cs="Arial"/>
                <w:kern w:val="0"/>
                <w:sz w:val="13"/>
                <w:szCs w:val="18"/>
              </w:rPr>
              <w:t xml:space="preserve">0.03MPa </w:t>
            </w:r>
            <w:r>
              <w:rPr>
                <w:rFonts w:hint="eastAsia" w:ascii="宋体" w:hAnsi="宋体" w:cs="宋体"/>
                <w:kern w:val="0"/>
                <w:sz w:val="13"/>
                <w:szCs w:val="18"/>
              </w:rPr>
              <w:t>的蒸馏塔、蒸发塔和汽提塔（汽</w:t>
            </w:r>
            <w:r>
              <w:rPr>
                <w:rFonts w:ascii="宋体" w:hAnsi="宋体" w:cs="宋体"/>
                <w:kern w:val="0"/>
                <w:sz w:val="13"/>
                <w:szCs w:val="18"/>
              </w:rPr>
              <w:t xml:space="preserve"> </w:t>
            </w:r>
            <w:r>
              <w:rPr>
                <w:rFonts w:hint="eastAsia" w:ascii="宋体" w:hAnsi="宋体" w:cs="宋体"/>
                <w:kern w:val="0"/>
                <w:sz w:val="13"/>
                <w:szCs w:val="18"/>
              </w:rPr>
              <w:t>提塔顶蒸汽通入另一蒸馏塔者除外）；</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往复式压缩机各段出口或电动往复泵、齿轮泵、螺杆泵等容积</w:t>
            </w:r>
            <w:r>
              <w:rPr>
                <w:rFonts w:ascii="宋体" w:hAnsi="宋体" w:cs="宋体"/>
                <w:kern w:val="0"/>
                <w:sz w:val="13"/>
                <w:szCs w:val="18"/>
              </w:rPr>
              <w:t xml:space="preserve"> </w:t>
            </w:r>
            <w:r>
              <w:rPr>
                <w:rFonts w:hint="eastAsia" w:ascii="宋体" w:hAnsi="宋体" w:cs="宋体"/>
                <w:kern w:val="0"/>
                <w:sz w:val="13"/>
                <w:szCs w:val="18"/>
              </w:rPr>
              <w:t>式泵的出口（设备本身已有安全阀者除外）；</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凡与鼓风机、离心式压缩机、离心泵或蒸汽往复泵出口连接的设备不能承受其最高压力时，鼓风机、离心式压缩机、离心泵或</w:t>
            </w:r>
            <w:r>
              <w:rPr>
                <w:rFonts w:ascii="宋体" w:hAnsi="宋体" w:cs="宋体"/>
                <w:kern w:val="0"/>
                <w:sz w:val="13"/>
                <w:szCs w:val="18"/>
              </w:rPr>
              <w:t xml:space="preserve"> </w:t>
            </w:r>
            <w:r>
              <w:rPr>
                <w:rFonts w:hint="eastAsia" w:ascii="宋体" w:hAnsi="宋体" w:cs="宋体"/>
                <w:kern w:val="0"/>
                <w:sz w:val="13"/>
                <w:szCs w:val="18"/>
              </w:rPr>
              <w:t>蒸汽往复泵的出口；、</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可燃气体或液体受热膨胀，可能超过设计压力的设备顶部最高</w:t>
            </w:r>
            <w:r>
              <w:rPr>
                <w:rFonts w:ascii="宋体" w:hAnsi="宋体" w:cs="宋体"/>
                <w:kern w:val="0"/>
                <w:sz w:val="13"/>
                <w:szCs w:val="18"/>
              </w:rPr>
              <w:t xml:space="preserve"> </w:t>
            </w:r>
            <w:r>
              <w:rPr>
                <w:rFonts w:hint="eastAsia" w:ascii="宋体" w:hAnsi="宋体" w:cs="宋体"/>
                <w:kern w:val="0"/>
                <w:sz w:val="13"/>
                <w:szCs w:val="18"/>
              </w:rPr>
              <w:t>操作压力为</w:t>
            </w:r>
            <w:r>
              <w:rPr>
                <w:rFonts w:ascii="宋体" w:hAnsi="宋体" w:cs="宋体"/>
                <w:kern w:val="0"/>
                <w:sz w:val="13"/>
                <w:szCs w:val="18"/>
              </w:rPr>
              <w:t xml:space="preserve"> </w:t>
            </w:r>
            <w:r>
              <w:rPr>
                <w:rFonts w:ascii="宋体" w:hAnsi="宋体" w:cs="Arial"/>
                <w:kern w:val="0"/>
                <w:sz w:val="13"/>
                <w:szCs w:val="18"/>
              </w:rPr>
              <w:t>0.03</w:t>
            </w:r>
            <w:r>
              <w:rPr>
                <w:rFonts w:hint="eastAsia" w:ascii="宋体" w:hAnsi="宋体" w:cs="Arial"/>
                <w:kern w:val="0"/>
                <w:sz w:val="13"/>
                <w:szCs w:val="18"/>
              </w:rPr>
              <w:t>～</w:t>
            </w:r>
            <w:r>
              <w:rPr>
                <w:rFonts w:ascii="宋体" w:hAnsi="宋体" w:cs="Arial"/>
                <w:kern w:val="0"/>
                <w:sz w:val="13"/>
                <w:szCs w:val="18"/>
              </w:rPr>
              <w:t xml:space="preserve">0.1MPa </w:t>
            </w:r>
            <w:r>
              <w:rPr>
                <w:rFonts w:hint="eastAsia" w:ascii="宋体" w:hAnsi="宋体" w:cs="宋体"/>
                <w:kern w:val="0"/>
                <w:sz w:val="13"/>
                <w:szCs w:val="18"/>
              </w:rPr>
              <w:t>的设备应根据工艺要求设置；</w:t>
            </w:r>
          </w:p>
          <w:p>
            <w:pPr>
              <w:autoSpaceDE w:val="0"/>
              <w:autoSpaceDN w:val="0"/>
              <w:adjustRightInd w:val="0"/>
              <w:jc w:val="left"/>
              <w:rPr>
                <w:rFonts w:ascii="宋体" w:hAnsi="宋体"/>
                <w:kern w:val="0"/>
                <w:sz w:val="13"/>
                <w:szCs w:val="18"/>
              </w:rPr>
            </w:pPr>
            <w:r>
              <w:rPr>
                <w:rFonts w:ascii="宋体" w:hAnsi="宋体" w:cs="Arial"/>
                <w:kern w:val="0"/>
                <w:sz w:val="13"/>
                <w:szCs w:val="18"/>
              </w:rPr>
              <w:t>2.</w:t>
            </w:r>
            <w:r>
              <w:rPr>
                <w:rFonts w:hint="eastAsia" w:ascii="宋体" w:hAnsi="宋体" w:cs="宋体"/>
                <w:kern w:val="0"/>
                <w:sz w:val="13"/>
                <w:szCs w:val="18"/>
              </w:rPr>
              <w:t>两端阀门关闭且因外界影响可能造成介质压力升高的液化烃、甲</w:t>
            </w:r>
            <w:r>
              <w:rPr>
                <w:rFonts w:ascii="宋体" w:hAnsi="宋体" w:cs="Arial"/>
                <w:kern w:val="0"/>
                <w:sz w:val="13"/>
                <w:szCs w:val="18"/>
              </w:rPr>
              <w:t xml:space="preserve">B </w:t>
            </w:r>
            <w:r>
              <w:rPr>
                <w:rFonts w:hint="eastAsia" w:ascii="宋体" w:hAnsi="宋体" w:cs="宋体"/>
                <w:kern w:val="0"/>
                <w:sz w:val="13"/>
                <w:szCs w:val="18"/>
              </w:rPr>
              <w:t>、乙</w:t>
            </w:r>
            <w:r>
              <w:rPr>
                <w:rFonts w:ascii="宋体" w:hAnsi="宋体" w:cs="Arial"/>
                <w:kern w:val="0"/>
                <w:sz w:val="13"/>
                <w:szCs w:val="18"/>
              </w:rPr>
              <w:t>A</w:t>
            </w:r>
            <w:r>
              <w:rPr>
                <w:rFonts w:hint="eastAsia" w:ascii="宋体" w:hAnsi="宋体" w:cs="宋体"/>
                <w:kern w:val="0"/>
                <w:sz w:val="13"/>
                <w:szCs w:val="18"/>
              </w:rPr>
              <w:t>类液体管道。</w:t>
            </w:r>
          </w:p>
        </w:tc>
        <w:tc>
          <w:tcPr>
            <w:tcW w:w="2715"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《石油化工设计防火规范》</w:t>
            </w:r>
            <w:r>
              <w:rPr>
                <w:rFonts w:ascii="宋体" w:hAnsi="宋体" w:cs="宋体"/>
                <w:kern w:val="0"/>
                <w:sz w:val="13"/>
                <w:szCs w:val="18"/>
              </w:rPr>
              <w:t>GB50160-2008</w:t>
            </w:r>
            <w:r>
              <w:rPr>
                <w:rFonts w:hint="eastAsia" w:ascii="宋体" w:hAnsi="宋体" w:cs="宋体"/>
                <w:kern w:val="0"/>
                <w:sz w:val="13"/>
                <w:szCs w:val="18"/>
              </w:rPr>
              <w:t>第</w:t>
            </w:r>
            <w:r>
              <w:rPr>
                <w:rFonts w:ascii="宋体" w:hAnsi="宋体" w:cs="宋体"/>
                <w:kern w:val="0"/>
                <w:sz w:val="13"/>
                <w:szCs w:val="18"/>
              </w:rPr>
              <w:t xml:space="preserve"> 5.5.1</w:t>
            </w:r>
            <w:r>
              <w:rPr>
                <w:rFonts w:hint="eastAsia" w:ascii="宋体" w:hAnsi="宋体" w:cs="宋体"/>
                <w:kern w:val="0"/>
                <w:sz w:val="13"/>
                <w:szCs w:val="18"/>
              </w:rPr>
              <w:t>条</w:t>
            </w:r>
          </w:p>
          <w:p>
            <w:pPr>
              <w:autoSpaceDE w:val="0"/>
              <w:autoSpaceDN w:val="0"/>
              <w:adjustRightInd w:val="0"/>
              <w:rPr>
                <w:rFonts w:ascii="宋体" w:hAnsi="宋体"/>
                <w:kern w:val="0"/>
                <w:sz w:val="13"/>
                <w:szCs w:val="18"/>
              </w:rPr>
            </w:pPr>
            <w:r>
              <w:rPr>
                <w:rFonts w:hint="eastAsia" w:ascii="宋体" w:hAnsi="宋体" w:cs="宋体"/>
                <w:kern w:val="0"/>
                <w:sz w:val="13"/>
                <w:szCs w:val="18"/>
              </w:rPr>
              <w:t>《石油天然气工程设计防火规范</w:t>
            </w:r>
            <w:r>
              <w:rPr>
                <w:rFonts w:ascii="宋体" w:hAnsi="宋体" w:cs="宋体"/>
                <w:kern w:val="0"/>
                <w:sz w:val="13"/>
                <w:szCs w:val="18"/>
              </w:rPr>
              <w:t xml:space="preserve"> </w:t>
            </w:r>
            <w:r>
              <w:rPr>
                <w:rFonts w:hint="eastAsia" w:ascii="宋体" w:hAnsi="宋体" w:cs="宋体"/>
                <w:kern w:val="0"/>
                <w:sz w:val="13"/>
                <w:szCs w:val="18"/>
              </w:rPr>
              <w:t>》</w:t>
            </w:r>
            <w:r>
              <w:rPr>
                <w:rFonts w:ascii="宋体" w:hAnsi="宋体" w:cs="Arial"/>
                <w:kern w:val="0"/>
                <w:sz w:val="13"/>
                <w:szCs w:val="18"/>
              </w:rPr>
              <w:t>GB50183-2004</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6.8.1</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因物料爆聚、分解造成超温、超压，可能引起火灾、爆炸的反应设备应设报警信号和泄压排放设施，以及自动或手动遥控的紧急切断进料设施。</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 xml:space="preserve">5.5.13 </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安全阀、防爆膜、防爆门的设置应满足安全生产要求，如：</w:t>
            </w:r>
          </w:p>
          <w:p>
            <w:pPr>
              <w:autoSpaceDE w:val="0"/>
              <w:autoSpaceDN w:val="0"/>
              <w:adjustRightInd w:val="0"/>
              <w:rPr>
                <w:rFonts w:ascii="宋体" w:hAnsi="宋体" w:cs="Arial"/>
                <w:kern w:val="0"/>
                <w:sz w:val="13"/>
                <w:szCs w:val="18"/>
              </w:rPr>
            </w:pPr>
            <w:r>
              <w:rPr>
                <w:rFonts w:ascii="宋体" w:hAnsi="宋体" w:cs="Arial"/>
                <w:kern w:val="0"/>
                <w:sz w:val="13"/>
                <w:szCs w:val="18"/>
              </w:rPr>
              <w:t>1.</w:t>
            </w:r>
            <w:r>
              <w:rPr>
                <w:rFonts w:hint="eastAsia" w:ascii="宋体" w:hAnsi="宋体" w:cs="宋体"/>
                <w:kern w:val="0"/>
                <w:sz w:val="13"/>
                <w:szCs w:val="18"/>
              </w:rPr>
              <w:t>突然超压或发生瞬时分解爆炸危险物料的反应设备，如设安全阀不能满足要求时，应装爆破片或爆破片和导爆管，导爆管口必须朝向无火源的安全方向；必要时应采取防止二次爆炸、火灾的措施</w:t>
            </w:r>
            <w:r>
              <w:rPr>
                <w:rFonts w:ascii="宋体" w:hAnsi="宋体" w:cs="Arial"/>
                <w:kern w:val="0"/>
                <w:sz w:val="13"/>
                <w:szCs w:val="18"/>
              </w:rPr>
              <w:t>;</w:t>
            </w:r>
          </w:p>
          <w:p>
            <w:pPr>
              <w:autoSpaceDE w:val="0"/>
              <w:autoSpaceDN w:val="0"/>
              <w:adjustRightInd w:val="0"/>
              <w:rPr>
                <w:rFonts w:ascii="宋体" w:hAnsi="宋体" w:cs="Arial"/>
                <w:kern w:val="0"/>
                <w:sz w:val="13"/>
                <w:szCs w:val="18"/>
              </w:rPr>
            </w:pPr>
            <w:r>
              <w:rPr>
                <w:rFonts w:ascii="宋体" w:hAnsi="宋体" w:cs="Arial"/>
                <w:kern w:val="0"/>
                <w:sz w:val="13"/>
                <w:szCs w:val="18"/>
              </w:rPr>
              <w:t>2.</w:t>
            </w:r>
            <w:r>
              <w:rPr>
                <w:rFonts w:hint="eastAsia" w:ascii="宋体" w:hAnsi="宋体" w:cs="宋体"/>
                <w:kern w:val="0"/>
                <w:sz w:val="13"/>
                <w:szCs w:val="18"/>
              </w:rPr>
              <w:t>有可能被物料堵塞或腐蚀的安全阀，在安全阀前应设爆破片或在其他出入口管道上采取吹扫、加热或保温等措施</w:t>
            </w:r>
            <w:r>
              <w:rPr>
                <w:rFonts w:hint="eastAsia" w:ascii="宋体" w:hAnsi="宋体" w:cs="Arial"/>
                <w:kern w:val="0"/>
                <w:sz w:val="13"/>
                <w:szCs w:val="18"/>
              </w:rPr>
              <w:t>；</w:t>
            </w:r>
          </w:p>
          <w:p>
            <w:pPr>
              <w:autoSpaceDE w:val="0"/>
              <w:autoSpaceDN w:val="0"/>
              <w:adjustRightInd w:val="0"/>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较高浓度环氧乙烷设备的安全阀前应设爆破片。爆破片入口管道应设氮封，且安全阀的出口管道应充氮。</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GB50160-2008 </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 xml:space="preserve">5.5.9 </w:t>
            </w:r>
            <w:r>
              <w:rPr>
                <w:rFonts w:hint="eastAsia" w:ascii="宋体" w:hAnsi="宋体" w:cs="宋体"/>
                <w:kern w:val="0"/>
                <w:sz w:val="13"/>
                <w:szCs w:val="18"/>
              </w:rPr>
              <w:t>条、第</w:t>
            </w:r>
            <w:r>
              <w:rPr>
                <w:rFonts w:ascii="宋体" w:hAnsi="宋体" w:cs="宋体"/>
                <w:kern w:val="0"/>
                <w:sz w:val="13"/>
                <w:szCs w:val="18"/>
              </w:rPr>
              <w:t xml:space="preserve"> </w:t>
            </w:r>
            <w:r>
              <w:rPr>
                <w:rFonts w:ascii="宋体" w:hAnsi="宋体" w:cs="Arial"/>
                <w:kern w:val="0"/>
                <w:sz w:val="13"/>
                <w:szCs w:val="18"/>
              </w:rPr>
              <w:t>5.5.12</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危险物料的泄压排放或放空的安全性，主要包括：</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．可燃气体、可燃液体设备的安全阀出口应连接至适宜的设施或系统；</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．对液化烃或可燃液体设备紧急排放时，液化烃或可燃液体应排放至安全地点，剩余的液化烃应排入火炬；</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．对可燃气体设备，应能将设备内的可燃气体排入火炬或安全放空系统；</w:t>
            </w:r>
          </w:p>
          <w:p>
            <w:pPr>
              <w:autoSpaceDE w:val="0"/>
              <w:autoSpaceDN w:val="0"/>
              <w:adjustRightInd w:val="0"/>
              <w:jc w:val="left"/>
              <w:rPr>
                <w:rFonts w:ascii="宋体" w:hAnsi="宋体"/>
                <w:kern w:val="0"/>
                <w:sz w:val="13"/>
                <w:szCs w:val="18"/>
              </w:rPr>
            </w:pPr>
            <w:r>
              <w:rPr>
                <w:rFonts w:ascii="宋体" w:hAnsi="宋体" w:cs="Arial"/>
                <w:kern w:val="0"/>
                <w:sz w:val="13"/>
                <w:szCs w:val="18"/>
              </w:rPr>
              <w:t>4</w:t>
            </w:r>
            <w:r>
              <w:rPr>
                <w:rFonts w:hint="eastAsia" w:ascii="宋体" w:hAnsi="宋体" w:cs="宋体"/>
                <w:kern w:val="0"/>
                <w:sz w:val="13"/>
                <w:szCs w:val="18"/>
              </w:rPr>
              <w:t>．氨的安全阀排放气应经处理后放空。</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GB50160-2008 </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5.5.7</w:t>
            </w:r>
            <w:r>
              <w:rPr>
                <w:rFonts w:hint="eastAsia" w:ascii="宋体" w:hAnsi="宋体" w:cs="宋体"/>
                <w:kern w:val="0"/>
                <w:sz w:val="13"/>
                <w:szCs w:val="18"/>
              </w:rPr>
              <w:t>条</w:t>
            </w:r>
            <w:r>
              <w:rPr>
                <w:rFonts w:ascii="宋体" w:hAnsi="宋体" w:cs="宋体"/>
                <w:kern w:val="0"/>
                <w:sz w:val="13"/>
                <w:szCs w:val="18"/>
              </w:rPr>
              <w:t xml:space="preserve"> </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5.5.10</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hint="eastAsia" w:ascii="宋体" w:hAnsi="宋体"/>
                <w:kern w:val="0"/>
                <w:sz w:val="13"/>
                <w:szCs w:val="18"/>
              </w:rPr>
              <w:t>9</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无法排入火炬或装置处理排放系统的可燃气体，当通过排气筒、</w:t>
            </w:r>
            <w:r>
              <w:rPr>
                <w:rFonts w:ascii="宋体" w:hAnsi="宋体" w:cs="宋体"/>
                <w:kern w:val="0"/>
                <w:sz w:val="13"/>
                <w:szCs w:val="18"/>
              </w:rPr>
              <w:t xml:space="preserve"> </w:t>
            </w:r>
            <w:r>
              <w:rPr>
                <w:rFonts w:hint="eastAsia" w:ascii="宋体" w:hAnsi="宋体" w:cs="宋体"/>
                <w:kern w:val="0"/>
                <w:sz w:val="13"/>
                <w:szCs w:val="18"/>
              </w:rPr>
              <w:t>放空管直接向大气排放时，排气筒、放空管的高度应满足</w:t>
            </w:r>
            <w:r>
              <w:rPr>
                <w:rFonts w:ascii="宋体" w:hAnsi="宋体" w:cs="宋体"/>
                <w:kern w:val="0"/>
                <w:sz w:val="13"/>
                <w:szCs w:val="18"/>
              </w:rPr>
              <w:t xml:space="preserve"> </w:t>
            </w:r>
            <w:r>
              <w:rPr>
                <w:rFonts w:ascii="宋体" w:hAnsi="宋体" w:cs="Arial"/>
                <w:kern w:val="0"/>
                <w:sz w:val="13"/>
                <w:szCs w:val="18"/>
              </w:rPr>
              <w:t>GB50160</w:t>
            </w:r>
            <w:r>
              <w:rPr>
                <w:rFonts w:hint="eastAsia" w:ascii="宋体" w:hAnsi="宋体" w:cs="宋体"/>
                <w:kern w:val="0"/>
                <w:sz w:val="13"/>
                <w:szCs w:val="18"/>
              </w:rPr>
              <w:t>、</w:t>
            </w:r>
            <w:r>
              <w:rPr>
                <w:rFonts w:ascii="宋体" w:hAnsi="宋体" w:cs="Arial"/>
                <w:kern w:val="0"/>
                <w:sz w:val="13"/>
                <w:szCs w:val="18"/>
              </w:rPr>
              <w:t xml:space="preserve">GB50183 </w:t>
            </w:r>
            <w:r>
              <w:rPr>
                <w:rFonts w:hint="eastAsia" w:ascii="宋体" w:hAnsi="宋体" w:cs="宋体"/>
                <w:kern w:val="0"/>
                <w:sz w:val="13"/>
                <w:szCs w:val="18"/>
              </w:rPr>
              <w:t>等规范的要求。</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5.5.11</w:t>
            </w:r>
            <w:r>
              <w:rPr>
                <w:rFonts w:hint="eastAsia" w:ascii="宋体" w:hAnsi="宋体" w:cs="宋体"/>
                <w:kern w:val="0"/>
                <w:sz w:val="13"/>
                <w:szCs w:val="18"/>
              </w:rPr>
              <w:t>条、</w:t>
            </w:r>
            <w:r>
              <w:rPr>
                <w:rFonts w:ascii="宋体" w:hAnsi="宋体" w:cs="Arial"/>
                <w:kern w:val="0"/>
                <w:sz w:val="13"/>
                <w:szCs w:val="18"/>
              </w:rPr>
              <w:t>GB50183</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6.8.8</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ind w:left="114" w:hanging="114" w:hangingChars="88"/>
              <w:jc w:val="center"/>
              <w:rPr>
                <w:rFonts w:ascii="宋体" w:hAnsi="宋体"/>
                <w:kern w:val="0"/>
                <w:sz w:val="13"/>
                <w:szCs w:val="18"/>
              </w:rPr>
            </w:pPr>
            <w:r>
              <w:rPr>
                <w:rFonts w:hint="eastAsia" w:ascii="宋体" w:hAnsi="宋体" w:cs="Arial"/>
                <w:kern w:val="0"/>
                <w:sz w:val="13"/>
                <w:szCs w:val="18"/>
              </w:rPr>
              <w:t xml:space="preserve">    </w:t>
            </w:r>
            <w:r>
              <w:rPr>
                <w:rFonts w:ascii="宋体" w:hAnsi="宋体" w:cs="Arial"/>
                <w:kern w:val="0"/>
                <w:sz w:val="13"/>
                <w:szCs w:val="18"/>
              </w:rPr>
              <w:t>10</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火炬系统的安全性是否满足以下要求：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．火炬系统的能力是否满足装置事故状态下的安全泄放：</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．火炬系统是否设置了足够的长明灯，并有可靠的点火系统及燃料气源；</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．火炬系统是否设置了可靠的防回火设施；</w:t>
            </w:r>
          </w:p>
          <w:p>
            <w:pPr>
              <w:autoSpaceDE w:val="0"/>
              <w:autoSpaceDN w:val="0"/>
              <w:adjustRightInd w:val="0"/>
              <w:jc w:val="left"/>
              <w:rPr>
                <w:rFonts w:ascii="宋体" w:hAnsi="宋体"/>
                <w:kern w:val="0"/>
                <w:sz w:val="13"/>
                <w:szCs w:val="18"/>
              </w:rPr>
            </w:pPr>
            <w:r>
              <w:rPr>
                <w:rFonts w:ascii="宋体" w:hAnsi="宋体" w:cs="Arial"/>
                <w:kern w:val="0"/>
                <w:sz w:val="13"/>
                <w:szCs w:val="18"/>
              </w:rPr>
              <w:t>4</w:t>
            </w:r>
            <w:r>
              <w:rPr>
                <w:rFonts w:hint="eastAsia" w:ascii="宋体" w:hAnsi="宋体" w:cs="宋体"/>
                <w:kern w:val="0"/>
                <w:sz w:val="13"/>
                <w:szCs w:val="18"/>
              </w:rPr>
              <w:t>．火炬气的分液、排凝是否符合要求。</w:t>
            </w:r>
          </w:p>
        </w:tc>
        <w:tc>
          <w:tcPr>
            <w:tcW w:w="2715" w:type="dxa"/>
          </w:tcPr>
          <w:p>
            <w:pPr>
              <w:autoSpaceDE w:val="0"/>
              <w:autoSpaceDN w:val="0"/>
              <w:adjustRightInd w:val="0"/>
              <w:jc w:val="left"/>
              <w:rPr>
                <w:rFonts w:ascii="宋体" w:hAnsi="宋体" w:cs="Arial"/>
                <w:kern w:val="0"/>
                <w:sz w:val="13"/>
                <w:szCs w:val="18"/>
              </w:rPr>
            </w:pPr>
            <w:r>
              <w:rPr>
                <w:rFonts w:ascii="宋体" w:hAnsi="宋体" w:cs="Arial"/>
                <w:kern w:val="0"/>
                <w:sz w:val="13"/>
                <w:szCs w:val="18"/>
              </w:rPr>
              <w:t>GB50160-2008</w:t>
            </w:r>
          </w:p>
          <w:p>
            <w:pPr>
              <w:autoSpaceDE w:val="0"/>
              <w:autoSpaceDN w:val="0"/>
              <w:adjustRightInd w:val="0"/>
              <w:jc w:val="left"/>
              <w:rPr>
                <w:rFonts w:ascii="宋体" w:hAnsi="宋体"/>
                <w:kern w:val="0"/>
                <w:sz w:val="13"/>
                <w:szCs w:val="18"/>
              </w:rPr>
            </w:pPr>
            <w:r>
              <w:rPr>
                <w:rFonts w:ascii="宋体" w:hAnsi="宋体" w:cs="Arial"/>
                <w:kern w:val="0"/>
                <w:sz w:val="13"/>
                <w:szCs w:val="18"/>
              </w:rPr>
              <w:t>SH3009-2001</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三、现场工艺安全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cs="Arial"/>
                <w:kern w:val="0"/>
                <w:sz w:val="13"/>
                <w:szCs w:val="18"/>
              </w:rPr>
            </w:pPr>
            <w:r>
              <w:rPr>
                <w:rFonts w:hint="eastAsia" w:ascii="宋体" w:hAnsi="宋体" w:cs="宋体"/>
                <w:kern w:val="0"/>
                <w:sz w:val="13"/>
                <w:szCs w:val="18"/>
              </w:rPr>
              <w:t>企业应严格执行工艺卡片管理</w:t>
            </w:r>
            <w:r>
              <w:rPr>
                <w:rFonts w:ascii="宋体" w:hAnsi="宋体" w:cs="Arial"/>
                <w:kern w:val="0"/>
                <w:sz w:val="13"/>
                <w:szCs w:val="18"/>
              </w:rPr>
              <w:t>,</w:t>
            </w:r>
            <w:r>
              <w:rPr>
                <w:rFonts w:hint="eastAsia" w:ascii="宋体" w:hAnsi="宋体" w:cs="宋体"/>
                <w:kern w:val="0"/>
                <w:sz w:val="13"/>
                <w:szCs w:val="18"/>
              </w:rPr>
              <w:t>并符合以下要求</w:t>
            </w:r>
            <w:r>
              <w:rPr>
                <w:rFonts w:ascii="宋体" w:hAnsi="宋体" w:cs="Arial"/>
                <w:kern w:val="0"/>
                <w:sz w:val="13"/>
                <w:szCs w:val="18"/>
              </w:rPr>
              <w:t>:</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操作室要有工艺卡片，并定期修订；</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现场装置的工艺指标应按工艺卡片严格控制；</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工艺卡片变更必须按规定履行变更审批手续。</w:t>
            </w:r>
          </w:p>
        </w:tc>
        <w:tc>
          <w:tcPr>
            <w:tcW w:w="2715" w:type="dxa"/>
          </w:tcPr>
          <w:p>
            <w:pPr>
              <w:autoSpaceDE w:val="0"/>
              <w:autoSpaceDN w:val="0"/>
              <w:adjustRightInd w:val="0"/>
              <w:jc w:val="left"/>
              <w:rPr>
                <w:rFonts w:ascii="宋体" w:hAnsi="宋体"/>
                <w:kern w:val="0"/>
                <w:sz w:val="13"/>
                <w:szCs w:val="18"/>
              </w:rPr>
            </w:pPr>
          </w:p>
        </w:tc>
        <w:tc>
          <w:tcPr>
            <w:tcW w:w="1163" w:type="dxa"/>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企业应建立联锁管理制度，严格执行，并符合以下要求：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现场联锁装置必须投用，完好；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摘除联锁有审批手续，有安全措施。</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恢复联锁按规定程序进行。</w:t>
            </w:r>
          </w:p>
        </w:tc>
        <w:tc>
          <w:tcPr>
            <w:tcW w:w="2715" w:type="dxa"/>
          </w:tcPr>
          <w:p>
            <w:pPr>
              <w:autoSpaceDE w:val="0"/>
              <w:autoSpaceDN w:val="0"/>
              <w:adjustRightInd w:val="0"/>
              <w:jc w:val="left"/>
              <w:rPr>
                <w:rFonts w:ascii="宋体" w:hAnsi="宋体"/>
                <w:kern w:val="0"/>
                <w:sz w:val="13"/>
                <w:szCs w:val="18"/>
              </w:rPr>
            </w:pPr>
          </w:p>
        </w:tc>
        <w:tc>
          <w:tcPr>
            <w:tcW w:w="1163"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企业应建立操作记录和交接班管理制度，并符合以下要求：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．岗位职工严格遵守操作规程；岗位职工严格遵守操作规程，按照工艺卡片参数平稳操作，巡回检查有检查标志。</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．定时进行巡回检查，要有操作记录；操作记录真实、及时、齐</w:t>
            </w:r>
            <w:r>
              <w:rPr>
                <w:rFonts w:ascii="宋体" w:hAnsi="宋体" w:cs="宋体"/>
                <w:kern w:val="0"/>
                <w:sz w:val="13"/>
                <w:szCs w:val="18"/>
              </w:rPr>
              <w:t xml:space="preserve"> </w:t>
            </w:r>
            <w:r>
              <w:rPr>
                <w:rFonts w:hint="eastAsia" w:ascii="宋体" w:hAnsi="宋体" w:cs="宋体"/>
                <w:kern w:val="0"/>
                <w:sz w:val="13"/>
                <w:szCs w:val="18"/>
              </w:rPr>
              <w:t>全，字迹工整、清晰、无涂改。</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．严格执行交接班制度。日志内容完整、真实。</w:t>
            </w:r>
          </w:p>
        </w:tc>
        <w:tc>
          <w:tcPr>
            <w:tcW w:w="2715" w:type="dxa"/>
          </w:tcPr>
          <w:p>
            <w:pPr>
              <w:autoSpaceDE w:val="0"/>
              <w:autoSpaceDN w:val="0"/>
              <w:adjustRightInd w:val="0"/>
              <w:jc w:val="left"/>
              <w:rPr>
                <w:rFonts w:ascii="宋体" w:hAnsi="宋体"/>
                <w:kern w:val="0"/>
                <w:sz w:val="13"/>
                <w:szCs w:val="18"/>
              </w:rPr>
            </w:pPr>
          </w:p>
        </w:tc>
        <w:tc>
          <w:tcPr>
            <w:tcW w:w="1163"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剧毒品部位的巡检、取样、操作、检维修加强监护，有监护制度，并符合</w:t>
            </w:r>
            <w:r>
              <w:rPr>
                <w:rFonts w:ascii="宋体" w:hAnsi="宋体" w:cs="Arial"/>
                <w:kern w:val="0"/>
                <w:sz w:val="13"/>
                <w:szCs w:val="18"/>
              </w:rPr>
              <w:t>GB/T3723-1999</w:t>
            </w:r>
            <w:r>
              <w:rPr>
                <w:rFonts w:hint="eastAsia" w:ascii="宋体" w:hAnsi="宋体" w:cs="宋体"/>
                <w:kern w:val="0"/>
                <w:sz w:val="13"/>
                <w:szCs w:val="18"/>
              </w:rPr>
              <w:t>的要求。</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《工业用化学品采样安全通则</w:t>
            </w:r>
            <w:r>
              <w:rPr>
                <w:rFonts w:ascii="宋体" w:hAnsi="宋体" w:cs="宋体"/>
                <w:kern w:val="0"/>
                <w:sz w:val="13"/>
                <w:szCs w:val="18"/>
              </w:rPr>
              <w:t xml:space="preserve"> </w:t>
            </w:r>
            <w:r>
              <w:rPr>
                <w:rFonts w:hint="eastAsia" w:ascii="宋体" w:hAnsi="宋体" w:cs="宋体"/>
                <w:kern w:val="0"/>
                <w:sz w:val="13"/>
                <w:szCs w:val="18"/>
              </w:rPr>
              <w:t>》</w:t>
            </w:r>
            <w:r>
              <w:rPr>
                <w:rFonts w:ascii="宋体" w:hAnsi="宋体" w:cs="Arial"/>
                <w:kern w:val="0"/>
                <w:sz w:val="13"/>
                <w:szCs w:val="18"/>
              </w:rPr>
              <w:t>GB/T3723-1999</w:t>
            </w:r>
          </w:p>
        </w:tc>
        <w:tc>
          <w:tcPr>
            <w:tcW w:w="1163" w:type="dxa"/>
          </w:tcPr>
          <w:p>
            <w:pPr>
              <w:rPr>
                <w:rFonts w:ascii="宋体" w:hAnsi="宋体" w:cs="宋体"/>
                <w:kern w:val="0"/>
                <w:sz w:val="13"/>
                <w:szCs w:val="18"/>
              </w:rPr>
            </w:pPr>
          </w:p>
        </w:tc>
      </w:tr>
    </w:tbl>
    <w:p>
      <w:pPr>
        <w:rPr>
          <w:sz w:val="16"/>
        </w:rPr>
      </w:pPr>
    </w:p>
    <w:p>
      <w:pPr>
        <w:rPr>
          <w:sz w:val="16"/>
        </w:rPr>
      </w:pPr>
    </w:p>
    <w:p>
      <w:pPr>
        <w:pStyle w:val="3"/>
        <w:rPr>
          <w:rFonts w:hint="default"/>
          <w:sz w:val="21"/>
          <w:szCs w:val="28"/>
        </w:rPr>
      </w:pPr>
      <w:bookmarkStart w:id="124" w:name="_Toc11921486"/>
      <w:r>
        <w:rPr>
          <w:sz w:val="21"/>
          <w:szCs w:val="28"/>
        </w:rPr>
        <w:t>4 设备隐患排查表</w:t>
      </w:r>
      <w:bookmarkEnd w:id="124"/>
    </w:p>
    <w:tbl>
      <w:tblPr>
        <w:tblStyle w:val="11"/>
        <w:tblW w:w="858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4234"/>
        <w:gridCol w:w="2714"/>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66"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34"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14"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7"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一、设备管理制度及管理体系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按国家相关法规制定和及时修订本企业的设备管理制</w:t>
            </w:r>
            <w:r>
              <w:rPr>
                <w:rFonts w:ascii="宋体" w:hAnsi="宋体" w:cs="宋体"/>
                <w:kern w:val="0"/>
                <w:sz w:val="13"/>
                <w:szCs w:val="18"/>
              </w:rPr>
              <w:t xml:space="preserve"> </w:t>
            </w:r>
            <w:r>
              <w:rPr>
                <w:rFonts w:hint="eastAsia" w:ascii="宋体" w:hAnsi="宋体" w:cs="宋体"/>
                <w:kern w:val="0"/>
                <w:sz w:val="13"/>
                <w:szCs w:val="18"/>
              </w:rPr>
              <w:t>度。</w:t>
            </w:r>
          </w:p>
        </w:tc>
        <w:tc>
          <w:tcPr>
            <w:tcW w:w="2714" w:type="dxa"/>
          </w:tcPr>
          <w:p>
            <w:pPr>
              <w:autoSpaceDE w:val="0"/>
              <w:autoSpaceDN w:val="0"/>
              <w:adjustRightInd w:val="0"/>
              <w:jc w:val="left"/>
              <w:rPr>
                <w:rFonts w:ascii="宋体" w:hAnsi="宋体"/>
                <w:kern w:val="0"/>
                <w:sz w:val="13"/>
                <w:szCs w:val="18"/>
              </w:rPr>
            </w:pPr>
          </w:p>
        </w:tc>
        <w:tc>
          <w:tcPr>
            <w:tcW w:w="1167" w:type="dxa"/>
            <w:vMerge w:val="restart"/>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依据设备管理制度制定检查和考评办法，定期召开设</w:t>
            </w:r>
            <w:r>
              <w:rPr>
                <w:rFonts w:ascii="宋体" w:hAnsi="宋体" w:cs="宋体"/>
                <w:kern w:val="0"/>
                <w:sz w:val="13"/>
                <w:szCs w:val="18"/>
              </w:rPr>
              <w:t xml:space="preserve"> </w:t>
            </w:r>
            <w:r>
              <w:rPr>
                <w:rFonts w:hint="eastAsia" w:ascii="宋体" w:hAnsi="宋体" w:cs="宋体"/>
                <w:kern w:val="0"/>
                <w:sz w:val="13"/>
                <w:szCs w:val="18"/>
              </w:rPr>
              <w:t>备工作例会，按要求执行并追踪落实整改结果。</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有健全的设备管理体系，设备专业管理人员配备齐全。</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生产及检维修单位巡回检查制度健全，巡检时间、路</w:t>
            </w:r>
            <w:r>
              <w:rPr>
                <w:rFonts w:ascii="宋体" w:hAnsi="宋体" w:cs="宋体"/>
                <w:kern w:val="0"/>
                <w:sz w:val="13"/>
                <w:szCs w:val="18"/>
              </w:rPr>
              <w:t xml:space="preserve"> </w:t>
            </w:r>
            <w:r>
              <w:rPr>
                <w:rFonts w:hint="eastAsia" w:ascii="宋体" w:hAnsi="宋体" w:cs="宋体"/>
                <w:kern w:val="0"/>
                <w:sz w:val="13"/>
                <w:szCs w:val="18"/>
              </w:rPr>
              <w:t>线、内容、标识、记录准确、规范，设备缺陷及隐患及时上报处理。</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企业应严格执行安全设施管理制度，建立安全设施管</w:t>
            </w:r>
            <w:r>
              <w:rPr>
                <w:rFonts w:ascii="宋体" w:hAnsi="宋体" w:cs="宋体"/>
                <w:kern w:val="0"/>
                <w:sz w:val="13"/>
                <w:szCs w:val="18"/>
              </w:rPr>
              <w:t xml:space="preserve"> </w:t>
            </w:r>
            <w:r>
              <w:rPr>
                <w:rFonts w:hint="eastAsia" w:ascii="宋体" w:hAnsi="宋体" w:cs="宋体"/>
                <w:kern w:val="0"/>
                <w:sz w:val="13"/>
                <w:szCs w:val="18"/>
              </w:rPr>
              <w:t>理台帐。</w:t>
            </w:r>
          </w:p>
        </w:tc>
        <w:tc>
          <w:tcPr>
            <w:tcW w:w="2714"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AQ3013-2008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5.5.2.1</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企业的各种安全设施应有专人负责管理，定期检查和</w:t>
            </w:r>
            <w:r>
              <w:rPr>
                <w:rFonts w:ascii="宋体" w:hAnsi="宋体" w:cs="宋体"/>
                <w:kern w:val="0"/>
                <w:sz w:val="13"/>
                <w:szCs w:val="18"/>
              </w:rPr>
              <w:t xml:space="preserve"> </w:t>
            </w:r>
            <w:r>
              <w:rPr>
                <w:rFonts w:hint="eastAsia" w:ascii="宋体" w:hAnsi="宋体" w:cs="宋体"/>
                <w:kern w:val="0"/>
                <w:sz w:val="13"/>
                <w:szCs w:val="18"/>
              </w:rPr>
              <w:t>维护保养。</w:t>
            </w:r>
          </w:p>
        </w:tc>
        <w:tc>
          <w:tcPr>
            <w:tcW w:w="2714"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AQ3013-2008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5.5.2.3</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安全设施应编入设备检维修计划，定期检维修。安全</w:t>
            </w:r>
            <w:r>
              <w:rPr>
                <w:rFonts w:ascii="宋体" w:hAnsi="宋体" w:cs="宋体"/>
                <w:kern w:val="0"/>
                <w:sz w:val="13"/>
                <w:szCs w:val="18"/>
              </w:rPr>
              <w:t xml:space="preserve"> </w:t>
            </w:r>
            <w:r>
              <w:rPr>
                <w:rFonts w:hint="eastAsia" w:ascii="宋体" w:hAnsi="宋体" w:cs="宋体"/>
                <w:kern w:val="0"/>
                <w:sz w:val="13"/>
                <w:szCs w:val="18"/>
              </w:rPr>
              <w:t>设施不得随意拆除、挪用或弃置不用，因检维修拆除</w:t>
            </w:r>
            <w:r>
              <w:rPr>
                <w:rFonts w:ascii="宋体" w:hAnsi="宋体" w:cs="宋体"/>
                <w:kern w:val="0"/>
                <w:sz w:val="13"/>
                <w:szCs w:val="18"/>
              </w:rPr>
              <w:t xml:space="preserve"> </w:t>
            </w:r>
            <w:r>
              <w:rPr>
                <w:rFonts w:hint="eastAsia" w:ascii="宋体" w:hAnsi="宋体" w:cs="宋体"/>
                <w:kern w:val="0"/>
                <w:sz w:val="13"/>
                <w:szCs w:val="18"/>
              </w:rPr>
              <w:t>的，检维修完毕后应立即复原。</w:t>
            </w:r>
          </w:p>
        </w:tc>
        <w:tc>
          <w:tcPr>
            <w:tcW w:w="2714" w:type="dxa"/>
          </w:tcPr>
          <w:p>
            <w:pPr>
              <w:autoSpaceDE w:val="0"/>
              <w:autoSpaceDN w:val="0"/>
              <w:adjustRightInd w:val="0"/>
              <w:jc w:val="left"/>
              <w:rPr>
                <w:rFonts w:ascii="宋体" w:hAnsi="宋体" w:cs="Arial"/>
                <w:kern w:val="0"/>
                <w:sz w:val="13"/>
                <w:szCs w:val="18"/>
              </w:rPr>
            </w:pPr>
            <w:r>
              <w:rPr>
                <w:rFonts w:ascii="宋体" w:hAnsi="宋体" w:cs="Arial"/>
                <w:kern w:val="0"/>
                <w:sz w:val="13"/>
                <w:szCs w:val="18"/>
              </w:rPr>
              <w:t>AQ3013-2008</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第</w:t>
            </w:r>
            <w:r>
              <w:rPr>
                <w:rFonts w:ascii="宋体" w:hAnsi="宋体" w:cs="Arial"/>
                <w:kern w:val="0"/>
                <w:sz w:val="13"/>
                <w:szCs w:val="18"/>
              </w:rPr>
              <w:t>5.5.2.4</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企业应对监视和测量设备进行规范管理，建立监视和</w:t>
            </w:r>
            <w:r>
              <w:rPr>
                <w:rFonts w:ascii="宋体" w:hAnsi="宋体" w:cs="宋体"/>
                <w:kern w:val="0"/>
                <w:sz w:val="13"/>
                <w:szCs w:val="18"/>
              </w:rPr>
              <w:t xml:space="preserve"> </w:t>
            </w:r>
            <w:r>
              <w:rPr>
                <w:rFonts w:hint="eastAsia" w:ascii="宋体" w:hAnsi="宋体" w:cs="宋体"/>
                <w:kern w:val="0"/>
                <w:sz w:val="13"/>
                <w:szCs w:val="18"/>
              </w:rPr>
              <w:t>测量设备台帐，定期进行校准和维护，并保存校准和</w:t>
            </w:r>
            <w:r>
              <w:rPr>
                <w:rFonts w:ascii="宋体" w:hAnsi="宋体" w:cs="宋体"/>
                <w:kern w:val="0"/>
                <w:sz w:val="13"/>
                <w:szCs w:val="18"/>
              </w:rPr>
              <w:t xml:space="preserve"> </w:t>
            </w:r>
            <w:r>
              <w:rPr>
                <w:rFonts w:hint="eastAsia" w:ascii="宋体" w:hAnsi="宋体" w:cs="宋体"/>
                <w:kern w:val="0"/>
                <w:sz w:val="13"/>
                <w:szCs w:val="18"/>
              </w:rPr>
              <w:t>维护活动的记录。</w:t>
            </w:r>
          </w:p>
        </w:tc>
        <w:tc>
          <w:tcPr>
            <w:tcW w:w="2714" w:type="dxa"/>
          </w:tcPr>
          <w:p>
            <w:pPr>
              <w:autoSpaceDE w:val="0"/>
              <w:autoSpaceDN w:val="0"/>
              <w:adjustRightInd w:val="0"/>
              <w:jc w:val="left"/>
              <w:rPr>
                <w:rFonts w:ascii="宋体" w:hAnsi="宋体" w:cs="Arial"/>
                <w:kern w:val="0"/>
                <w:sz w:val="13"/>
                <w:szCs w:val="18"/>
              </w:rPr>
            </w:pPr>
            <w:r>
              <w:rPr>
                <w:rFonts w:ascii="宋体" w:hAnsi="宋体" w:cs="Arial"/>
                <w:kern w:val="0"/>
                <w:sz w:val="13"/>
                <w:szCs w:val="18"/>
              </w:rPr>
              <w:t>AQ3013-2008</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第</w:t>
            </w:r>
            <w:r>
              <w:rPr>
                <w:rFonts w:ascii="宋体" w:hAnsi="宋体" w:cs="Arial"/>
                <w:kern w:val="0"/>
                <w:sz w:val="13"/>
                <w:szCs w:val="18"/>
              </w:rPr>
              <w:t>5.5.2.5</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9</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生产经营单位不得使用国家明令淘汰、禁止使用的危</w:t>
            </w:r>
            <w:r>
              <w:rPr>
                <w:rFonts w:ascii="宋体" w:hAnsi="宋体" w:cs="宋体"/>
                <w:kern w:val="0"/>
                <w:sz w:val="13"/>
                <w:szCs w:val="18"/>
              </w:rPr>
              <w:t xml:space="preserve"> </w:t>
            </w:r>
            <w:r>
              <w:rPr>
                <w:rFonts w:hint="eastAsia" w:ascii="宋体" w:hAnsi="宋体" w:cs="宋体"/>
                <w:kern w:val="0"/>
                <w:sz w:val="13"/>
                <w:szCs w:val="18"/>
              </w:rPr>
              <w:t>及生产安全的设备。</w:t>
            </w:r>
          </w:p>
        </w:tc>
        <w:tc>
          <w:tcPr>
            <w:tcW w:w="271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Arial"/>
                <w:kern w:val="0"/>
                <w:sz w:val="13"/>
                <w:szCs w:val="18"/>
              </w:rPr>
              <w:t xml:space="preserve">31 </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二、大型机组、机泵的管理和运行状况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各企业应建立健全大型机组的管理体系及制度并严格</w:t>
            </w:r>
            <w:r>
              <w:rPr>
                <w:rFonts w:ascii="宋体" w:hAnsi="宋体" w:cs="宋体"/>
                <w:kern w:val="0"/>
                <w:sz w:val="13"/>
                <w:szCs w:val="18"/>
              </w:rPr>
              <w:t xml:space="preserve"> </w:t>
            </w:r>
            <w:r>
              <w:rPr>
                <w:rFonts w:hint="eastAsia" w:ascii="宋体" w:hAnsi="宋体" w:cs="宋体"/>
                <w:kern w:val="0"/>
                <w:sz w:val="13"/>
                <w:szCs w:val="18"/>
              </w:rPr>
              <w:t>执行。</w:t>
            </w:r>
          </w:p>
        </w:tc>
        <w:tc>
          <w:tcPr>
            <w:tcW w:w="2714" w:type="dxa"/>
          </w:tcPr>
          <w:p>
            <w:pPr>
              <w:autoSpaceDE w:val="0"/>
              <w:autoSpaceDN w:val="0"/>
              <w:adjustRightInd w:val="0"/>
              <w:jc w:val="left"/>
              <w:rPr>
                <w:rFonts w:ascii="宋体" w:hAnsi="宋体"/>
                <w:kern w:val="0"/>
                <w:sz w:val="13"/>
                <w:szCs w:val="18"/>
              </w:rPr>
            </w:pPr>
          </w:p>
        </w:tc>
        <w:tc>
          <w:tcPr>
            <w:tcW w:w="1167" w:type="dxa"/>
          </w:tcPr>
          <w:p>
            <w:pPr>
              <w:autoSpaceDE w:val="0"/>
              <w:autoSpaceDN w:val="0"/>
              <w:adjustRightInd w:val="0"/>
              <w:jc w:val="left"/>
              <w:rPr>
                <w:rFonts w:ascii="宋体" w:hAnsi="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大型机组联锁保护系统应正常投用，变更、解除时要</w:t>
            </w:r>
            <w:r>
              <w:rPr>
                <w:rFonts w:ascii="宋体" w:hAnsi="宋体" w:cs="宋体"/>
                <w:kern w:val="0"/>
                <w:sz w:val="13"/>
                <w:szCs w:val="18"/>
              </w:rPr>
              <w:t xml:space="preserve"> </w:t>
            </w:r>
            <w:r>
              <w:rPr>
                <w:rFonts w:hint="eastAsia" w:ascii="宋体" w:hAnsi="宋体" w:cs="宋体"/>
                <w:kern w:val="0"/>
                <w:sz w:val="13"/>
                <w:szCs w:val="18"/>
              </w:rPr>
              <w:t>办理相关手续，并制订相应的防范措施。</w:t>
            </w:r>
          </w:p>
        </w:tc>
        <w:tc>
          <w:tcPr>
            <w:tcW w:w="2714" w:type="dxa"/>
          </w:tcPr>
          <w:p>
            <w:pPr>
              <w:autoSpaceDE w:val="0"/>
              <w:autoSpaceDN w:val="0"/>
              <w:adjustRightInd w:val="0"/>
              <w:jc w:val="left"/>
              <w:rPr>
                <w:rFonts w:ascii="宋体" w:hAnsi="宋体"/>
                <w:kern w:val="0"/>
                <w:sz w:val="13"/>
                <w:szCs w:val="18"/>
              </w:rPr>
            </w:pPr>
          </w:p>
        </w:tc>
        <w:tc>
          <w:tcPr>
            <w:tcW w:w="1167" w:type="dxa"/>
            <w:vMerge w:val="restart"/>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大型机组润滑油应定期分析，其机组油质按要求定期</w:t>
            </w:r>
            <w:r>
              <w:rPr>
                <w:rFonts w:ascii="宋体" w:hAnsi="宋体" w:cs="宋体"/>
                <w:kern w:val="0"/>
                <w:sz w:val="13"/>
                <w:szCs w:val="18"/>
              </w:rPr>
              <w:t xml:space="preserve"> </w:t>
            </w:r>
            <w:r>
              <w:rPr>
                <w:rFonts w:hint="eastAsia" w:ascii="宋体" w:hAnsi="宋体" w:cs="宋体"/>
                <w:kern w:val="0"/>
                <w:sz w:val="13"/>
                <w:szCs w:val="18"/>
              </w:rPr>
              <w:t>分析，有分析指标，分析不合格有措施并得到落实。</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大型机组的运行管理应符合以下要求：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．机组运行参数应符合工艺规程要求；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．机组轴（承）振动、温度、转子轴位移小于报警值；</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．机组轴封系统参数、泄漏等在规定范围内；</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．机组润滑油、密封油、控制油系统工艺参数等正常；</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．机组辅机（件）齐全完好；</w:t>
            </w:r>
          </w:p>
          <w:p>
            <w:pPr>
              <w:autoSpaceDE w:val="0"/>
              <w:autoSpaceDN w:val="0"/>
              <w:adjustRightInd w:val="0"/>
              <w:jc w:val="left"/>
              <w:rPr>
                <w:rFonts w:ascii="宋体" w:hAnsi="宋体"/>
                <w:kern w:val="0"/>
                <w:sz w:val="13"/>
                <w:szCs w:val="18"/>
              </w:rPr>
            </w:pPr>
            <w:r>
              <w:rPr>
                <w:rFonts w:ascii="宋体" w:hAnsi="宋体" w:cs="Arial"/>
                <w:kern w:val="0"/>
                <w:sz w:val="13"/>
                <w:szCs w:val="18"/>
              </w:rPr>
              <w:t>6</w:t>
            </w:r>
            <w:r>
              <w:rPr>
                <w:rFonts w:hint="eastAsia" w:ascii="宋体" w:hAnsi="宋体" w:cs="宋体"/>
                <w:kern w:val="0"/>
                <w:sz w:val="13"/>
                <w:szCs w:val="18"/>
              </w:rPr>
              <w:t>．机组现场整洁、规范。</w:t>
            </w:r>
          </w:p>
        </w:tc>
        <w:tc>
          <w:tcPr>
            <w:tcW w:w="271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《石油化工企业设备完好标准》</w:t>
            </w:r>
          </w:p>
        </w:tc>
        <w:tc>
          <w:tcPr>
            <w:tcW w:w="1167" w:type="dxa"/>
            <w:vMerge w:val="restart"/>
          </w:tcPr>
          <w:p>
            <w:pPr>
              <w:autoSpaceDE w:val="0"/>
              <w:autoSpaceDN w:val="0"/>
              <w:adjustRightInd w:val="0"/>
              <w:jc w:val="left"/>
              <w:rPr>
                <w:rFonts w:ascii="宋体" w:hAnsi="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每班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机泵的运行管理应满足以下要求：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．机泵运行参数应符合工艺操作规程；</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．有联锁、报警装置的机泵，报警和联锁系统应投入</w:t>
            </w:r>
            <w:r>
              <w:rPr>
                <w:rFonts w:ascii="宋体" w:hAnsi="宋体" w:cs="宋体"/>
                <w:kern w:val="0"/>
                <w:sz w:val="13"/>
                <w:szCs w:val="18"/>
              </w:rPr>
              <w:t xml:space="preserve"> </w:t>
            </w:r>
            <w:r>
              <w:rPr>
                <w:rFonts w:hint="eastAsia" w:ascii="宋体" w:hAnsi="宋体" w:cs="宋体"/>
                <w:kern w:val="0"/>
                <w:sz w:val="13"/>
                <w:szCs w:val="18"/>
              </w:rPr>
              <w:t>使用，完好；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．机泵运行平稳，振动、温度、泄漏等符合要求；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．机泵现场整洁、规范；</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．机泵辅件要求完好；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．建立备用设备相关管理制度并得到落实，备用机泵</w:t>
            </w:r>
            <w:r>
              <w:rPr>
                <w:rFonts w:ascii="宋体" w:hAnsi="宋体" w:cs="宋体"/>
                <w:kern w:val="0"/>
                <w:sz w:val="13"/>
                <w:szCs w:val="18"/>
              </w:rPr>
              <w:t xml:space="preserve"> </w:t>
            </w:r>
            <w:r>
              <w:rPr>
                <w:rFonts w:hint="eastAsia" w:ascii="宋体" w:hAnsi="宋体" w:cs="宋体"/>
                <w:kern w:val="0"/>
                <w:sz w:val="13"/>
                <w:szCs w:val="18"/>
              </w:rPr>
              <w:t>完好；</w:t>
            </w:r>
          </w:p>
          <w:p>
            <w:pPr>
              <w:autoSpaceDE w:val="0"/>
              <w:autoSpaceDN w:val="0"/>
              <w:adjustRightInd w:val="0"/>
              <w:jc w:val="left"/>
              <w:rPr>
                <w:rFonts w:ascii="宋体" w:hAnsi="宋体"/>
                <w:kern w:val="0"/>
                <w:sz w:val="13"/>
                <w:szCs w:val="18"/>
              </w:rPr>
            </w:pPr>
            <w:r>
              <w:rPr>
                <w:rFonts w:ascii="宋体" w:hAnsi="宋体" w:cs="Arial"/>
                <w:kern w:val="0"/>
                <w:sz w:val="13"/>
                <w:szCs w:val="18"/>
              </w:rPr>
              <w:t>7</w:t>
            </w:r>
            <w:r>
              <w:rPr>
                <w:rFonts w:hint="eastAsia" w:ascii="宋体" w:hAnsi="宋体" w:cs="宋体"/>
                <w:kern w:val="0"/>
                <w:sz w:val="13"/>
                <w:szCs w:val="18"/>
              </w:rPr>
              <w:t>．重要机泵检修要有针对性的检修规程（方案）要求，</w:t>
            </w:r>
            <w:r>
              <w:rPr>
                <w:rFonts w:ascii="宋体" w:hAnsi="宋体" w:cs="宋体"/>
                <w:kern w:val="0"/>
                <w:sz w:val="13"/>
                <w:szCs w:val="18"/>
              </w:rPr>
              <w:t xml:space="preserve"> </w:t>
            </w:r>
            <w:r>
              <w:rPr>
                <w:rFonts w:hint="eastAsia" w:ascii="宋体" w:hAnsi="宋体" w:cs="宋体"/>
                <w:kern w:val="0"/>
                <w:sz w:val="13"/>
                <w:szCs w:val="18"/>
              </w:rPr>
              <w:t>机泵技术档案资料齐全符合要求。</w:t>
            </w:r>
          </w:p>
        </w:tc>
        <w:tc>
          <w:tcPr>
            <w:tcW w:w="271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《石油化工企业设</w:t>
            </w:r>
            <w:r>
              <w:rPr>
                <w:rFonts w:ascii="宋体" w:hAnsi="宋体" w:cs="宋体"/>
                <w:kern w:val="0"/>
                <w:sz w:val="13"/>
                <w:szCs w:val="18"/>
              </w:rPr>
              <w:t xml:space="preserve"> </w:t>
            </w:r>
            <w:r>
              <w:rPr>
                <w:rFonts w:hint="eastAsia" w:ascii="宋体" w:hAnsi="宋体" w:cs="宋体"/>
                <w:kern w:val="0"/>
                <w:sz w:val="13"/>
                <w:szCs w:val="18"/>
              </w:rPr>
              <w:t>备完好标准》</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机泵电器接线符合电气安全技术要求，有接地线。</w:t>
            </w:r>
          </w:p>
        </w:tc>
        <w:tc>
          <w:tcPr>
            <w:tcW w:w="2714" w:type="dxa"/>
          </w:tcPr>
          <w:p>
            <w:pPr>
              <w:autoSpaceDE w:val="0"/>
              <w:autoSpaceDN w:val="0"/>
              <w:adjustRightInd w:val="0"/>
              <w:jc w:val="left"/>
              <w:rPr>
                <w:rFonts w:ascii="宋体" w:hAnsi="宋体"/>
                <w:kern w:val="0"/>
                <w:sz w:val="13"/>
                <w:szCs w:val="18"/>
              </w:rPr>
            </w:pPr>
          </w:p>
        </w:tc>
        <w:tc>
          <w:tcPr>
            <w:tcW w:w="1167" w:type="dxa"/>
            <w:vMerge w:val="restart"/>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易燃介质的泵密封的泄漏量不应大于设计的规定值。</w:t>
            </w:r>
          </w:p>
        </w:tc>
        <w:tc>
          <w:tcPr>
            <w:tcW w:w="2714" w:type="dxa"/>
          </w:tcPr>
          <w:p>
            <w:pPr>
              <w:autoSpaceDE w:val="0"/>
              <w:autoSpaceDN w:val="0"/>
              <w:adjustRightInd w:val="0"/>
              <w:ind w:firstLine="24" w:firstLineChars="19"/>
              <w:rPr>
                <w:rFonts w:ascii="宋体" w:hAnsi="宋体" w:cs="宋体"/>
                <w:kern w:val="0"/>
                <w:sz w:val="13"/>
                <w:szCs w:val="18"/>
              </w:rPr>
            </w:pPr>
            <w:r>
              <w:rPr>
                <w:rFonts w:hint="eastAsia" w:ascii="宋体" w:hAnsi="宋体" w:cs="宋体"/>
                <w:kern w:val="0"/>
                <w:sz w:val="13"/>
                <w:szCs w:val="18"/>
              </w:rPr>
              <w:t>《压缩机、风机、泵安装工程施工及验收规范》</w:t>
            </w:r>
            <w:r>
              <w:rPr>
                <w:rFonts w:ascii="宋体" w:hAnsi="宋体" w:cs="宋体"/>
                <w:kern w:val="0"/>
                <w:sz w:val="13"/>
                <w:szCs w:val="18"/>
              </w:rPr>
              <w:t>GB50275-98</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转动设备应有可靠的安全防护装置并符合有关标准要</w:t>
            </w:r>
            <w:r>
              <w:rPr>
                <w:rFonts w:ascii="宋体" w:hAnsi="宋体" w:cs="宋体"/>
                <w:kern w:val="0"/>
                <w:sz w:val="13"/>
                <w:szCs w:val="18"/>
              </w:rPr>
              <w:t xml:space="preserve"> </w:t>
            </w:r>
            <w:r>
              <w:rPr>
                <w:rFonts w:hint="eastAsia" w:ascii="宋体" w:hAnsi="宋体" w:cs="宋体"/>
                <w:kern w:val="0"/>
                <w:sz w:val="13"/>
                <w:szCs w:val="18"/>
              </w:rPr>
              <w:t>求。</w:t>
            </w:r>
          </w:p>
        </w:tc>
        <w:tc>
          <w:tcPr>
            <w:tcW w:w="2714" w:type="dxa"/>
          </w:tcPr>
          <w:p>
            <w:pPr>
              <w:autoSpaceDE w:val="0"/>
              <w:autoSpaceDN w:val="0"/>
              <w:adjustRightInd w:val="0"/>
              <w:ind w:firstLine="24" w:firstLineChars="19"/>
              <w:rPr>
                <w:rFonts w:ascii="宋体" w:hAnsi="宋体" w:cs="宋体"/>
                <w:kern w:val="0"/>
                <w:sz w:val="13"/>
                <w:szCs w:val="18"/>
              </w:rPr>
            </w:pPr>
            <w:r>
              <w:rPr>
                <w:rFonts w:hint="eastAsia" w:ascii="宋体" w:hAnsi="宋体" w:cs="宋体"/>
                <w:kern w:val="0"/>
                <w:sz w:val="13"/>
                <w:szCs w:val="18"/>
              </w:rPr>
              <w:t>《生产过程安全卫生要求总则》G</w:t>
            </w:r>
            <w:r>
              <w:rPr>
                <w:rFonts w:ascii="宋体" w:hAnsi="宋体" w:cs="宋体"/>
                <w:kern w:val="0"/>
                <w:sz w:val="13"/>
                <w:szCs w:val="18"/>
              </w:rPr>
              <w:t>B12801-91</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ind w:firstLine="195" w:firstLineChars="150"/>
              <w:rPr>
                <w:rFonts w:ascii="宋体" w:hAnsi="宋体"/>
                <w:kern w:val="0"/>
                <w:sz w:val="13"/>
                <w:szCs w:val="18"/>
              </w:rPr>
            </w:pPr>
            <w:r>
              <w:rPr>
                <w:rFonts w:ascii="宋体" w:hAnsi="宋体" w:cs="Arial"/>
                <w:kern w:val="0"/>
                <w:sz w:val="13"/>
                <w:szCs w:val="18"/>
              </w:rPr>
              <w:t>9</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可燃气体压缩机、液化烃、可燃液体泵不得使用皮带</w:t>
            </w:r>
            <w:r>
              <w:rPr>
                <w:rFonts w:ascii="宋体" w:hAnsi="宋体" w:cs="宋体"/>
                <w:kern w:val="0"/>
                <w:sz w:val="13"/>
                <w:szCs w:val="18"/>
              </w:rPr>
              <w:t xml:space="preserve"> </w:t>
            </w:r>
            <w:r>
              <w:rPr>
                <w:rFonts w:hint="eastAsia" w:ascii="宋体" w:hAnsi="宋体" w:cs="宋体"/>
                <w:kern w:val="0"/>
                <w:sz w:val="13"/>
                <w:szCs w:val="18"/>
              </w:rPr>
              <w:t>传动；在爆炸危险区范围内的其他传动设备若必须使</w:t>
            </w:r>
            <w:r>
              <w:rPr>
                <w:rFonts w:ascii="宋体" w:hAnsi="宋体" w:cs="宋体"/>
                <w:kern w:val="0"/>
                <w:sz w:val="13"/>
                <w:szCs w:val="18"/>
              </w:rPr>
              <w:t xml:space="preserve"> </w:t>
            </w:r>
            <w:r>
              <w:rPr>
                <w:rFonts w:hint="eastAsia" w:ascii="宋体" w:hAnsi="宋体" w:cs="宋体"/>
                <w:kern w:val="0"/>
                <w:sz w:val="13"/>
                <w:szCs w:val="18"/>
              </w:rPr>
              <w:t>用皮带传动时，应采用防静电皮带。</w:t>
            </w:r>
          </w:p>
        </w:tc>
        <w:tc>
          <w:tcPr>
            <w:tcW w:w="2714" w:type="dxa"/>
          </w:tcPr>
          <w:p>
            <w:pPr>
              <w:autoSpaceDE w:val="0"/>
              <w:autoSpaceDN w:val="0"/>
              <w:adjustRightInd w:val="0"/>
              <w:ind w:firstLine="24" w:firstLineChars="19"/>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第</w:t>
            </w:r>
            <w:r>
              <w:rPr>
                <w:rFonts w:ascii="宋体" w:hAnsi="宋体" w:cs="宋体"/>
                <w:kern w:val="0"/>
                <w:sz w:val="13"/>
                <w:szCs w:val="18"/>
              </w:rPr>
              <w:t xml:space="preserve"> 5.7.8</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ind w:firstLine="130" w:firstLineChars="100"/>
              <w:jc w:val="left"/>
              <w:rPr>
                <w:rFonts w:ascii="宋体" w:hAnsi="宋体"/>
                <w:kern w:val="0"/>
                <w:sz w:val="13"/>
                <w:szCs w:val="18"/>
              </w:rPr>
            </w:pPr>
            <w:r>
              <w:rPr>
                <w:rFonts w:ascii="宋体" w:hAnsi="宋体" w:cs="Arial"/>
                <w:kern w:val="0"/>
                <w:sz w:val="13"/>
                <w:szCs w:val="18"/>
              </w:rPr>
              <w:t>10</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可燃气体压缩机的吸入管道应有防止产生负压的设</w:t>
            </w:r>
            <w:r>
              <w:rPr>
                <w:rFonts w:ascii="宋体" w:hAnsi="宋体" w:cs="宋体"/>
                <w:kern w:val="0"/>
                <w:sz w:val="13"/>
                <w:szCs w:val="18"/>
              </w:rPr>
              <w:t xml:space="preserve"> </w:t>
            </w:r>
            <w:r>
              <w:rPr>
                <w:rFonts w:hint="eastAsia" w:ascii="宋体" w:hAnsi="宋体" w:cs="宋体"/>
                <w:kern w:val="0"/>
                <w:sz w:val="13"/>
                <w:szCs w:val="18"/>
              </w:rPr>
              <w:t>施。</w:t>
            </w:r>
          </w:p>
        </w:tc>
        <w:tc>
          <w:tcPr>
            <w:tcW w:w="2714" w:type="dxa"/>
          </w:tcPr>
          <w:p>
            <w:pPr>
              <w:autoSpaceDE w:val="0"/>
              <w:autoSpaceDN w:val="0"/>
              <w:adjustRightInd w:val="0"/>
              <w:ind w:firstLine="24" w:firstLineChars="19"/>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第</w:t>
            </w:r>
            <w:r>
              <w:rPr>
                <w:rFonts w:ascii="宋体" w:hAnsi="宋体" w:cs="宋体"/>
                <w:kern w:val="0"/>
                <w:sz w:val="13"/>
                <w:szCs w:val="18"/>
              </w:rPr>
              <w:t xml:space="preserve"> 7.2.10</w:t>
            </w:r>
            <w:r>
              <w:rPr>
                <w:rFonts w:hint="eastAsia" w:ascii="宋体" w:hAnsi="宋体" w:cs="宋体"/>
                <w:kern w:val="0"/>
                <w:sz w:val="13"/>
                <w:szCs w:val="18"/>
              </w:rPr>
              <w:t xml:space="preserve"> 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离心式可燃气体压缩机和可燃液体泵应在其出口管道</w:t>
            </w:r>
            <w:r>
              <w:rPr>
                <w:rFonts w:ascii="宋体" w:hAnsi="宋体" w:cs="宋体"/>
                <w:kern w:val="0"/>
                <w:sz w:val="13"/>
                <w:szCs w:val="18"/>
              </w:rPr>
              <w:t xml:space="preserve"> </w:t>
            </w:r>
            <w:r>
              <w:rPr>
                <w:rFonts w:hint="eastAsia" w:ascii="宋体" w:hAnsi="宋体" w:cs="宋体"/>
                <w:kern w:val="0"/>
                <w:sz w:val="13"/>
                <w:szCs w:val="18"/>
              </w:rPr>
              <w:t>上安装止回阀。</w:t>
            </w:r>
          </w:p>
        </w:tc>
        <w:tc>
          <w:tcPr>
            <w:tcW w:w="2714" w:type="dxa"/>
          </w:tcPr>
          <w:p>
            <w:pPr>
              <w:autoSpaceDE w:val="0"/>
              <w:autoSpaceDN w:val="0"/>
              <w:adjustRightInd w:val="0"/>
              <w:ind w:firstLine="24" w:firstLineChars="19"/>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第</w:t>
            </w:r>
            <w:r>
              <w:rPr>
                <w:rFonts w:ascii="宋体" w:hAnsi="宋体" w:cs="宋体"/>
                <w:kern w:val="0"/>
                <w:sz w:val="13"/>
                <w:szCs w:val="18"/>
              </w:rPr>
              <w:t xml:space="preserve"> 7.2.11</w:t>
            </w:r>
            <w:r>
              <w:rPr>
                <w:rFonts w:hint="eastAsia" w:ascii="宋体" w:hAnsi="宋体" w:cs="宋体"/>
                <w:kern w:val="0"/>
                <w:sz w:val="13"/>
                <w:szCs w:val="18"/>
              </w:rPr>
              <w:t xml:space="preserve"> 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12</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单个安全阀的起跳压力不应大于设备的设计压力。当</w:t>
            </w:r>
            <w:r>
              <w:rPr>
                <w:rFonts w:ascii="宋体" w:hAnsi="宋体" w:cs="宋体"/>
                <w:kern w:val="0"/>
                <w:sz w:val="13"/>
                <w:szCs w:val="18"/>
              </w:rPr>
              <w:t xml:space="preserve"> </w:t>
            </w:r>
            <w:r>
              <w:rPr>
                <w:rFonts w:hint="eastAsia" w:ascii="宋体" w:hAnsi="宋体" w:cs="宋体"/>
                <w:kern w:val="0"/>
                <w:sz w:val="13"/>
                <w:szCs w:val="18"/>
              </w:rPr>
              <w:t>一台设备安装多个安全阀时，其中一个安全阀的起跳</w:t>
            </w:r>
            <w:r>
              <w:rPr>
                <w:rFonts w:ascii="宋体" w:hAnsi="宋体" w:cs="宋体"/>
                <w:kern w:val="0"/>
                <w:sz w:val="13"/>
                <w:szCs w:val="18"/>
              </w:rPr>
              <w:t xml:space="preserve"> </w:t>
            </w:r>
            <w:r>
              <w:rPr>
                <w:rFonts w:hint="eastAsia" w:ascii="宋体" w:hAnsi="宋体" w:cs="宋体"/>
                <w:kern w:val="0"/>
                <w:sz w:val="13"/>
                <w:szCs w:val="18"/>
              </w:rPr>
              <w:t>压力不应大于设备的设计压力；其他安全阀的起跳压</w:t>
            </w:r>
            <w:r>
              <w:rPr>
                <w:rFonts w:ascii="宋体" w:hAnsi="宋体" w:cs="宋体"/>
                <w:kern w:val="0"/>
                <w:sz w:val="13"/>
                <w:szCs w:val="18"/>
              </w:rPr>
              <w:t xml:space="preserve"> </w:t>
            </w:r>
            <w:r>
              <w:rPr>
                <w:rFonts w:hint="eastAsia" w:ascii="宋体" w:hAnsi="宋体" w:cs="宋体"/>
                <w:kern w:val="0"/>
                <w:sz w:val="13"/>
                <w:szCs w:val="18"/>
              </w:rPr>
              <w:t>力可以提高，但不应大于设备设计压力的</w:t>
            </w:r>
            <w:r>
              <w:rPr>
                <w:rFonts w:ascii="宋体" w:hAnsi="宋体" w:cs="Arial"/>
                <w:kern w:val="0"/>
                <w:sz w:val="13"/>
                <w:szCs w:val="18"/>
              </w:rPr>
              <w:t>1.05</w:t>
            </w:r>
            <w:r>
              <w:rPr>
                <w:rFonts w:hint="eastAsia" w:ascii="宋体" w:hAnsi="宋体" w:cs="宋体"/>
                <w:kern w:val="0"/>
                <w:sz w:val="13"/>
                <w:szCs w:val="18"/>
              </w:rPr>
              <w:t>倍。</w:t>
            </w:r>
          </w:p>
        </w:tc>
        <w:tc>
          <w:tcPr>
            <w:tcW w:w="2714" w:type="dxa"/>
          </w:tcPr>
          <w:p>
            <w:pPr>
              <w:autoSpaceDE w:val="0"/>
              <w:autoSpaceDN w:val="0"/>
              <w:adjustRightInd w:val="0"/>
              <w:ind w:firstLine="24" w:firstLineChars="19"/>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第</w:t>
            </w:r>
            <w:r>
              <w:rPr>
                <w:rFonts w:ascii="宋体" w:hAnsi="宋体" w:cs="宋体"/>
                <w:kern w:val="0"/>
                <w:sz w:val="13"/>
                <w:szCs w:val="18"/>
              </w:rPr>
              <w:t xml:space="preserve"> 5.5.1</w:t>
            </w:r>
            <w:r>
              <w:rPr>
                <w:rFonts w:hint="eastAsia" w:ascii="宋体" w:hAnsi="宋体" w:cs="宋体"/>
                <w:kern w:val="0"/>
                <w:sz w:val="13"/>
                <w:szCs w:val="18"/>
              </w:rPr>
              <w:t xml:space="preserve"> 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13</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可燃气体、可燃液体设备的安全阀出口应连接至适宜</w:t>
            </w:r>
            <w:r>
              <w:rPr>
                <w:rFonts w:ascii="宋体" w:hAnsi="宋体" w:cs="宋体"/>
                <w:kern w:val="0"/>
                <w:sz w:val="13"/>
                <w:szCs w:val="18"/>
              </w:rPr>
              <w:t xml:space="preserve"> </w:t>
            </w:r>
            <w:r>
              <w:rPr>
                <w:rFonts w:hint="eastAsia" w:ascii="宋体" w:hAnsi="宋体" w:cs="宋体"/>
                <w:kern w:val="0"/>
                <w:sz w:val="13"/>
                <w:szCs w:val="18"/>
              </w:rPr>
              <w:t>的设施或系统。</w:t>
            </w:r>
          </w:p>
        </w:tc>
        <w:tc>
          <w:tcPr>
            <w:tcW w:w="2714" w:type="dxa"/>
          </w:tcPr>
          <w:p>
            <w:pPr>
              <w:autoSpaceDE w:val="0"/>
              <w:autoSpaceDN w:val="0"/>
              <w:adjustRightInd w:val="0"/>
              <w:ind w:firstLine="24" w:firstLineChars="19"/>
              <w:rPr>
                <w:rFonts w:ascii="宋体" w:hAnsi="宋体" w:cs="宋体"/>
                <w:kern w:val="0"/>
                <w:sz w:val="13"/>
                <w:szCs w:val="18"/>
              </w:rPr>
            </w:pPr>
            <w:r>
              <w:rPr>
                <w:rFonts w:ascii="宋体" w:hAnsi="宋体" w:cs="宋体"/>
                <w:kern w:val="0"/>
                <w:sz w:val="13"/>
                <w:szCs w:val="18"/>
              </w:rPr>
              <w:t>GB50160-2008</w:t>
            </w:r>
            <w:r>
              <w:rPr>
                <w:rFonts w:hint="eastAsia" w:ascii="宋体" w:hAnsi="宋体" w:cs="宋体"/>
                <w:kern w:val="0"/>
                <w:sz w:val="13"/>
                <w:szCs w:val="18"/>
              </w:rPr>
              <w:t xml:space="preserve"> 第</w:t>
            </w:r>
            <w:r>
              <w:rPr>
                <w:rFonts w:ascii="宋体" w:hAnsi="宋体" w:cs="宋体"/>
                <w:kern w:val="0"/>
                <w:sz w:val="13"/>
                <w:szCs w:val="18"/>
              </w:rPr>
              <w:t>5.5.4</w:t>
            </w:r>
            <w:r>
              <w:rPr>
                <w:rFonts w:hint="eastAsia" w:ascii="宋体" w:hAnsi="宋体" w:cs="宋体"/>
                <w:kern w:val="0"/>
                <w:sz w:val="13"/>
                <w:szCs w:val="18"/>
              </w:rPr>
              <w:t xml:space="preserve"> 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三、加热炉</w:t>
            </w:r>
            <w:r>
              <w:rPr>
                <w:rFonts w:ascii="宋体" w:hAnsi="宋体" w:cs="宋体"/>
                <w:b/>
                <w:kern w:val="0"/>
                <w:sz w:val="13"/>
                <w:szCs w:val="18"/>
              </w:rPr>
              <w:t>/</w:t>
            </w:r>
            <w:r>
              <w:rPr>
                <w:rFonts w:hint="eastAsia" w:ascii="宋体" w:hAnsi="宋体" w:cs="宋体"/>
                <w:b/>
                <w:kern w:val="0"/>
                <w:sz w:val="13"/>
                <w:szCs w:val="18"/>
              </w:rPr>
              <w:t>工业炉的管理与运行状况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ind w:firstLine="24" w:firstLineChars="19"/>
              <w:rPr>
                <w:rFonts w:ascii="宋体" w:hAnsi="宋体"/>
                <w:kern w:val="0"/>
                <w:sz w:val="13"/>
                <w:szCs w:val="18"/>
              </w:rPr>
            </w:pPr>
            <w:r>
              <w:rPr>
                <w:rFonts w:hint="eastAsia" w:ascii="宋体" w:hAnsi="宋体" w:cs="宋体"/>
                <w:kern w:val="0"/>
                <w:sz w:val="13"/>
                <w:szCs w:val="18"/>
              </w:rPr>
              <w:t>企业应制定加热炉</w:t>
            </w:r>
            <w:r>
              <w:rPr>
                <w:rFonts w:ascii="宋体" w:hAnsi="宋体" w:cs="宋体"/>
                <w:kern w:val="0"/>
                <w:sz w:val="13"/>
                <w:szCs w:val="18"/>
              </w:rPr>
              <w:t>/</w:t>
            </w:r>
            <w:r>
              <w:rPr>
                <w:rFonts w:hint="eastAsia" w:ascii="宋体" w:hAnsi="宋体" w:cs="宋体"/>
                <w:kern w:val="0"/>
                <w:sz w:val="13"/>
                <w:szCs w:val="18"/>
              </w:rPr>
              <w:t>工业炉管理规定，建立健全加热炉</w:t>
            </w:r>
            <w:r>
              <w:rPr>
                <w:rFonts w:ascii="宋体" w:hAnsi="宋体" w:cs="宋体"/>
                <w:kern w:val="0"/>
                <w:sz w:val="13"/>
                <w:szCs w:val="18"/>
              </w:rPr>
              <w:t>/</w:t>
            </w:r>
            <w:r>
              <w:rPr>
                <w:rFonts w:hint="eastAsia" w:ascii="宋体" w:hAnsi="宋体" w:cs="宋体"/>
                <w:kern w:val="0"/>
                <w:sz w:val="13"/>
                <w:szCs w:val="18"/>
              </w:rPr>
              <w:t>工业炉基础档案资料和运行记录，并照国家标准和当地环保部门规定的指标定期对加热炉的烟气排放进行环保监测。</w:t>
            </w:r>
          </w:p>
        </w:tc>
        <w:tc>
          <w:tcPr>
            <w:tcW w:w="2714" w:type="dxa"/>
          </w:tcPr>
          <w:p>
            <w:pPr>
              <w:autoSpaceDE w:val="0"/>
              <w:autoSpaceDN w:val="0"/>
              <w:adjustRightInd w:val="0"/>
              <w:jc w:val="left"/>
              <w:rPr>
                <w:rFonts w:ascii="宋体" w:hAnsi="宋体"/>
                <w:kern w:val="0"/>
                <w:sz w:val="13"/>
                <w:szCs w:val="18"/>
              </w:rPr>
            </w:pPr>
          </w:p>
        </w:tc>
        <w:tc>
          <w:tcPr>
            <w:tcW w:w="1167" w:type="dxa"/>
          </w:tcPr>
          <w:p>
            <w:pPr>
              <w:autoSpaceDE w:val="0"/>
              <w:autoSpaceDN w:val="0"/>
              <w:adjustRightInd w:val="0"/>
              <w:jc w:val="left"/>
              <w:rPr>
                <w:rFonts w:ascii="宋体" w:hAnsi="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加热炉/工业炉现场运行管理，应满足：</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．加热炉/工业炉应在在设计允许的范围内运行，严禁超温、</w:t>
            </w:r>
            <w:r>
              <w:rPr>
                <w:rFonts w:ascii="宋体" w:hAnsi="宋体" w:cs="宋体"/>
                <w:kern w:val="0"/>
                <w:sz w:val="13"/>
                <w:szCs w:val="18"/>
              </w:rPr>
              <w:t xml:space="preserve"> </w:t>
            </w:r>
            <w:r>
              <w:rPr>
                <w:rFonts w:hint="eastAsia" w:ascii="宋体" w:hAnsi="宋体" w:cs="宋体"/>
                <w:kern w:val="0"/>
                <w:sz w:val="13"/>
                <w:szCs w:val="18"/>
              </w:rPr>
              <w:t>超压、超负荷运行；</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．加热炉膛内燃烧状况良好，不存在火焰偏烧、燃烧</w:t>
            </w:r>
            <w:r>
              <w:rPr>
                <w:rFonts w:ascii="宋体" w:hAnsi="宋体" w:cs="宋体"/>
                <w:kern w:val="0"/>
                <w:sz w:val="13"/>
                <w:szCs w:val="18"/>
              </w:rPr>
              <w:t xml:space="preserve"> </w:t>
            </w:r>
            <w:r>
              <w:rPr>
                <w:rFonts w:hint="eastAsia" w:ascii="宋体" w:hAnsi="宋体" w:cs="宋体"/>
                <w:kern w:val="0"/>
                <w:sz w:val="13"/>
                <w:szCs w:val="18"/>
              </w:rPr>
              <w:t>器结焦等；</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．燃料油（气）线无泄漏，燃烧器无堵塞、漏油、漏</w:t>
            </w:r>
            <w:r>
              <w:rPr>
                <w:rFonts w:ascii="宋体" w:hAnsi="宋体" w:cs="宋体"/>
                <w:kern w:val="0"/>
                <w:sz w:val="13"/>
                <w:szCs w:val="18"/>
              </w:rPr>
              <w:t xml:space="preserve"> </w:t>
            </w:r>
            <w:r>
              <w:rPr>
                <w:rFonts w:hint="eastAsia" w:ascii="宋体" w:hAnsi="宋体" w:cs="宋体"/>
                <w:kern w:val="0"/>
                <w:sz w:val="13"/>
                <w:szCs w:val="18"/>
              </w:rPr>
              <w:t>气、结焦，长明灯正常点燃，油枪、瓦斯枪定期清洗、保养和及时更换，备用的燃烧器已将风门、汽门关闭；</w:t>
            </w:r>
          </w:p>
          <w:p>
            <w:pPr>
              <w:tabs>
                <w:tab w:val="left" w:pos="3492"/>
              </w:tabs>
              <w:autoSpaceDE w:val="0"/>
              <w:autoSpaceDN w:val="0"/>
              <w:adjustRightInd w:val="0"/>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．灭火蒸汽系统处于完好备用状态；</w:t>
            </w:r>
          </w:p>
          <w:p>
            <w:pPr>
              <w:autoSpaceDE w:val="0"/>
              <w:autoSpaceDN w:val="0"/>
              <w:adjustRightInd w:val="0"/>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．炉体及附件的隔热、密封状况，检查看火窗、看火</w:t>
            </w:r>
            <w:r>
              <w:rPr>
                <w:rFonts w:ascii="宋体" w:hAnsi="宋体" w:cs="宋体"/>
                <w:kern w:val="0"/>
                <w:sz w:val="13"/>
                <w:szCs w:val="18"/>
              </w:rPr>
              <w:t xml:space="preserve"> </w:t>
            </w:r>
            <w:r>
              <w:rPr>
                <w:rFonts w:hint="eastAsia" w:ascii="宋体" w:hAnsi="宋体" w:cs="宋体"/>
                <w:kern w:val="0"/>
                <w:sz w:val="13"/>
                <w:szCs w:val="18"/>
              </w:rPr>
              <w:t>孔、点火孔、防爆门、人孔门、弯头箱门是否严密，</w:t>
            </w:r>
            <w:r>
              <w:rPr>
                <w:rFonts w:ascii="宋体" w:hAnsi="宋体" w:cs="宋体"/>
                <w:kern w:val="0"/>
                <w:sz w:val="13"/>
                <w:szCs w:val="18"/>
              </w:rPr>
              <w:t xml:space="preserve"> </w:t>
            </w:r>
            <w:r>
              <w:rPr>
                <w:rFonts w:hint="eastAsia" w:ascii="宋体" w:hAnsi="宋体" w:cs="宋体"/>
                <w:kern w:val="0"/>
                <w:sz w:val="13"/>
                <w:szCs w:val="18"/>
              </w:rPr>
              <w:t>有无漏风；炉体钢架和炉体钢板是否完好严密；</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．辐射炉管有无局部超温、结焦、过热、鼓包、弯曲</w:t>
            </w:r>
            <w:r>
              <w:rPr>
                <w:rFonts w:ascii="宋体" w:hAnsi="宋体" w:cs="宋体"/>
                <w:kern w:val="0"/>
                <w:sz w:val="13"/>
                <w:szCs w:val="18"/>
              </w:rPr>
              <w:t xml:space="preserve"> </w:t>
            </w:r>
            <w:r>
              <w:rPr>
                <w:rFonts w:hint="eastAsia" w:ascii="宋体" w:hAnsi="宋体" w:cs="宋体"/>
                <w:kern w:val="0"/>
                <w:sz w:val="13"/>
                <w:szCs w:val="18"/>
              </w:rPr>
              <w:t>等异常现象；</w:t>
            </w:r>
          </w:p>
          <w:p>
            <w:pPr>
              <w:autoSpaceDE w:val="0"/>
              <w:autoSpaceDN w:val="0"/>
              <w:adjustRightInd w:val="0"/>
              <w:rPr>
                <w:rFonts w:ascii="宋体" w:hAnsi="宋体" w:cs="宋体"/>
                <w:kern w:val="0"/>
                <w:sz w:val="13"/>
                <w:szCs w:val="18"/>
              </w:rPr>
            </w:pPr>
            <w:r>
              <w:rPr>
                <w:rFonts w:ascii="宋体" w:hAnsi="宋体" w:cs="Arial"/>
                <w:kern w:val="0"/>
                <w:sz w:val="13"/>
                <w:szCs w:val="18"/>
              </w:rPr>
              <w:t>7</w:t>
            </w:r>
            <w:r>
              <w:rPr>
                <w:rFonts w:hint="eastAsia" w:ascii="宋体" w:hAnsi="宋体" w:cs="宋体"/>
                <w:kern w:val="0"/>
                <w:sz w:val="13"/>
                <w:szCs w:val="18"/>
              </w:rPr>
              <w:t>．炉内壁衬无脱落，炉内构件无异常；</w:t>
            </w:r>
          </w:p>
          <w:p>
            <w:pPr>
              <w:autoSpaceDE w:val="0"/>
              <w:autoSpaceDN w:val="0"/>
              <w:adjustRightInd w:val="0"/>
              <w:rPr>
                <w:rFonts w:ascii="宋体" w:hAnsi="宋体" w:cs="宋体"/>
                <w:kern w:val="0"/>
                <w:sz w:val="13"/>
                <w:szCs w:val="18"/>
              </w:rPr>
            </w:pPr>
            <w:r>
              <w:rPr>
                <w:rFonts w:ascii="宋体" w:hAnsi="宋体" w:cs="Arial"/>
                <w:kern w:val="0"/>
                <w:sz w:val="13"/>
                <w:szCs w:val="18"/>
              </w:rPr>
              <w:t>8</w:t>
            </w:r>
            <w:r>
              <w:rPr>
                <w:rFonts w:hint="eastAsia" w:ascii="宋体" w:hAnsi="宋体" w:cs="宋体"/>
                <w:kern w:val="0"/>
                <w:sz w:val="13"/>
                <w:szCs w:val="18"/>
              </w:rPr>
              <w:t>．有吹灰器的加热炉，吹灰器应正常投用；</w:t>
            </w:r>
          </w:p>
          <w:p>
            <w:pPr>
              <w:autoSpaceDE w:val="0"/>
              <w:autoSpaceDN w:val="0"/>
              <w:adjustRightInd w:val="0"/>
              <w:jc w:val="left"/>
              <w:rPr>
                <w:rFonts w:ascii="宋体" w:hAnsi="宋体"/>
                <w:kern w:val="0"/>
                <w:sz w:val="13"/>
                <w:szCs w:val="18"/>
              </w:rPr>
            </w:pPr>
            <w:r>
              <w:rPr>
                <w:rFonts w:ascii="宋体" w:hAnsi="宋体" w:cs="Arial"/>
                <w:kern w:val="0"/>
                <w:sz w:val="13"/>
                <w:szCs w:val="18"/>
              </w:rPr>
              <w:t>9</w:t>
            </w:r>
            <w:r>
              <w:rPr>
                <w:rFonts w:hint="eastAsia" w:ascii="宋体" w:hAnsi="宋体" w:cs="宋体"/>
                <w:kern w:val="0"/>
                <w:sz w:val="13"/>
                <w:szCs w:val="18"/>
              </w:rPr>
              <w:t>．加热炉的炉用控制仪表以及检测仪表应正常投用，无故障。并定期对所有氧含量分析仪进行校验。</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《石油化工企业设备完好标准》企业标准</w:t>
            </w:r>
          </w:p>
        </w:tc>
        <w:tc>
          <w:tcPr>
            <w:tcW w:w="1167" w:type="dxa"/>
            <w:vMerge w:val="restart"/>
          </w:tcPr>
          <w:p>
            <w:pPr>
              <w:rPr>
                <w:rFonts w:ascii="宋体" w:hAnsi="宋体" w:cs="宋体"/>
                <w:kern w:val="0"/>
                <w:sz w:val="13"/>
                <w:szCs w:val="18"/>
              </w:rPr>
            </w:pPr>
            <w:r>
              <w:rPr>
                <w:rFonts w:hint="eastAsia" w:ascii="宋体" w:hAnsi="宋体" w:cs="宋体"/>
                <w:kern w:val="0"/>
                <w:sz w:val="13"/>
                <w:szCs w:val="18"/>
              </w:rPr>
              <w:t>1次/每班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加热炉基础外观不得有裂纹、蜂窝、露筋、疏松等缺陷。</w:t>
            </w:r>
          </w:p>
        </w:tc>
        <w:tc>
          <w:tcPr>
            <w:tcW w:w="271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《石油化工工艺装置布置设计通则》</w:t>
            </w:r>
            <w:r>
              <w:rPr>
                <w:rFonts w:ascii="宋体" w:hAnsi="宋体" w:cs="宋体"/>
                <w:kern w:val="0"/>
                <w:sz w:val="13"/>
                <w:szCs w:val="18"/>
              </w:rPr>
              <w:t>SH3011-2000</w:t>
            </w:r>
            <w:r>
              <w:rPr>
                <w:rFonts w:hint="eastAsia" w:ascii="宋体" w:hAnsi="宋体" w:cs="宋体"/>
                <w:kern w:val="0"/>
                <w:sz w:val="13"/>
                <w:szCs w:val="18"/>
              </w:rPr>
              <w:t>第</w:t>
            </w:r>
            <w:r>
              <w:rPr>
                <w:rFonts w:ascii="宋体" w:hAnsi="宋体" w:cs="宋体"/>
                <w:kern w:val="0"/>
                <w:sz w:val="13"/>
                <w:szCs w:val="18"/>
              </w:rPr>
              <w:t xml:space="preserve"> 2.21.4</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钢结构安装立柱不得向同一方向倾斜。</w:t>
            </w:r>
          </w:p>
        </w:tc>
        <w:tc>
          <w:tcPr>
            <w:tcW w:w="271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《管式炉安装工程施工及验收规范》</w:t>
            </w:r>
            <w:r>
              <w:rPr>
                <w:rFonts w:ascii="宋体" w:hAnsi="宋体" w:cs="宋体"/>
                <w:kern w:val="0"/>
                <w:sz w:val="13"/>
                <w:szCs w:val="18"/>
              </w:rPr>
              <w:t>SH 3506-2000</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人孔门、观察孔和防爆门安装位置的偏差应小于</w:t>
            </w:r>
            <w:r>
              <w:rPr>
                <w:rFonts w:ascii="宋体" w:hAnsi="宋体" w:cs="宋体"/>
                <w:kern w:val="0"/>
                <w:sz w:val="13"/>
                <w:szCs w:val="18"/>
              </w:rPr>
              <w:t xml:space="preserve"> </w:t>
            </w:r>
            <w:r>
              <w:rPr>
                <w:rFonts w:ascii="宋体" w:hAnsi="宋体" w:cs="Arial"/>
                <w:kern w:val="0"/>
                <w:sz w:val="13"/>
                <w:szCs w:val="18"/>
              </w:rPr>
              <w:t>8mm</w:t>
            </w:r>
            <w:r>
              <w:rPr>
                <w:rFonts w:hint="eastAsia" w:ascii="宋体" w:hAnsi="宋体" w:cs="宋体"/>
                <w:kern w:val="0"/>
                <w:sz w:val="13"/>
                <w:szCs w:val="18"/>
              </w:rPr>
              <w:t>。</w:t>
            </w:r>
            <w:r>
              <w:rPr>
                <w:rFonts w:ascii="宋体" w:hAnsi="宋体" w:cs="宋体"/>
                <w:kern w:val="0"/>
                <w:sz w:val="13"/>
                <w:szCs w:val="18"/>
              </w:rPr>
              <w:t xml:space="preserve"> </w:t>
            </w:r>
            <w:r>
              <w:rPr>
                <w:rFonts w:hint="eastAsia" w:ascii="宋体" w:hAnsi="宋体" w:cs="宋体"/>
                <w:kern w:val="0"/>
                <w:sz w:val="13"/>
                <w:szCs w:val="18"/>
              </w:rPr>
              <w:t>人孔门与门框、观察孔与孔盖均应接触严密，转动灵</w:t>
            </w:r>
            <w:r>
              <w:rPr>
                <w:rFonts w:ascii="宋体" w:hAnsi="宋体" w:cs="宋体"/>
                <w:kern w:val="0"/>
                <w:sz w:val="13"/>
                <w:szCs w:val="18"/>
              </w:rPr>
              <w:t xml:space="preserve"> </w:t>
            </w:r>
            <w:r>
              <w:rPr>
                <w:rFonts w:hint="eastAsia" w:ascii="宋体" w:hAnsi="宋体" w:cs="宋体"/>
                <w:kern w:val="0"/>
                <w:sz w:val="13"/>
                <w:szCs w:val="18"/>
              </w:rPr>
              <w:t>活。</w:t>
            </w:r>
          </w:p>
        </w:tc>
        <w:tc>
          <w:tcPr>
            <w:tcW w:w="2714"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SH 3506-2000</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烟、风道挡板和烟囱挡板的调节系统应进行试验，检</w:t>
            </w:r>
            <w:r>
              <w:rPr>
                <w:rFonts w:ascii="宋体" w:hAnsi="宋体" w:cs="宋体"/>
                <w:kern w:val="0"/>
                <w:sz w:val="13"/>
                <w:szCs w:val="18"/>
              </w:rPr>
              <w:t xml:space="preserve"> </w:t>
            </w:r>
            <w:r>
              <w:rPr>
                <w:rFonts w:hint="eastAsia" w:ascii="宋体" w:hAnsi="宋体" w:cs="宋体"/>
                <w:kern w:val="0"/>
                <w:sz w:val="13"/>
                <w:szCs w:val="18"/>
              </w:rPr>
              <w:t>查其启闭是否准确、转动是否灵活，开关位置应与标记相一致。</w:t>
            </w:r>
          </w:p>
        </w:tc>
        <w:tc>
          <w:tcPr>
            <w:tcW w:w="2714"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SH 3506-2000</w:t>
            </w:r>
            <w:r>
              <w:rPr>
                <w:rFonts w:hint="eastAsia" w:ascii="宋体" w:hAnsi="宋体" w:cs="宋体"/>
                <w:kern w:val="0"/>
                <w:sz w:val="13"/>
                <w:szCs w:val="18"/>
              </w:rPr>
              <w:t>第</w:t>
            </w:r>
            <w:r>
              <w:rPr>
                <w:rFonts w:ascii="宋体" w:hAnsi="宋体" w:cs="宋体"/>
                <w:kern w:val="0"/>
                <w:sz w:val="13"/>
                <w:szCs w:val="18"/>
              </w:rPr>
              <w:t xml:space="preserve"> 5.0.3 </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加热炉的烟道和封闭炉膛均应设置爆破门，加热炉机</w:t>
            </w:r>
            <w:r>
              <w:rPr>
                <w:rFonts w:ascii="宋体" w:hAnsi="宋体" w:cs="宋体"/>
                <w:kern w:val="0"/>
                <w:sz w:val="13"/>
                <w:szCs w:val="18"/>
              </w:rPr>
              <w:t xml:space="preserve"> </w:t>
            </w:r>
            <w:r>
              <w:rPr>
                <w:rFonts w:hint="eastAsia" w:ascii="宋体" w:hAnsi="宋体" w:cs="宋体"/>
                <w:kern w:val="0"/>
                <w:sz w:val="13"/>
                <w:szCs w:val="18"/>
              </w:rPr>
              <w:t>械鼓风的主风管道应设置爆破膜。</w:t>
            </w:r>
          </w:p>
        </w:tc>
        <w:tc>
          <w:tcPr>
            <w:tcW w:w="271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《石油化工企业安全卫生设计规范》</w:t>
            </w:r>
            <w:r>
              <w:rPr>
                <w:rFonts w:ascii="宋体" w:hAnsi="宋体" w:cs="宋体"/>
                <w:kern w:val="0"/>
                <w:sz w:val="13"/>
                <w:szCs w:val="18"/>
              </w:rPr>
              <w:t>SH3047-93</w:t>
            </w:r>
            <w:r>
              <w:rPr>
                <w:rFonts w:hint="eastAsia" w:ascii="宋体" w:hAnsi="宋体" w:cs="宋体"/>
                <w:kern w:val="0"/>
                <w:sz w:val="13"/>
                <w:szCs w:val="18"/>
              </w:rPr>
              <w:t>第</w:t>
            </w:r>
            <w:r>
              <w:rPr>
                <w:rFonts w:ascii="宋体" w:hAnsi="宋体" w:cs="宋体"/>
                <w:kern w:val="0"/>
                <w:sz w:val="13"/>
                <w:szCs w:val="18"/>
              </w:rPr>
              <w:t xml:space="preserve"> 2.2.11</w:t>
            </w:r>
            <w:r>
              <w:rPr>
                <w:rFonts w:hint="eastAsia" w:ascii="宋体" w:hAnsi="宋体" w:cs="宋体"/>
                <w:kern w:val="0"/>
                <w:sz w:val="13"/>
                <w:szCs w:val="18"/>
              </w:rPr>
              <w:t>条</w:t>
            </w:r>
          </w:p>
        </w:tc>
        <w:tc>
          <w:tcPr>
            <w:tcW w:w="1167" w:type="dxa"/>
            <w:vMerge w:val="restart"/>
          </w:tcPr>
          <w:p>
            <w:pPr>
              <w:rPr>
                <w:rFonts w:ascii="宋体" w:hAnsi="宋体" w:cs="宋体"/>
                <w:kern w:val="0"/>
                <w:sz w:val="13"/>
                <w:szCs w:val="18"/>
              </w:rPr>
            </w:pPr>
            <w:r>
              <w:rPr>
                <w:rFonts w:hint="eastAsia" w:ascii="宋体" w:hAnsi="宋体" w:cs="宋体"/>
                <w:kern w:val="0"/>
                <w:sz w:val="13"/>
                <w:szCs w:val="18"/>
              </w:rPr>
              <w:t>1次/半年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对加热炉有失控可能的工艺过程，应根据不同情况采</w:t>
            </w:r>
            <w:r>
              <w:rPr>
                <w:rFonts w:ascii="宋体" w:hAnsi="宋体" w:cs="宋体"/>
                <w:kern w:val="0"/>
                <w:sz w:val="13"/>
                <w:szCs w:val="18"/>
              </w:rPr>
              <w:t xml:space="preserve"> </w:t>
            </w:r>
            <w:r>
              <w:rPr>
                <w:rFonts w:hint="eastAsia" w:ascii="宋体" w:hAnsi="宋体" w:cs="宋体"/>
                <w:kern w:val="0"/>
                <w:sz w:val="13"/>
                <w:szCs w:val="18"/>
              </w:rPr>
              <w:t>取停止加入物料、通入惰性气体等应急措施。</w:t>
            </w:r>
          </w:p>
        </w:tc>
        <w:tc>
          <w:tcPr>
            <w:tcW w:w="2714"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SH3047-93</w:t>
            </w:r>
            <w:r>
              <w:rPr>
                <w:rFonts w:hint="eastAsia" w:ascii="宋体" w:hAnsi="宋体" w:cs="宋体"/>
                <w:kern w:val="0"/>
                <w:sz w:val="13"/>
                <w:szCs w:val="18"/>
              </w:rPr>
              <w:t>第</w:t>
            </w:r>
            <w:r>
              <w:rPr>
                <w:rFonts w:ascii="宋体" w:hAnsi="宋体" w:cs="宋体"/>
                <w:kern w:val="0"/>
                <w:sz w:val="13"/>
                <w:szCs w:val="18"/>
              </w:rPr>
              <w:t xml:space="preserve"> 2.2.11</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9</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加热炉保护层必须采用不燃材料。</w:t>
            </w:r>
          </w:p>
        </w:tc>
        <w:tc>
          <w:tcPr>
            <w:tcW w:w="2714"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50264-97</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10</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设备的外表面温度在</w:t>
            </w:r>
            <w:r>
              <w:rPr>
                <w:rFonts w:ascii="宋体" w:hAnsi="宋体" w:cs="宋体"/>
                <w:kern w:val="0"/>
                <w:sz w:val="13"/>
                <w:szCs w:val="18"/>
              </w:rPr>
              <w:t xml:space="preserve"> </w:t>
            </w:r>
            <w:r>
              <w:rPr>
                <w:rFonts w:ascii="宋体" w:hAnsi="宋体" w:cs="Arial"/>
                <w:kern w:val="0"/>
                <w:sz w:val="13"/>
                <w:szCs w:val="18"/>
              </w:rPr>
              <w:t>50</w:t>
            </w:r>
            <w:r>
              <w:rPr>
                <w:rFonts w:hint="eastAsia" w:ascii="宋体" w:hAnsi="宋体" w:cs="宋体"/>
                <w:kern w:val="0"/>
                <w:sz w:val="13"/>
                <w:szCs w:val="18"/>
              </w:rPr>
              <w:t>～</w:t>
            </w:r>
            <w:r>
              <w:rPr>
                <w:rFonts w:ascii="宋体" w:hAnsi="宋体" w:cs="Arial"/>
                <w:kern w:val="0"/>
                <w:sz w:val="13"/>
                <w:szCs w:val="18"/>
              </w:rPr>
              <w:t>850</w:t>
            </w:r>
            <w:r>
              <w:rPr>
                <w:rFonts w:hint="eastAsia" w:ascii="宋体" w:hAnsi="宋体" w:cs="宋体"/>
                <w:kern w:val="0"/>
                <w:sz w:val="13"/>
                <w:szCs w:val="18"/>
              </w:rPr>
              <w:t>℃时，除工艺有散热要求</w:t>
            </w:r>
            <w:r>
              <w:rPr>
                <w:rFonts w:ascii="宋体" w:hAnsi="宋体" w:cs="宋体"/>
                <w:kern w:val="0"/>
                <w:sz w:val="13"/>
                <w:szCs w:val="18"/>
              </w:rPr>
              <w:t xml:space="preserve"> </w:t>
            </w:r>
            <w:r>
              <w:rPr>
                <w:rFonts w:hint="eastAsia" w:ascii="宋体" w:hAnsi="宋体" w:cs="宋体"/>
                <w:kern w:val="0"/>
                <w:sz w:val="13"/>
                <w:szCs w:val="18"/>
              </w:rPr>
              <w:t>外，均应设置绝热层</w:t>
            </w:r>
          </w:p>
        </w:tc>
        <w:tc>
          <w:tcPr>
            <w:tcW w:w="271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《工业设备及管道绝热工程设计规范》</w:t>
            </w:r>
            <w:r>
              <w:rPr>
                <w:rFonts w:ascii="宋体" w:hAnsi="宋体" w:cs="宋体"/>
                <w:kern w:val="0"/>
                <w:sz w:val="13"/>
                <w:szCs w:val="18"/>
              </w:rPr>
              <w:t>GB 50264-97</w:t>
            </w:r>
            <w:r>
              <w:rPr>
                <w:rFonts w:hint="eastAsia" w:ascii="宋体" w:hAnsi="宋体" w:cs="宋体"/>
                <w:kern w:val="0"/>
                <w:sz w:val="13"/>
                <w:szCs w:val="18"/>
              </w:rPr>
              <w:t>第</w:t>
            </w:r>
            <w:r>
              <w:rPr>
                <w:rFonts w:ascii="宋体" w:hAnsi="宋体" w:cs="宋体"/>
                <w:kern w:val="0"/>
                <w:sz w:val="13"/>
                <w:szCs w:val="18"/>
              </w:rPr>
              <w:t xml:space="preserve"> 5.2.1</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绝热结构外层应设置保护层，保护层结构应严密和牢固。</w:t>
            </w:r>
          </w:p>
        </w:tc>
        <w:tc>
          <w:tcPr>
            <w:tcW w:w="2714"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50264-97</w:t>
            </w:r>
            <w:r>
              <w:rPr>
                <w:rFonts w:hint="eastAsia" w:ascii="宋体" w:hAnsi="宋体" w:cs="宋体"/>
                <w:kern w:val="0"/>
                <w:sz w:val="13"/>
                <w:szCs w:val="18"/>
              </w:rPr>
              <w:t>第</w:t>
            </w:r>
            <w:r>
              <w:rPr>
                <w:rFonts w:ascii="宋体" w:hAnsi="宋体" w:cs="宋体"/>
                <w:kern w:val="0"/>
                <w:sz w:val="13"/>
                <w:szCs w:val="18"/>
              </w:rPr>
              <w:t xml:space="preserve"> 5.4.1</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12</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明火加热炉附属的燃料气分液罐、燃料气加热器等与炉体的防火间距，不应小于</w:t>
            </w:r>
            <w:r>
              <w:rPr>
                <w:rFonts w:ascii="宋体" w:hAnsi="宋体" w:cs="宋体"/>
                <w:kern w:val="0"/>
                <w:sz w:val="13"/>
                <w:szCs w:val="18"/>
              </w:rPr>
              <w:t xml:space="preserve"> </w:t>
            </w:r>
            <w:r>
              <w:rPr>
                <w:rFonts w:ascii="宋体" w:hAnsi="宋体" w:cs="Arial"/>
                <w:kern w:val="0"/>
                <w:sz w:val="13"/>
                <w:szCs w:val="18"/>
              </w:rPr>
              <w:t>6m</w:t>
            </w:r>
            <w:r>
              <w:rPr>
                <w:rFonts w:hint="eastAsia" w:ascii="宋体" w:hAnsi="宋体" w:cs="宋体"/>
                <w:kern w:val="0"/>
                <w:sz w:val="13"/>
                <w:szCs w:val="18"/>
              </w:rPr>
              <w:t>。</w:t>
            </w:r>
          </w:p>
        </w:tc>
        <w:tc>
          <w:tcPr>
            <w:tcW w:w="2714"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50160-2008</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13</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烧燃料气的加热炉应设长明灯，并宜设置火焰检测器。</w:t>
            </w:r>
          </w:p>
        </w:tc>
        <w:tc>
          <w:tcPr>
            <w:tcW w:w="2714"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第</w:t>
            </w:r>
            <w:r>
              <w:rPr>
                <w:rFonts w:ascii="宋体" w:hAnsi="宋体" w:cs="宋体"/>
                <w:kern w:val="0"/>
                <w:sz w:val="13"/>
                <w:szCs w:val="18"/>
              </w:rPr>
              <w:t xml:space="preserve"> 5.7.8</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466"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14</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加热炉燃料气调节阀前的管道压力等于或小于0</w:t>
            </w:r>
            <w:r>
              <w:rPr>
                <w:rFonts w:ascii="宋体" w:hAnsi="宋体" w:cs="Arial"/>
                <w:kern w:val="0"/>
                <w:sz w:val="13"/>
                <w:szCs w:val="18"/>
              </w:rPr>
              <w:t>.4MPa</w:t>
            </w:r>
            <w:r>
              <w:rPr>
                <w:rFonts w:hint="eastAsia" w:ascii="宋体" w:hAnsi="宋体" w:cs="宋体"/>
                <w:kern w:val="0"/>
                <w:sz w:val="13"/>
                <w:szCs w:val="18"/>
              </w:rPr>
              <w:t>，且无低压自动保护仪表时，应在每个燃料气</w:t>
            </w:r>
            <w:r>
              <w:rPr>
                <w:rFonts w:ascii="宋体" w:hAnsi="宋体" w:cs="宋体"/>
                <w:kern w:val="0"/>
                <w:sz w:val="13"/>
                <w:szCs w:val="18"/>
              </w:rPr>
              <w:t xml:space="preserve"> </w:t>
            </w:r>
            <w:r>
              <w:rPr>
                <w:rFonts w:hint="eastAsia" w:ascii="宋体" w:hAnsi="宋体" w:cs="宋体"/>
                <w:kern w:val="0"/>
                <w:sz w:val="13"/>
                <w:szCs w:val="18"/>
              </w:rPr>
              <w:t>调节阀与加热炉之间设阻火器。</w:t>
            </w:r>
          </w:p>
        </w:tc>
        <w:tc>
          <w:tcPr>
            <w:tcW w:w="2714"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第</w:t>
            </w:r>
            <w:r>
              <w:rPr>
                <w:rFonts w:ascii="宋体" w:hAnsi="宋体" w:cs="宋体"/>
                <w:kern w:val="0"/>
                <w:sz w:val="13"/>
                <w:szCs w:val="18"/>
              </w:rPr>
              <w:t xml:space="preserve"> 7.2.12</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15</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加热炉燃料气管道上的分液罐的凝液不应敞开排放。</w:t>
            </w:r>
          </w:p>
        </w:tc>
        <w:tc>
          <w:tcPr>
            <w:tcW w:w="2714"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 xml:space="preserve">GB 50160-2008 </w:t>
            </w:r>
            <w:r>
              <w:rPr>
                <w:rFonts w:hint="eastAsia" w:ascii="宋体" w:hAnsi="宋体" w:cs="宋体"/>
                <w:kern w:val="0"/>
                <w:sz w:val="13"/>
                <w:szCs w:val="18"/>
              </w:rPr>
              <w:t>第</w:t>
            </w:r>
            <w:r>
              <w:rPr>
                <w:rFonts w:ascii="宋体" w:hAnsi="宋体" w:cs="宋体"/>
                <w:kern w:val="0"/>
                <w:sz w:val="13"/>
                <w:szCs w:val="18"/>
              </w:rPr>
              <w:t>7.2.13</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腐蚀、易磨损的容器及管道，应定期测厚和进行状态分析，有监测记录。</w:t>
            </w:r>
          </w:p>
        </w:tc>
        <w:tc>
          <w:tcPr>
            <w:tcW w:w="2714" w:type="dxa"/>
          </w:tcPr>
          <w:p>
            <w:pPr>
              <w:rPr>
                <w:rFonts w:ascii="宋体" w:hAnsi="宋体" w:cs="宋体"/>
                <w:kern w:val="0"/>
                <w:sz w:val="13"/>
                <w:szCs w:val="18"/>
              </w:rPr>
            </w:pPr>
          </w:p>
        </w:tc>
        <w:tc>
          <w:tcPr>
            <w:tcW w:w="1167" w:type="dxa"/>
            <w:vMerge w:val="restart"/>
          </w:tcPr>
          <w:p>
            <w:pPr>
              <w:rPr>
                <w:rFonts w:ascii="宋体" w:hAnsi="宋体" w:cs="宋体"/>
                <w:kern w:val="0"/>
                <w:sz w:val="13"/>
                <w:szCs w:val="18"/>
              </w:rPr>
            </w:pPr>
            <w:r>
              <w:rPr>
                <w:rFonts w:hint="eastAsia" w:ascii="宋体" w:hAnsi="宋体" w:cs="宋体"/>
                <w:kern w:val="0"/>
                <w:sz w:val="13"/>
                <w:szCs w:val="18"/>
              </w:rPr>
              <w:t>1次/季度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大型、关键容器（如液化气球罐等）中的腐蚀性介质含量的监控措施，如进行定期分析，有无</w:t>
            </w:r>
            <w:r>
              <w:rPr>
                <w:rFonts w:ascii="宋体" w:hAnsi="宋体" w:cs="Arial"/>
                <w:kern w:val="0"/>
                <w:sz w:val="13"/>
                <w:szCs w:val="18"/>
              </w:rPr>
              <w:t>H2S</w:t>
            </w:r>
            <w:r>
              <w:rPr>
                <w:rFonts w:hint="eastAsia" w:ascii="宋体" w:hAnsi="宋体" w:cs="宋体"/>
                <w:kern w:val="0"/>
                <w:sz w:val="13"/>
                <w:szCs w:val="18"/>
              </w:rPr>
              <w:t>含量超标的情况存在等。</w:t>
            </w:r>
          </w:p>
        </w:tc>
        <w:tc>
          <w:tcPr>
            <w:tcW w:w="2714" w:type="dxa"/>
          </w:tcPr>
          <w:p>
            <w:pPr>
              <w:rPr>
                <w:rFonts w:ascii="宋体" w:hAnsi="宋体" w:cs="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重点容器、管道腐蚀状况监测工作的开展情况。如对重点容器和管道是否进行在线的定期、定点测厚或采用腐蚀探针等方法进行监测，以及这些措施的实际效果等。</w:t>
            </w:r>
          </w:p>
        </w:tc>
        <w:tc>
          <w:tcPr>
            <w:tcW w:w="2714" w:type="dxa"/>
          </w:tcPr>
          <w:p>
            <w:pPr>
              <w:rPr>
                <w:rFonts w:ascii="宋体" w:hAnsi="宋体" w:cs="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重点容器、管道腐蚀状况的监测、检查记录，如测厚报告等，以及这方面工作实际开展的情况及效果。</w:t>
            </w:r>
          </w:p>
        </w:tc>
        <w:tc>
          <w:tcPr>
            <w:tcW w:w="2714" w:type="dxa"/>
          </w:tcPr>
          <w:p>
            <w:pPr>
              <w:rPr>
                <w:rFonts w:ascii="宋体" w:hAnsi="宋体" w:cs="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五、压力容器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rPr>
                <w:rFonts w:ascii="宋体" w:hAnsi="宋体" w:cs="宋体"/>
                <w:kern w:val="0"/>
                <w:sz w:val="13"/>
                <w:szCs w:val="18"/>
              </w:rPr>
            </w:pPr>
          </w:p>
        </w:tc>
        <w:tc>
          <w:tcPr>
            <w:tcW w:w="4234" w:type="dxa"/>
          </w:tcPr>
          <w:p>
            <w:pPr>
              <w:rPr>
                <w:rFonts w:ascii="宋体" w:hAnsi="宋体" w:cs="宋体"/>
                <w:kern w:val="0"/>
                <w:sz w:val="13"/>
                <w:szCs w:val="18"/>
              </w:rPr>
            </w:pPr>
            <w:r>
              <w:rPr>
                <w:rFonts w:hint="eastAsia" w:ascii="宋体" w:hAnsi="宋体" w:cs="宋体"/>
                <w:kern w:val="0"/>
                <w:sz w:val="13"/>
                <w:szCs w:val="18"/>
              </w:rPr>
              <w:t>按照《压力容器安全技术监察规程》（质技监局锅发（</w:t>
            </w:r>
            <w:r>
              <w:rPr>
                <w:rFonts w:ascii="宋体" w:hAnsi="宋体" w:cs="宋体"/>
                <w:kern w:val="0"/>
                <w:sz w:val="13"/>
                <w:szCs w:val="18"/>
              </w:rPr>
              <w:t>199</w:t>
            </w:r>
            <w:r>
              <w:rPr>
                <w:rFonts w:hint="eastAsia" w:ascii="宋体" w:hAnsi="宋体" w:cs="宋体"/>
                <w:kern w:val="0"/>
                <w:sz w:val="13"/>
                <w:szCs w:val="18"/>
              </w:rPr>
              <w:t>9）</w:t>
            </w:r>
            <w:r>
              <w:rPr>
                <w:rFonts w:ascii="宋体" w:hAnsi="宋体" w:cs="宋体"/>
                <w:kern w:val="0"/>
                <w:sz w:val="13"/>
                <w:szCs w:val="18"/>
              </w:rPr>
              <w:t xml:space="preserve">154 </w:t>
            </w:r>
            <w:r>
              <w:rPr>
                <w:rFonts w:hint="eastAsia" w:ascii="宋体" w:hAnsi="宋体" w:cs="宋体"/>
                <w:kern w:val="0"/>
                <w:sz w:val="13"/>
                <w:szCs w:val="18"/>
              </w:rPr>
              <w:t>号）开展隐患排查</w:t>
            </w:r>
          </w:p>
        </w:tc>
        <w:tc>
          <w:tcPr>
            <w:tcW w:w="2714" w:type="dxa"/>
          </w:tcPr>
          <w:p>
            <w:pPr>
              <w:rPr>
                <w:rFonts w:ascii="宋体" w:hAnsi="宋体" w:cs="宋体"/>
                <w:kern w:val="0"/>
                <w:sz w:val="13"/>
                <w:szCs w:val="18"/>
              </w:rPr>
            </w:pPr>
          </w:p>
        </w:tc>
        <w:tc>
          <w:tcPr>
            <w:tcW w:w="1167"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六、压力管道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rPr>
                <w:rFonts w:ascii="宋体" w:hAnsi="宋体" w:cs="宋体"/>
                <w:kern w:val="0"/>
                <w:sz w:val="13"/>
                <w:szCs w:val="18"/>
              </w:rPr>
            </w:pPr>
          </w:p>
        </w:tc>
        <w:tc>
          <w:tcPr>
            <w:tcW w:w="4234" w:type="dxa"/>
          </w:tcPr>
          <w:p>
            <w:pPr>
              <w:rPr>
                <w:rFonts w:ascii="宋体" w:hAnsi="宋体" w:cs="宋体"/>
                <w:kern w:val="0"/>
                <w:sz w:val="13"/>
                <w:szCs w:val="18"/>
              </w:rPr>
            </w:pPr>
            <w:r>
              <w:rPr>
                <w:rFonts w:hint="eastAsia" w:ascii="宋体" w:hAnsi="宋体" w:cs="宋体"/>
                <w:kern w:val="0"/>
                <w:sz w:val="13"/>
                <w:szCs w:val="18"/>
              </w:rPr>
              <w:t>按照《压力管道安全技术监察规程》（</w:t>
            </w:r>
            <w:r>
              <w:rPr>
                <w:rFonts w:ascii="宋体" w:hAnsi="宋体" w:cs="宋体"/>
                <w:kern w:val="0"/>
                <w:sz w:val="13"/>
                <w:szCs w:val="18"/>
              </w:rPr>
              <w:t>TSGD0001-200</w:t>
            </w:r>
            <w:r>
              <w:rPr>
                <w:rFonts w:hint="eastAsia" w:ascii="宋体" w:hAnsi="宋体" w:cs="宋体"/>
                <w:kern w:val="0"/>
                <w:sz w:val="13"/>
                <w:szCs w:val="18"/>
              </w:rPr>
              <w:t>9开展隐患排查</w:t>
            </w:r>
          </w:p>
        </w:tc>
        <w:tc>
          <w:tcPr>
            <w:tcW w:w="2714" w:type="dxa"/>
          </w:tcPr>
          <w:p>
            <w:pPr>
              <w:rPr>
                <w:rFonts w:ascii="宋体" w:hAnsi="宋体" w:cs="宋体"/>
                <w:kern w:val="0"/>
                <w:sz w:val="13"/>
                <w:szCs w:val="18"/>
              </w:rPr>
            </w:pPr>
          </w:p>
        </w:tc>
        <w:tc>
          <w:tcPr>
            <w:tcW w:w="1167"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七、其他特种设备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rPr>
                <w:rFonts w:ascii="宋体" w:hAnsi="宋体" w:cs="宋体"/>
                <w:kern w:val="0"/>
                <w:sz w:val="13"/>
                <w:szCs w:val="18"/>
              </w:rPr>
            </w:pPr>
          </w:p>
        </w:tc>
        <w:tc>
          <w:tcPr>
            <w:tcW w:w="4234" w:type="dxa"/>
          </w:tcPr>
          <w:p>
            <w:pPr>
              <w:rPr>
                <w:rFonts w:ascii="宋体" w:hAnsi="宋体" w:cs="宋体"/>
                <w:kern w:val="0"/>
                <w:sz w:val="13"/>
                <w:szCs w:val="18"/>
              </w:rPr>
            </w:pPr>
            <w:r>
              <w:rPr>
                <w:rFonts w:hint="eastAsia" w:ascii="宋体" w:hAnsi="宋体" w:cs="宋体"/>
                <w:kern w:val="0"/>
                <w:sz w:val="13"/>
                <w:szCs w:val="18"/>
              </w:rPr>
              <w:t>按照《特种设备安全监察条例》（国务院令</w:t>
            </w:r>
            <w:r>
              <w:rPr>
                <w:rFonts w:ascii="宋体" w:hAnsi="宋体" w:cs="宋体"/>
                <w:kern w:val="0"/>
                <w:sz w:val="13"/>
                <w:szCs w:val="18"/>
              </w:rPr>
              <w:t xml:space="preserve"> </w:t>
            </w:r>
            <w:r>
              <w:rPr>
                <w:rFonts w:hint="eastAsia" w:ascii="宋体" w:hAnsi="宋体" w:cs="宋体"/>
                <w:kern w:val="0"/>
                <w:sz w:val="13"/>
                <w:szCs w:val="18"/>
              </w:rPr>
              <w:t>第</w:t>
            </w:r>
            <w:r>
              <w:rPr>
                <w:rFonts w:ascii="宋体" w:hAnsi="宋体" w:cs="宋体"/>
                <w:kern w:val="0"/>
                <w:sz w:val="13"/>
                <w:szCs w:val="18"/>
              </w:rPr>
              <w:t xml:space="preserve"> 549 </w:t>
            </w:r>
            <w:r>
              <w:rPr>
                <w:rFonts w:hint="eastAsia" w:ascii="宋体" w:hAnsi="宋体" w:cs="宋体"/>
                <w:kern w:val="0"/>
                <w:sz w:val="13"/>
                <w:szCs w:val="18"/>
              </w:rPr>
              <w:t>号）开展隐患排查</w:t>
            </w:r>
          </w:p>
        </w:tc>
        <w:tc>
          <w:tcPr>
            <w:tcW w:w="2714" w:type="dxa"/>
          </w:tcPr>
          <w:p>
            <w:pPr>
              <w:rPr>
                <w:rFonts w:ascii="宋体" w:hAnsi="宋体" w:cs="宋体"/>
                <w:kern w:val="0"/>
                <w:sz w:val="13"/>
                <w:szCs w:val="18"/>
              </w:rPr>
            </w:pPr>
          </w:p>
        </w:tc>
        <w:tc>
          <w:tcPr>
            <w:tcW w:w="1167"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八、安全附件管理与运行状况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rPr>
                <w:rFonts w:ascii="宋体" w:hAnsi="宋体" w:cs="宋体"/>
                <w:kern w:val="0"/>
                <w:sz w:val="13"/>
                <w:szCs w:val="18"/>
              </w:rPr>
            </w:pPr>
          </w:p>
        </w:tc>
        <w:tc>
          <w:tcPr>
            <w:tcW w:w="4234" w:type="dxa"/>
          </w:tcPr>
          <w:p>
            <w:pPr>
              <w:rPr>
                <w:rFonts w:ascii="宋体" w:hAnsi="宋体" w:cs="宋体"/>
                <w:kern w:val="0"/>
                <w:sz w:val="13"/>
                <w:szCs w:val="18"/>
              </w:rPr>
            </w:pPr>
            <w:r>
              <w:rPr>
                <w:rFonts w:hint="eastAsia" w:ascii="宋体" w:hAnsi="宋体" w:cs="宋体"/>
                <w:kern w:val="0"/>
                <w:sz w:val="13"/>
                <w:szCs w:val="18"/>
              </w:rPr>
              <w:t>按照《压力容器安全技术监察规程》（质技监局锅发（</w:t>
            </w:r>
            <w:r>
              <w:rPr>
                <w:rFonts w:ascii="宋体" w:hAnsi="宋体" w:cs="宋体"/>
                <w:kern w:val="0"/>
                <w:sz w:val="13"/>
                <w:szCs w:val="18"/>
              </w:rPr>
              <w:t>1999</w:t>
            </w:r>
            <w:r>
              <w:rPr>
                <w:rFonts w:hint="eastAsia" w:ascii="宋体" w:hAnsi="宋体" w:cs="宋体"/>
                <w:kern w:val="0"/>
                <w:sz w:val="13"/>
                <w:szCs w:val="18"/>
              </w:rPr>
              <w:t>）</w:t>
            </w:r>
            <w:r>
              <w:rPr>
                <w:rFonts w:ascii="宋体" w:hAnsi="宋体" w:cs="宋体"/>
                <w:kern w:val="0"/>
                <w:sz w:val="13"/>
                <w:szCs w:val="18"/>
              </w:rPr>
              <w:t xml:space="preserve">154 </w:t>
            </w:r>
            <w:r>
              <w:rPr>
                <w:rFonts w:hint="eastAsia" w:ascii="宋体" w:hAnsi="宋体" w:cs="宋体"/>
                <w:kern w:val="0"/>
                <w:sz w:val="13"/>
                <w:szCs w:val="18"/>
              </w:rPr>
              <w:t>号）开展隐患排查</w:t>
            </w:r>
          </w:p>
        </w:tc>
        <w:tc>
          <w:tcPr>
            <w:tcW w:w="2714" w:type="dxa"/>
          </w:tcPr>
          <w:p>
            <w:pPr>
              <w:rPr>
                <w:rFonts w:ascii="宋体" w:hAnsi="宋体" w:cs="宋体"/>
                <w:kern w:val="0"/>
                <w:sz w:val="13"/>
                <w:szCs w:val="18"/>
              </w:rPr>
            </w:pPr>
          </w:p>
        </w:tc>
        <w:tc>
          <w:tcPr>
            <w:tcW w:w="1167" w:type="dxa"/>
          </w:tcPr>
          <w:p>
            <w:pPr>
              <w:rPr>
                <w:rFonts w:ascii="宋体" w:hAnsi="宋体" w:cs="宋体"/>
                <w:kern w:val="0"/>
                <w:sz w:val="13"/>
                <w:szCs w:val="18"/>
              </w:rPr>
            </w:pPr>
          </w:p>
        </w:tc>
      </w:tr>
    </w:tbl>
    <w:p>
      <w:pPr>
        <w:rPr>
          <w:sz w:val="16"/>
        </w:rPr>
      </w:pPr>
    </w:p>
    <w:p>
      <w:pPr>
        <w:rPr>
          <w:sz w:val="16"/>
        </w:rPr>
      </w:pPr>
    </w:p>
    <w:p>
      <w:pPr>
        <w:pStyle w:val="3"/>
        <w:rPr>
          <w:rFonts w:hint="default"/>
          <w:sz w:val="21"/>
          <w:szCs w:val="28"/>
        </w:rPr>
      </w:pPr>
      <w:bookmarkStart w:id="125" w:name="_Toc11921487"/>
      <w:r>
        <w:rPr>
          <w:sz w:val="21"/>
          <w:szCs w:val="28"/>
        </w:rPr>
        <w:t>5 电气系统隐患排查表</w:t>
      </w:r>
      <w:bookmarkEnd w:id="125"/>
    </w:p>
    <w:tbl>
      <w:tblPr>
        <w:tblStyle w:val="11"/>
        <w:tblW w:w="858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4236"/>
        <w:gridCol w:w="2715"/>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67"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36"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15"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3"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一、电气安全管理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建立、健全电气安全管理制度和台帐。三图：系统模拟图、二次线路图、电缆走向图；三票：工作票、操作票、临时用电票；三定：定期检修、定期试验、定期清理；五规程：检修规程、运行规程、试验规程、安全作业规程、事故处理规程；五记录：检修记录、运行记录、试验记录、事故记录、设备缺陷记录。</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《电力生产安全工作规定》；</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《变配电室安全管理规范》</w:t>
            </w:r>
            <w:r>
              <w:rPr>
                <w:rFonts w:ascii="宋体" w:hAnsi="宋体" w:cs="宋体"/>
                <w:kern w:val="0"/>
                <w:sz w:val="13"/>
                <w:szCs w:val="18"/>
              </w:rPr>
              <w:t>DB11/527-2008</w:t>
            </w:r>
          </w:p>
        </w:tc>
        <w:tc>
          <w:tcPr>
            <w:tcW w:w="1163" w:type="dxa"/>
            <w:vMerge w:val="restart"/>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“三票”填写清楚，不得涂改、缺项，执行完毕划√或盖已执行章。</w:t>
            </w:r>
          </w:p>
        </w:tc>
        <w:tc>
          <w:tcPr>
            <w:tcW w:w="2715" w:type="dxa"/>
          </w:tcPr>
          <w:p>
            <w:pPr>
              <w:autoSpaceDE w:val="0"/>
              <w:autoSpaceDN w:val="0"/>
              <w:adjustRightInd w:val="0"/>
              <w:jc w:val="left"/>
              <w:rPr>
                <w:rFonts w:ascii="宋体" w:hAnsi="宋体"/>
                <w:kern w:val="0"/>
                <w:sz w:val="13"/>
                <w:szCs w:val="18"/>
              </w:rPr>
            </w:pP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从事电气作业中的特种作业人员应经专门的安全作业培训，在取得相应特种作业操作资格证书后，方可上岗。</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《用电安全导则》第</w:t>
            </w:r>
            <w:r>
              <w:rPr>
                <w:rFonts w:ascii="宋体" w:hAnsi="宋体" w:cs="宋体"/>
                <w:kern w:val="0"/>
                <w:sz w:val="13"/>
                <w:szCs w:val="18"/>
              </w:rPr>
              <w:t xml:space="preserve"> </w:t>
            </w:r>
            <w:r>
              <w:rPr>
                <w:rFonts w:ascii="宋体" w:hAnsi="宋体" w:cs="Arial"/>
                <w:kern w:val="0"/>
                <w:sz w:val="13"/>
                <w:szCs w:val="18"/>
              </w:rPr>
              <w:t>10.4</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临时用电应经有关主管部门审查批准，并有专人负责管理，限期拆除。</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《用电安全导则》第</w:t>
            </w:r>
            <w:r>
              <w:rPr>
                <w:rFonts w:ascii="宋体" w:hAnsi="宋体" w:cs="宋体"/>
                <w:kern w:val="0"/>
                <w:sz w:val="13"/>
                <w:szCs w:val="18"/>
              </w:rPr>
              <w:t xml:space="preserve"> </w:t>
            </w:r>
            <w:r>
              <w:rPr>
                <w:rFonts w:ascii="宋体" w:hAnsi="宋体" w:cs="Arial"/>
                <w:kern w:val="0"/>
                <w:sz w:val="13"/>
                <w:szCs w:val="18"/>
              </w:rPr>
              <w:t>10.6</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二、供配电系统设置及电气设备设施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企业的供电电源应满足不同负荷等级的供电要求：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一级负荷应由双重电源供电，当一电源发生故障时，</w:t>
            </w:r>
            <w:r>
              <w:rPr>
                <w:rFonts w:ascii="宋体" w:hAnsi="宋体" w:cs="宋体"/>
                <w:kern w:val="0"/>
                <w:sz w:val="13"/>
                <w:szCs w:val="18"/>
              </w:rPr>
              <w:t xml:space="preserve"> </w:t>
            </w:r>
            <w:r>
              <w:rPr>
                <w:rFonts w:hint="eastAsia" w:ascii="宋体" w:hAnsi="宋体" w:cs="宋体"/>
                <w:kern w:val="0"/>
                <w:sz w:val="13"/>
                <w:szCs w:val="18"/>
              </w:rPr>
              <w:t>另一电源不应同时受到损坏。</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一级负荷中特别重要的负荷供电，应符合下列要求：</w:t>
            </w:r>
            <w:r>
              <w:rPr>
                <w:rFonts w:ascii="宋体" w:hAnsi="宋体" w:cs="宋体"/>
                <w:kern w:val="0"/>
                <w:sz w:val="13"/>
                <w:szCs w:val="18"/>
              </w:rPr>
              <w:t xml:space="preserve"> </w:t>
            </w:r>
            <w:r>
              <w:rPr>
                <w:rFonts w:hint="eastAsia" w:ascii="宋体" w:hAnsi="宋体" w:cs="宋体"/>
                <w:kern w:val="0"/>
                <w:sz w:val="13"/>
                <w:szCs w:val="18"/>
              </w:rPr>
              <w:t>除应由双重电源供电外，尚应增设应急电源，并严禁</w:t>
            </w:r>
            <w:r>
              <w:rPr>
                <w:rFonts w:ascii="宋体" w:hAnsi="宋体" w:cs="宋体"/>
                <w:kern w:val="0"/>
                <w:sz w:val="13"/>
                <w:szCs w:val="18"/>
              </w:rPr>
              <w:t xml:space="preserve"> </w:t>
            </w:r>
            <w:r>
              <w:rPr>
                <w:rFonts w:hint="eastAsia" w:ascii="宋体" w:hAnsi="宋体" w:cs="宋体"/>
                <w:kern w:val="0"/>
                <w:sz w:val="13"/>
                <w:szCs w:val="18"/>
              </w:rPr>
              <w:t>将其他负荷接入应急供电系统；设备的供电电源的切换时间，应满足设备允许中断供电的要求。</w:t>
            </w:r>
          </w:p>
          <w:p>
            <w:pPr>
              <w:autoSpaceDE w:val="0"/>
              <w:autoSpaceDN w:val="0"/>
              <w:adjustRightInd w:val="0"/>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二级负荷的供电系统，宜由两回线路供电。在负荷较小或地区供电条件困难时，二级负荷可由一回</w:t>
            </w:r>
            <w:r>
              <w:rPr>
                <w:rFonts w:ascii="宋体" w:hAnsi="宋体" w:cs="宋体"/>
                <w:kern w:val="0"/>
                <w:sz w:val="13"/>
                <w:szCs w:val="18"/>
              </w:rPr>
              <w:t xml:space="preserve"> </w:t>
            </w:r>
            <w:r>
              <w:rPr>
                <w:rFonts w:ascii="宋体" w:hAnsi="宋体" w:cs="Arial"/>
                <w:kern w:val="0"/>
                <w:sz w:val="13"/>
                <w:szCs w:val="18"/>
              </w:rPr>
              <w:t xml:space="preserve">6kV </w:t>
            </w:r>
            <w:r>
              <w:rPr>
                <w:rFonts w:hint="eastAsia" w:ascii="宋体" w:hAnsi="宋体" w:cs="宋体"/>
                <w:kern w:val="0"/>
                <w:sz w:val="13"/>
                <w:szCs w:val="18"/>
              </w:rPr>
              <w:t>及以上专用的架空线路供电。</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供配电系统设计规范</w:t>
            </w:r>
            <w:r>
              <w:rPr>
                <w:rFonts w:ascii="宋体" w:hAnsi="宋体" w:cs="宋体"/>
                <w:kern w:val="0"/>
                <w:sz w:val="13"/>
                <w:szCs w:val="18"/>
              </w:rPr>
              <w:t xml:space="preserve"> GB50052-2009</w:t>
            </w:r>
          </w:p>
        </w:tc>
        <w:tc>
          <w:tcPr>
            <w:tcW w:w="1163" w:type="dxa"/>
            <w:vMerge w:val="restart"/>
          </w:tcPr>
          <w:p>
            <w:pPr>
              <w:rPr>
                <w:rFonts w:ascii="宋体" w:hAnsi="宋体" w:cs="宋体"/>
                <w:kern w:val="0"/>
                <w:sz w:val="13"/>
                <w:szCs w:val="18"/>
              </w:rPr>
            </w:pPr>
            <w:r>
              <w:rPr>
                <w:rFonts w:hint="eastAsia" w:ascii="宋体" w:hAnsi="宋体" w:cs="宋体"/>
                <w:kern w:val="0"/>
                <w:sz w:val="13"/>
                <w:szCs w:val="18"/>
              </w:rPr>
              <w:t>1次/半年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消防泵、关键装置、关键机组等重点部位以及符合中的特别重要负荷的供电应满足《供配电系统设计规范》</w:t>
            </w:r>
            <w:r>
              <w:rPr>
                <w:rFonts w:ascii="宋体" w:hAnsi="宋体" w:cs="宋体"/>
                <w:kern w:val="0"/>
                <w:sz w:val="13"/>
                <w:szCs w:val="18"/>
              </w:rPr>
              <w:t>GB50052</w:t>
            </w:r>
            <w:r>
              <w:rPr>
                <w:rFonts w:hint="eastAsia" w:ascii="宋体" w:hAnsi="宋体" w:cs="宋体"/>
                <w:kern w:val="0"/>
                <w:sz w:val="13"/>
                <w:szCs w:val="18"/>
              </w:rPr>
              <w:t>所规定的一级负荷供电要求。</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《供配电系统设计规范》</w:t>
            </w:r>
            <w:r>
              <w:rPr>
                <w:rFonts w:ascii="宋体" w:hAnsi="宋体" w:cs="宋体"/>
                <w:kern w:val="0"/>
                <w:sz w:val="13"/>
                <w:szCs w:val="18"/>
              </w:rPr>
              <w:t>GB50052</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企业供配电系统设计应按照负荷性质、用电容量、工程特点等条件进行设计。满足相关标准规范的规定：《供配电系统设计规范》</w:t>
            </w:r>
            <w:r>
              <w:rPr>
                <w:rFonts w:ascii="宋体" w:hAnsi="宋体" w:cs="宋体"/>
                <w:kern w:val="0"/>
                <w:sz w:val="13"/>
                <w:szCs w:val="18"/>
              </w:rPr>
              <w:t>GB50052-2009</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 xml:space="preserve">10kV </w:t>
            </w:r>
            <w:r>
              <w:rPr>
                <w:rFonts w:hint="eastAsia" w:ascii="宋体" w:hAnsi="宋体" w:cs="宋体"/>
                <w:kern w:val="0"/>
                <w:sz w:val="13"/>
                <w:szCs w:val="18"/>
              </w:rPr>
              <w:t>及以下变电所设计规范》</w:t>
            </w:r>
            <w:r>
              <w:rPr>
                <w:rFonts w:ascii="宋体" w:hAnsi="宋体" w:cs="宋体"/>
                <w:kern w:val="0"/>
                <w:sz w:val="13"/>
                <w:szCs w:val="18"/>
              </w:rPr>
              <w:t>GB 50053</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《低压配电设计规范》</w:t>
            </w:r>
            <w:r>
              <w:rPr>
                <w:rFonts w:ascii="宋体" w:hAnsi="宋体" w:cs="宋体"/>
                <w:kern w:val="0"/>
                <w:sz w:val="13"/>
                <w:szCs w:val="18"/>
              </w:rPr>
              <w:t>GB 50054</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 xml:space="preserve">35-110kV </w:t>
            </w:r>
            <w:r>
              <w:rPr>
                <w:rFonts w:hint="eastAsia" w:ascii="宋体" w:hAnsi="宋体" w:cs="宋体"/>
                <w:kern w:val="0"/>
                <w:sz w:val="13"/>
                <w:szCs w:val="18"/>
              </w:rPr>
              <w:t>变电所设计规范》</w:t>
            </w:r>
            <w:r>
              <w:rPr>
                <w:rFonts w:ascii="宋体" w:hAnsi="宋体" w:cs="宋体"/>
                <w:kern w:val="0"/>
                <w:sz w:val="13"/>
                <w:szCs w:val="18"/>
              </w:rPr>
              <w:t>GB 50059</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w:t>
            </w:r>
            <w:r>
              <w:rPr>
                <w:rFonts w:ascii="宋体" w:hAnsi="宋体" w:cs="宋体"/>
                <w:kern w:val="0"/>
                <w:sz w:val="13"/>
                <w:szCs w:val="18"/>
              </w:rPr>
              <w:t xml:space="preserve">3-110kV </w:t>
            </w:r>
            <w:r>
              <w:rPr>
                <w:rFonts w:hint="eastAsia" w:ascii="宋体" w:hAnsi="宋体" w:cs="宋体"/>
                <w:kern w:val="0"/>
                <w:sz w:val="13"/>
                <w:szCs w:val="18"/>
              </w:rPr>
              <w:t>高压配电装置设计规范》</w:t>
            </w:r>
            <w:r>
              <w:rPr>
                <w:rFonts w:ascii="宋体" w:hAnsi="宋体" w:cs="宋体"/>
                <w:kern w:val="0"/>
                <w:sz w:val="13"/>
                <w:szCs w:val="18"/>
              </w:rPr>
              <w:t>GB 50060</w:t>
            </w:r>
          </w:p>
        </w:tc>
        <w:tc>
          <w:tcPr>
            <w:tcW w:w="2715" w:type="dxa"/>
          </w:tcPr>
          <w:p>
            <w:pPr>
              <w:autoSpaceDE w:val="0"/>
              <w:autoSpaceDN w:val="0"/>
              <w:adjustRightInd w:val="0"/>
              <w:jc w:val="left"/>
              <w:rPr>
                <w:rFonts w:ascii="宋体" w:hAnsi="宋体"/>
                <w:kern w:val="0"/>
                <w:sz w:val="13"/>
                <w:szCs w:val="18"/>
              </w:rPr>
            </w:pP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企业供配电系统设计应采用符合国家现行有关标准的高效节能、环保、安全、性能先进的电气产品。不应使用国家已经明令淘汰的电气设备设施。</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《供配电系统设计规范》</w:t>
            </w:r>
            <w:r>
              <w:rPr>
                <w:rFonts w:ascii="宋体" w:hAnsi="宋体" w:cs="宋体"/>
                <w:kern w:val="0"/>
                <w:sz w:val="13"/>
                <w:szCs w:val="18"/>
              </w:rPr>
              <w:t>GB50052-2009</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企业变配电室设备设施、配电线路应满足相关标准规范的规定。如</w:t>
            </w:r>
            <w:r>
              <w:rPr>
                <w:rFonts w:ascii="宋体" w:hAnsi="宋体" w:cs="宋体"/>
                <w:kern w:val="0"/>
                <w:sz w:val="13"/>
                <w:szCs w:val="18"/>
              </w:rPr>
              <w:t>:</w:t>
            </w:r>
          </w:p>
          <w:p>
            <w:pPr>
              <w:autoSpaceDE w:val="0"/>
              <w:autoSpaceDN w:val="0"/>
              <w:adjustRightInd w:val="0"/>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变配电室的地面应采用防滑、不起尘、不发火的耐火材料。变配电室变压器、高压开关柜、低压开关柜操作面地面应铺设绝缘胶垫。</w:t>
            </w:r>
          </w:p>
          <w:p>
            <w:pPr>
              <w:autoSpaceDE w:val="0"/>
              <w:autoSpaceDN w:val="0"/>
              <w:adjustRightInd w:val="0"/>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用电产品的电气线路须具有足够的绝缘强度、机械强度和导电能力并定期检查。</w:t>
            </w:r>
          </w:p>
          <w:p>
            <w:pPr>
              <w:autoSpaceDE w:val="0"/>
              <w:autoSpaceDN w:val="0"/>
              <w:adjustRightInd w:val="0"/>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变配电室应设置防止雨、雪和小动物从采光窗、通风</w:t>
            </w:r>
            <w:r>
              <w:rPr>
                <w:rFonts w:ascii="宋体" w:hAnsi="宋体" w:cs="宋体"/>
                <w:kern w:val="0"/>
                <w:sz w:val="13"/>
                <w:szCs w:val="18"/>
              </w:rPr>
              <w:t xml:space="preserve"> </w:t>
            </w:r>
            <w:r>
              <w:rPr>
                <w:rFonts w:hint="eastAsia" w:ascii="宋体" w:hAnsi="宋体" w:cs="宋体"/>
                <w:kern w:val="0"/>
                <w:sz w:val="13"/>
                <w:szCs w:val="18"/>
              </w:rPr>
              <w:t>窗、门、电缆沟等进入室内的设施。变配电室的电缆夹层、电缆沟和电缆室应采取防水、排水措施。</w:t>
            </w:r>
          </w:p>
          <w:p>
            <w:pPr>
              <w:autoSpaceDE w:val="0"/>
              <w:autoSpaceDN w:val="0"/>
              <w:adjustRightInd w:val="0"/>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通往室外的门应向外开。设备间与附属房间之间的门应向附属房间方向开。高压间与低压间之间的门，应向低压间方向开。配电装置室的中间门应采用双向开启门。</w:t>
            </w:r>
          </w:p>
          <w:p>
            <w:pPr>
              <w:autoSpaceDE w:val="0"/>
              <w:autoSpaceDN w:val="0"/>
              <w:adjustRightInd w:val="0"/>
              <w:rPr>
                <w:rFonts w:ascii="宋体" w:hAnsi="宋体" w:cs="宋体"/>
                <w:kern w:val="0"/>
                <w:sz w:val="13"/>
                <w:szCs w:val="18"/>
              </w:rPr>
            </w:pPr>
            <w:r>
              <w:rPr>
                <w:rFonts w:ascii="宋体" w:hAnsi="宋体" w:cs="宋体"/>
                <w:kern w:val="0"/>
                <w:sz w:val="13"/>
                <w:szCs w:val="18"/>
              </w:rPr>
              <w:t>5.</w:t>
            </w:r>
            <w:r>
              <w:rPr>
                <w:rFonts w:hint="eastAsia" w:ascii="宋体" w:hAnsi="宋体" w:cs="宋体"/>
                <w:kern w:val="0"/>
                <w:sz w:val="13"/>
                <w:szCs w:val="18"/>
              </w:rPr>
              <w:t>变配电室出入口应设置高度不低于</w:t>
            </w:r>
            <w:r>
              <w:rPr>
                <w:rFonts w:ascii="宋体" w:hAnsi="宋体" w:cs="宋体"/>
                <w:kern w:val="0"/>
                <w:sz w:val="13"/>
                <w:szCs w:val="18"/>
              </w:rPr>
              <w:t xml:space="preserve">400mm </w:t>
            </w:r>
            <w:r>
              <w:rPr>
                <w:rFonts w:hint="eastAsia" w:ascii="宋体" w:hAnsi="宋体" w:cs="宋体"/>
                <w:kern w:val="0"/>
                <w:sz w:val="13"/>
                <w:szCs w:val="18"/>
              </w:rPr>
              <w:t>的挡板。</w:t>
            </w:r>
          </w:p>
          <w:p>
            <w:pPr>
              <w:autoSpaceDE w:val="0"/>
              <w:autoSpaceDN w:val="0"/>
              <w:adjustRightInd w:val="0"/>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6</w:t>
            </w:r>
            <w:r>
              <w:rPr>
                <w:rFonts w:hint="eastAsia" w:ascii="宋体" w:hAnsi="宋体" w:cs="宋体"/>
                <w:kern w:val="0"/>
                <w:sz w:val="13"/>
                <w:szCs w:val="18"/>
              </w:rPr>
              <w:t>）变配电室应设置有明显的临时接地点，接地点应</w:t>
            </w:r>
            <w:r>
              <w:rPr>
                <w:rFonts w:ascii="宋体" w:hAnsi="宋体" w:cs="宋体"/>
                <w:kern w:val="0"/>
                <w:sz w:val="13"/>
                <w:szCs w:val="18"/>
              </w:rPr>
              <w:t xml:space="preserve"> </w:t>
            </w:r>
            <w:r>
              <w:rPr>
                <w:rFonts w:hint="eastAsia" w:ascii="宋体" w:hAnsi="宋体" w:cs="宋体"/>
                <w:kern w:val="0"/>
                <w:sz w:val="13"/>
                <w:szCs w:val="18"/>
              </w:rPr>
              <w:t>采用铜制或钢制镀锌蝶形螺栓。</w:t>
            </w:r>
          </w:p>
          <w:p>
            <w:pPr>
              <w:autoSpaceDE w:val="0"/>
              <w:autoSpaceDN w:val="0"/>
              <w:adjustRightInd w:val="0"/>
              <w:rPr>
                <w:rFonts w:ascii="宋体" w:hAnsi="宋体" w:cs="宋体"/>
                <w:kern w:val="0"/>
                <w:sz w:val="13"/>
                <w:szCs w:val="18"/>
              </w:rPr>
            </w:pPr>
            <w:r>
              <w:rPr>
                <w:rFonts w:ascii="宋体" w:hAnsi="宋体" w:cs="宋体"/>
                <w:kern w:val="0"/>
                <w:sz w:val="13"/>
                <w:szCs w:val="18"/>
              </w:rPr>
              <w:t>6.</w:t>
            </w:r>
            <w:r>
              <w:rPr>
                <w:rFonts w:hint="eastAsia" w:ascii="宋体" w:hAnsi="宋体" w:cs="宋体"/>
                <w:kern w:val="0"/>
                <w:sz w:val="13"/>
                <w:szCs w:val="18"/>
              </w:rPr>
              <w:t>变配电室内应设有等电位联结板。</w:t>
            </w:r>
          </w:p>
          <w:p>
            <w:pPr>
              <w:autoSpaceDE w:val="0"/>
              <w:autoSpaceDN w:val="0"/>
              <w:adjustRightInd w:val="0"/>
              <w:rPr>
                <w:rFonts w:ascii="宋体" w:hAnsi="宋体" w:cs="宋体"/>
                <w:kern w:val="0"/>
                <w:sz w:val="13"/>
                <w:szCs w:val="18"/>
              </w:rPr>
            </w:pPr>
            <w:r>
              <w:rPr>
                <w:rFonts w:ascii="宋体" w:hAnsi="宋体" w:cs="宋体"/>
                <w:kern w:val="0"/>
                <w:sz w:val="13"/>
                <w:szCs w:val="18"/>
              </w:rPr>
              <w:t>7.</w:t>
            </w:r>
            <w:r>
              <w:rPr>
                <w:rFonts w:hint="eastAsia" w:ascii="宋体" w:hAnsi="宋体" w:cs="宋体"/>
                <w:kern w:val="0"/>
                <w:sz w:val="13"/>
                <w:szCs w:val="18"/>
              </w:rPr>
              <w:t>变配电室应急照明灯具和疏散指示标志灯的备用充电电源的放电时间不低于</w:t>
            </w:r>
            <w:r>
              <w:rPr>
                <w:rFonts w:ascii="宋体" w:hAnsi="宋体" w:cs="宋体"/>
                <w:kern w:val="0"/>
                <w:sz w:val="13"/>
                <w:szCs w:val="18"/>
              </w:rPr>
              <w:t xml:space="preserve"> 20min</w:t>
            </w:r>
            <w:r>
              <w:rPr>
                <w:rFonts w:hint="eastAsia" w:ascii="宋体" w:hAnsi="宋体" w:cs="宋体"/>
                <w:kern w:val="0"/>
                <w:sz w:val="13"/>
                <w:szCs w:val="18"/>
              </w:rPr>
              <w:t>。</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《变配电室安全管理规范》</w:t>
            </w:r>
            <w:r>
              <w:rPr>
                <w:rFonts w:ascii="宋体" w:hAnsi="宋体" w:cs="宋体"/>
                <w:kern w:val="0"/>
                <w:sz w:val="13"/>
                <w:szCs w:val="18"/>
              </w:rPr>
              <w:t xml:space="preserve"> DB11/527-2008</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《低压配电设计规范》</w:t>
            </w:r>
            <w:r>
              <w:rPr>
                <w:rFonts w:ascii="宋体" w:hAnsi="宋体" w:cs="宋体"/>
                <w:kern w:val="0"/>
                <w:sz w:val="13"/>
                <w:szCs w:val="18"/>
              </w:rPr>
              <w:t>GB 50054-2011</w:t>
            </w:r>
          </w:p>
          <w:p>
            <w:pPr>
              <w:autoSpaceDE w:val="0"/>
              <w:autoSpaceDN w:val="0"/>
              <w:adjustRightInd w:val="0"/>
              <w:rPr>
                <w:rFonts w:ascii="宋体" w:hAnsi="宋体"/>
                <w:kern w:val="0"/>
                <w:sz w:val="13"/>
                <w:szCs w:val="18"/>
              </w:rPr>
            </w:pPr>
            <w:r>
              <w:rPr>
                <w:rFonts w:hint="eastAsia" w:ascii="宋体" w:hAnsi="宋体" w:cs="宋体"/>
                <w:kern w:val="0"/>
                <w:sz w:val="13"/>
                <w:szCs w:val="18"/>
              </w:rPr>
              <w:t>《用电安全导则》</w:t>
            </w:r>
            <w:r>
              <w:rPr>
                <w:rFonts w:ascii="宋体" w:hAnsi="宋体" w:cs="宋体"/>
                <w:kern w:val="0"/>
                <w:sz w:val="13"/>
                <w:szCs w:val="18"/>
              </w:rPr>
              <w:t>B/T13869-2008</w:t>
            </w:r>
            <w:r>
              <w:rPr>
                <w:rFonts w:hint="eastAsia" w:ascii="宋体" w:hAnsi="宋体" w:cs="宋体"/>
                <w:kern w:val="0"/>
                <w:sz w:val="13"/>
                <w:szCs w:val="18"/>
              </w:rPr>
              <w:t xml:space="preserve">   </w:t>
            </w:r>
            <w:r>
              <w:rPr>
                <w:rFonts w:ascii="宋体" w:hAnsi="宋体" w:cs="宋体"/>
                <w:kern w:val="0"/>
                <w:sz w:val="13"/>
                <w:szCs w:val="18"/>
              </w:rPr>
              <w:t>6.7</w:t>
            </w:r>
          </w:p>
        </w:tc>
        <w:tc>
          <w:tcPr>
            <w:tcW w:w="1163"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爆炸危险区域内的防爆电气设备应符合</w:t>
            </w:r>
            <w:r>
              <w:rPr>
                <w:rFonts w:ascii="宋体" w:hAnsi="宋体" w:cs="宋体"/>
                <w:kern w:val="0"/>
                <w:sz w:val="13"/>
                <w:szCs w:val="18"/>
              </w:rPr>
              <w:t xml:space="preserve"> </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AQ 3009-2007</w:t>
            </w:r>
            <w:r>
              <w:rPr>
                <w:rFonts w:hint="eastAsia" w:ascii="宋体" w:hAnsi="宋体" w:cs="宋体"/>
                <w:kern w:val="0"/>
                <w:sz w:val="13"/>
                <w:szCs w:val="18"/>
              </w:rPr>
              <w:t>《危险场所电气防爆安全规范》的要求。</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《危险场所电气防爆安全规范》</w:t>
            </w:r>
            <w:r>
              <w:rPr>
                <w:rFonts w:ascii="宋体" w:hAnsi="宋体" w:cs="宋体"/>
                <w:kern w:val="0"/>
                <w:sz w:val="13"/>
                <w:szCs w:val="18"/>
              </w:rPr>
              <w:t xml:space="preserve"> AQ3009-2007</w:t>
            </w:r>
          </w:p>
        </w:tc>
        <w:tc>
          <w:tcPr>
            <w:tcW w:w="1163"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电气设备的安全性能，应满足相关标准规范的规定。如：设备的金属外壳应采取防漏电保护接地；</w:t>
            </w:r>
          </w:p>
          <w:p>
            <w:pPr>
              <w:autoSpaceDE w:val="0"/>
              <w:autoSpaceDN w:val="0"/>
              <w:adjustRightInd w:val="0"/>
              <w:jc w:val="left"/>
              <w:rPr>
                <w:rFonts w:ascii="宋体" w:hAnsi="宋体" w:cs="宋体"/>
                <w:kern w:val="0"/>
                <w:sz w:val="13"/>
                <w:szCs w:val="18"/>
              </w:rPr>
            </w:pPr>
            <w:r>
              <w:rPr>
                <w:rFonts w:ascii="宋体" w:hAnsi="宋体" w:cs="Arial"/>
                <w:kern w:val="0"/>
                <w:sz w:val="13"/>
                <w:szCs w:val="18"/>
              </w:rPr>
              <w:t>PE</w:t>
            </w:r>
            <w:r>
              <w:rPr>
                <w:rFonts w:hint="eastAsia" w:ascii="宋体" w:hAnsi="宋体" w:cs="宋体"/>
                <w:kern w:val="0"/>
                <w:sz w:val="13"/>
                <w:szCs w:val="18"/>
              </w:rPr>
              <w:t>线若明设时，应选用不小于</w:t>
            </w:r>
            <w:r>
              <w:rPr>
                <w:rFonts w:ascii="宋体" w:hAnsi="宋体" w:cs="宋体"/>
                <w:kern w:val="0"/>
                <w:sz w:val="13"/>
                <w:szCs w:val="18"/>
              </w:rPr>
              <w:t xml:space="preserve"> </w:t>
            </w:r>
            <w:r>
              <w:rPr>
                <w:rFonts w:ascii="宋体" w:hAnsi="宋体" w:cs="Arial"/>
                <w:kern w:val="0"/>
                <w:sz w:val="13"/>
                <w:szCs w:val="18"/>
              </w:rPr>
              <w:t xml:space="preserve">4 </w:t>
            </w:r>
            <w:r>
              <w:rPr>
                <w:rFonts w:hint="eastAsia" w:ascii="宋体" w:hAnsi="宋体" w:cs="宋体"/>
                <w:kern w:val="0"/>
                <w:sz w:val="13"/>
                <w:szCs w:val="18"/>
              </w:rPr>
              <w:t>平方毫米的铜芯线，不得使用铝芯线；</w:t>
            </w:r>
          </w:p>
          <w:p>
            <w:pPr>
              <w:autoSpaceDE w:val="0"/>
              <w:autoSpaceDN w:val="0"/>
              <w:adjustRightInd w:val="0"/>
              <w:jc w:val="left"/>
              <w:rPr>
                <w:rFonts w:ascii="宋体" w:hAnsi="宋体" w:cs="宋体"/>
                <w:kern w:val="0"/>
                <w:sz w:val="13"/>
                <w:szCs w:val="18"/>
              </w:rPr>
            </w:pPr>
            <w:r>
              <w:rPr>
                <w:rFonts w:ascii="宋体" w:hAnsi="宋体" w:cs="Arial"/>
                <w:kern w:val="0"/>
                <w:sz w:val="13"/>
                <w:szCs w:val="18"/>
              </w:rPr>
              <w:t>PE</w:t>
            </w:r>
            <w:r>
              <w:rPr>
                <w:rFonts w:hint="eastAsia" w:ascii="宋体" w:hAnsi="宋体" w:cs="宋体"/>
                <w:kern w:val="0"/>
                <w:sz w:val="13"/>
                <w:szCs w:val="18"/>
              </w:rPr>
              <w:t>线若随穿线管接入设备本体时，应选用不小于</w:t>
            </w:r>
            <w:r>
              <w:rPr>
                <w:rFonts w:ascii="宋体" w:hAnsi="宋体" w:cs="宋体"/>
                <w:kern w:val="0"/>
                <w:sz w:val="13"/>
                <w:szCs w:val="18"/>
              </w:rPr>
              <w:t xml:space="preserve"> </w:t>
            </w:r>
            <w:r>
              <w:rPr>
                <w:rFonts w:ascii="宋体" w:hAnsi="宋体" w:cs="Arial"/>
                <w:kern w:val="0"/>
                <w:sz w:val="13"/>
                <w:szCs w:val="18"/>
              </w:rPr>
              <w:t xml:space="preserve">2.5 </w:t>
            </w:r>
            <w:r>
              <w:rPr>
                <w:rFonts w:hint="eastAsia" w:ascii="宋体" w:hAnsi="宋体" w:cs="宋体"/>
                <w:kern w:val="0"/>
                <w:sz w:val="13"/>
                <w:szCs w:val="18"/>
              </w:rPr>
              <w:t>平方毫米的铜芯线或不小于</w:t>
            </w:r>
            <w:r>
              <w:rPr>
                <w:rFonts w:ascii="宋体" w:hAnsi="宋体" w:cs="Arial"/>
                <w:kern w:val="0"/>
                <w:sz w:val="13"/>
                <w:szCs w:val="18"/>
              </w:rPr>
              <w:t>4</w:t>
            </w:r>
            <w:r>
              <w:rPr>
                <w:rFonts w:hint="eastAsia" w:ascii="宋体" w:hAnsi="宋体" w:cs="宋体"/>
                <w:kern w:val="0"/>
                <w:sz w:val="13"/>
                <w:szCs w:val="18"/>
              </w:rPr>
              <w:t>平方毫米的铝芯线；</w:t>
            </w:r>
          </w:p>
          <w:p>
            <w:pPr>
              <w:autoSpaceDE w:val="0"/>
              <w:autoSpaceDN w:val="0"/>
              <w:adjustRightInd w:val="0"/>
              <w:jc w:val="left"/>
              <w:rPr>
                <w:rFonts w:ascii="宋体" w:hAnsi="宋体" w:cs="宋体"/>
                <w:kern w:val="0"/>
                <w:sz w:val="13"/>
                <w:szCs w:val="18"/>
              </w:rPr>
            </w:pPr>
            <w:r>
              <w:rPr>
                <w:rFonts w:ascii="宋体" w:hAnsi="宋体" w:cs="Arial"/>
                <w:kern w:val="0"/>
                <w:sz w:val="13"/>
                <w:szCs w:val="18"/>
              </w:rPr>
              <w:t xml:space="preserve">PE </w:t>
            </w:r>
            <w:r>
              <w:rPr>
                <w:rFonts w:hint="eastAsia" w:ascii="宋体" w:hAnsi="宋体" w:cs="宋体"/>
                <w:kern w:val="0"/>
                <w:sz w:val="13"/>
                <w:szCs w:val="18"/>
              </w:rPr>
              <w:t>线不得搭接或串接，接线规范、接触可靠；明设的应沿管道或设备外壳敷设，暗设的在接线处外部应有接地标志；</w:t>
            </w:r>
          </w:p>
          <w:p>
            <w:pPr>
              <w:autoSpaceDE w:val="0"/>
              <w:autoSpaceDN w:val="0"/>
              <w:adjustRightInd w:val="0"/>
              <w:jc w:val="left"/>
              <w:rPr>
                <w:rFonts w:ascii="宋体" w:hAnsi="宋体"/>
                <w:kern w:val="0"/>
                <w:sz w:val="13"/>
                <w:szCs w:val="18"/>
              </w:rPr>
            </w:pPr>
            <w:r>
              <w:rPr>
                <w:rFonts w:ascii="宋体" w:hAnsi="宋体" w:cs="Arial"/>
                <w:kern w:val="0"/>
                <w:sz w:val="13"/>
                <w:szCs w:val="18"/>
              </w:rPr>
              <w:t xml:space="preserve">PE </w:t>
            </w:r>
            <w:r>
              <w:rPr>
                <w:rFonts w:hint="eastAsia" w:ascii="宋体" w:hAnsi="宋体" w:cs="宋体"/>
                <w:kern w:val="0"/>
                <w:sz w:val="13"/>
                <w:szCs w:val="18"/>
              </w:rPr>
              <w:t>线接线间不得涂漆或加绝缘垫。</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《国家电气设备安全技术规范》</w:t>
            </w:r>
            <w:r>
              <w:rPr>
                <w:rFonts w:ascii="宋体" w:hAnsi="宋体" w:cs="宋体"/>
                <w:kern w:val="0"/>
                <w:sz w:val="13"/>
                <w:szCs w:val="18"/>
              </w:rPr>
              <w:t xml:space="preserve"> GB19517-2009</w:t>
            </w:r>
          </w:p>
        </w:tc>
        <w:tc>
          <w:tcPr>
            <w:tcW w:w="1163"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电缆必须有阻燃措施。电缆桥架符合相关设计规范。如《电力工程电缆设计规范》</w:t>
            </w:r>
            <w:r>
              <w:rPr>
                <w:rFonts w:ascii="宋体" w:hAnsi="宋体" w:cs="宋体"/>
                <w:kern w:val="0"/>
                <w:sz w:val="13"/>
                <w:szCs w:val="18"/>
              </w:rPr>
              <w:t>GB 50217-2007</w:t>
            </w:r>
          </w:p>
        </w:tc>
        <w:tc>
          <w:tcPr>
            <w:tcW w:w="2715" w:type="dxa"/>
          </w:tcPr>
          <w:p>
            <w:pPr>
              <w:autoSpaceDE w:val="0"/>
              <w:autoSpaceDN w:val="0"/>
              <w:adjustRightInd w:val="0"/>
              <w:jc w:val="left"/>
              <w:rPr>
                <w:rFonts w:ascii="宋体" w:hAnsi="宋体"/>
                <w:kern w:val="0"/>
                <w:sz w:val="13"/>
                <w:szCs w:val="18"/>
              </w:rPr>
            </w:pPr>
          </w:p>
        </w:tc>
        <w:tc>
          <w:tcPr>
            <w:tcW w:w="1163"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9</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隔离开关与相应的断路器和接地刀闸之间，应装设闭锁装置。屋内的配电装置，应装设防止误入带电间隔的设施。</w:t>
            </w:r>
          </w:p>
        </w:tc>
        <w:tc>
          <w:tcPr>
            <w:tcW w:w="2715"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35kV</w:t>
            </w:r>
            <w:r>
              <w:rPr>
                <w:rFonts w:hint="eastAsia" w:ascii="宋体" w:hAnsi="宋体" w:cs="宋体"/>
                <w:kern w:val="0"/>
                <w:sz w:val="13"/>
                <w:szCs w:val="18"/>
              </w:rPr>
              <w:t>～</w:t>
            </w:r>
            <w:r>
              <w:rPr>
                <w:rFonts w:ascii="宋体" w:hAnsi="宋体" w:cs="宋体"/>
                <w:kern w:val="0"/>
                <w:sz w:val="13"/>
                <w:szCs w:val="18"/>
              </w:rPr>
              <w:t>110kV</w:t>
            </w:r>
            <w:r>
              <w:rPr>
                <w:rFonts w:hint="eastAsia" w:ascii="宋体" w:hAnsi="宋体" w:cs="宋体"/>
                <w:kern w:val="0"/>
                <w:sz w:val="13"/>
                <w:szCs w:val="18"/>
              </w:rPr>
              <w:t>变电站设计规范》</w:t>
            </w:r>
            <w:r>
              <w:rPr>
                <w:rFonts w:ascii="宋体" w:hAnsi="宋体" w:cs="宋体"/>
                <w:kern w:val="0"/>
                <w:sz w:val="13"/>
                <w:szCs w:val="18"/>
              </w:rPr>
              <w:t>GB50059-92</w:t>
            </w:r>
            <w:r>
              <w:rPr>
                <w:rFonts w:hint="eastAsia" w:ascii="宋体" w:hAnsi="宋体" w:cs="宋体"/>
                <w:kern w:val="0"/>
                <w:sz w:val="13"/>
                <w:szCs w:val="18"/>
              </w:rPr>
              <w:t xml:space="preserve"> </w:t>
            </w:r>
            <w:r>
              <w:rPr>
                <w:rFonts w:ascii="宋体" w:hAnsi="宋体" w:cs="宋体"/>
                <w:kern w:val="0"/>
                <w:sz w:val="13"/>
                <w:szCs w:val="18"/>
              </w:rPr>
              <w:t>3.5.3</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10</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重要作业场所如消防泵房及其配电室、控制室、变配电室、需人工操作的泡沫站等场所应设置有事故应急照明。</w:t>
            </w:r>
          </w:p>
        </w:tc>
        <w:tc>
          <w:tcPr>
            <w:tcW w:w="2715"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GB50160-2008</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工艺装置内露天布置的塔、容器等，当顶板厚度等于或大于</w:t>
            </w:r>
            <w:r>
              <w:rPr>
                <w:rFonts w:ascii="宋体" w:hAnsi="宋体" w:cs="宋体"/>
                <w:kern w:val="0"/>
                <w:sz w:val="13"/>
                <w:szCs w:val="18"/>
              </w:rPr>
              <w:t>4mm</w:t>
            </w:r>
            <w:r>
              <w:rPr>
                <w:rFonts w:hint="eastAsia" w:ascii="宋体" w:hAnsi="宋体" w:cs="宋体"/>
                <w:kern w:val="0"/>
                <w:sz w:val="13"/>
                <w:szCs w:val="18"/>
              </w:rPr>
              <w:t>时，可不设避雷针保护，但必须设防雷接地。</w:t>
            </w:r>
          </w:p>
        </w:tc>
        <w:tc>
          <w:tcPr>
            <w:tcW w:w="2715" w:type="dxa"/>
          </w:tcPr>
          <w:p>
            <w:pPr>
              <w:autoSpaceDE w:val="0"/>
              <w:autoSpaceDN w:val="0"/>
              <w:adjustRightInd w:val="0"/>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w:t>
            </w:r>
            <w:r>
              <w:rPr>
                <w:rFonts w:ascii="宋体" w:hAnsi="宋体" w:cs="宋体"/>
                <w:kern w:val="0"/>
                <w:sz w:val="13"/>
                <w:szCs w:val="18"/>
              </w:rPr>
              <w:t>9.2.2</w:t>
            </w:r>
          </w:p>
        </w:tc>
        <w:tc>
          <w:tcPr>
            <w:tcW w:w="1163" w:type="dxa"/>
            <w:vMerge w:val="restart"/>
          </w:tcPr>
          <w:p>
            <w:pPr>
              <w:rPr>
                <w:rFonts w:ascii="宋体" w:hAnsi="宋体" w:cs="宋体"/>
                <w:kern w:val="0"/>
                <w:sz w:val="13"/>
                <w:szCs w:val="18"/>
              </w:rPr>
            </w:pPr>
            <w:r>
              <w:rPr>
                <w:rFonts w:hint="eastAsia" w:ascii="宋体" w:hAnsi="宋体" w:cs="宋体"/>
                <w:kern w:val="0"/>
                <w:sz w:val="13"/>
                <w:szCs w:val="18"/>
              </w:rPr>
              <w:t>1次/季度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可燃气体、液化烃、可燃液体的钢罐，必须设防雷接地，</w:t>
            </w:r>
            <w:r>
              <w:rPr>
                <w:rFonts w:ascii="宋体" w:hAnsi="宋体" w:cs="宋体"/>
                <w:kern w:val="0"/>
                <w:sz w:val="13"/>
                <w:szCs w:val="18"/>
              </w:rPr>
              <w:t xml:space="preserve"> </w:t>
            </w:r>
            <w:r>
              <w:rPr>
                <w:rFonts w:hint="eastAsia" w:ascii="宋体" w:hAnsi="宋体" w:cs="宋体"/>
                <w:kern w:val="0"/>
                <w:sz w:val="13"/>
                <w:szCs w:val="18"/>
              </w:rPr>
              <w:t>并应符合下列规定：</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甲</w:t>
            </w:r>
            <w:r>
              <w:rPr>
                <w:rFonts w:ascii="宋体" w:hAnsi="宋体" w:cs="宋体"/>
                <w:kern w:val="0"/>
                <w:sz w:val="13"/>
                <w:szCs w:val="18"/>
              </w:rPr>
              <w:t>B</w:t>
            </w:r>
            <w:r>
              <w:rPr>
                <w:rFonts w:hint="eastAsia" w:ascii="宋体" w:hAnsi="宋体" w:cs="宋体"/>
                <w:kern w:val="0"/>
                <w:sz w:val="13"/>
                <w:szCs w:val="18"/>
              </w:rPr>
              <w:t>、乙类可燃液体地上固定顶罐，当顶板厚度小于</w:t>
            </w:r>
            <w:r>
              <w:rPr>
                <w:rFonts w:ascii="宋体" w:hAnsi="宋体" w:cs="宋体"/>
                <w:kern w:val="0"/>
                <w:sz w:val="13"/>
                <w:szCs w:val="18"/>
              </w:rPr>
              <w:t xml:space="preserve">4mm </w:t>
            </w:r>
            <w:r>
              <w:rPr>
                <w:rFonts w:hint="eastAsia" w:ascii="宋体" w:hAnsi="宋体" w:cs="宋体"/>
                <w:kern w:val="0"/>
                <w:sz w:val="13"/>
                <w:szCs w:val="18"/>
              </w:rPr>
              <w:t>时应设避雷针、线，其保护范围应包括整个储罐；</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丙类液体储罐，可不设避雷针、线，但必须设防感应雷接地；</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浮顶罐</w:t>
            </w:r>
            <w:r>
              <w:rPr>
                <w:rFonts w:ascii="宋体" w:hAnsi="宋体" w:cs="宋体"/>
                <w:kern w:val="0"/>
                <w:sz w:val="13"/>
                <w:szCs w:val="18"/>
              </w:rPr>
              <w:t>(</w:t>
            </w:r>
            <w:r>
              <w:rPr>
                <w:rFonts w:hint="eastAsia" w:ascii="宋体" w:hAnsi="宋体" w:cs="宋体"/>
                <w:kern w:val="0"/>
                <w:sz w:val="13"/>
                <w:szCs w:val="18"/>
              </w:rPr>
              <w:t>含内浮顶罐</w:t>
            </w:r>
            <w:r>
              <w:rPr>
                <w:rFonts w:ascii="宋体" w:hAnsi="宋体" w:cs="宋体"/>
                <w:kern w:val="0"/>
                <w:sz w:val="13"/>
                <w:szCs w:val="18"/>
              </w:rPr>
              <w:t>)</w:t>
            </w:r>
            <w:r>
              <w:rPr>
                <w:rFonts w:hint="eastAsia" w:ascii="宋体" w:hAnsi="宋体" w:cs="宋体"/>
                <w:kern w:val="0"/>
                <w:sz w:val="13"/>
                <w:szCs w:val="18"/>
              </w:rPr>
              <w:t>可不设避雷针、线，但应将浮顶</w:t>
            </w:r>
            <w:r>
              <w:rPr>
                <w:rFonts w:ascii="宋体" w:hAnsi="宋体" w:cs="宋体"/>
                <w:kern w:val="0"/>
                <w:sz w:val="13"/>
                <w:szCs w:val="18"/>
              </w:rPr>
              <w:t xml:space="preserve"> </w:t>
            </w:r>
            <w:r>
              <w:rPr>
                <w:rFonts w:hint="eastAsia" w:ascii="宋体" w:hAnsi="宋体" w:cs="宋体"/>
                <w:kern w:val="0"/>
                <w:sz w:val="13"/>
                <w:szCs w:val="18"/>
              </w:rPr>
              <w:t>与罐体用两根截面不小于</w:t>
            </w:r>
            <w:r>
              <w:rPr>
                <w:rFonts w:ascii="宋体" w:hAnsi="宋体" w:cs="宋体"/>
                <w:kern w:val="0"/>
                <w:sz w:val="13"/>
                <w:szCs w:val="18"/>
              </w:rPr>
              <w:t>25mm2</w:t>
            </w:r>
            <w:r>
              <w:rPr>
                <w:rFonts w:hint="eastAsia" w:ascii="宋体" w:hAnsi="宋体" w:cs="宋体"/>
                <w:kern w:val="0"/>
                <w:sz w:val="13"/>
                <w:szCs w:val="18"/>
              </w:rPr>
              <w:t>的软铜线作电气连接；</w:t>
            </w:r>
          </w:p>
          <w:p>
            <w:pPr>
              <w:autoSpaceDE w:val="0"/>
              <w:autoSpaceDN w:val="0"/>
              <w:adjustRightInd w:val="0"/>
              <w:jc w:val="left"/>
              <w:rPr>
                <w:rFonts w:ascii="宋体" w:hAnsi="宋体"/>
                <w:kern w:val="0"/>
                <w:sz w:val="13"/>
                <w:szCs w:val="18"/>
              </w:rPr>
            </w:pPr>
            <w:r>
              <w:rPr>
                <w:rFonts w:ascii="宋体" w:hAnsi="宋体" w:cs="宋体"/>
                <w:kern w:val="0"/>
                <w:sz w:val="13"/>
                <w:szCs w:val="18"/>
              </w:rPr>
              <w:t>4</w:t>
            </w:r>
            <w:r>
              <w:rPr>
                <w:rFonts w:hint="eastAsia" w:ascii="宋体" w:hAnsi="宋体" w:cs="宋体"/>
                <w:kern w:val="0"/>
                <w:sz w:val="13"/>
                <w:szCs w:val="18"/>
              </w:rPr>
              <w:t>、压力储罐不设避雷针、线，但应作接地。</w:t>
            </w:r>
          </w:p>
        </w:tc>
        <w:tc>
          <w:tcPr>
            <w:tcW w:w="2715" w:type="dxa"/>
          </w:tcPr>
          <w:p>
            <w:pPr>
              <w:autoSpaceDE w:val="0"/>
              <w:autoSpaceDN w:val="0"/>
              <w:adjustRightInd w:val="0"/>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w:t>
            </w:r>
            <w:r>
              <w:rPr>
                <w:rFonts w:ascii="宋体" w:hAnsi="宋体" w:cs="宋体"/>
                <w:kern w:val="0"/>
                <w:sz w:val="13"/>
                <w:szCs w:val="18"/>
              </w:rPr>
              <w:t>9.2.3</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可燃液体储罐的温度、液位等测量装置，应采用铠装电缆或钢管配线，电缆外皮或配线钢管与罐体应作电气连接。</w:t>
            </w:r>
          </w:p>
        </w:tc>
        <w:tc>
          <w:tcPr>
            <w:tcW w:w="2715"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w:t>
            </w:r>
            <w:r>
              <w:rPr>
                <w:rFonts w:ascii="宋体" w:hAnsi="宋体" w:cs="宋体"/>
                <w:kern w:val="0"/>
                <w:sz w:val="13"/>
                <w:szCs w:val="18"/>
              </w:rPr>
              <w:t>9.2.4</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宜按照</w:t>
            </w:r>
            <w:r>
              <w:rPr>
                <w:rFonts w:ascii="宋体" w:hAnsi="宋体" w:cs="宋体"/>
                <w:kern w:val="0"/>
                <w:sz w:val="13"/>
                <w:szCs w:val="18"/>
              </w:rPr>
              <w:t>SH9037-2000</w:t>
            </w:r>
            <w:r>
              <w:rPr>
                <w:rFonts w:hint="eastAsia" w:ascii="宋体" w:hAnsi="宋体" w:cs="宋体"/>
                <w:kern w:val="0"/>
                <w:sz w:val="13"/>
                <w:szCs w:val="18"/>
              </w:rPr>
              <w:t>在输送易燃物料的设备、管道安装防静电设施。</w:t>
            </w:r>
          </w:p>
        </w:tc>
        <w:tc>
          <w:tcPr>
            <w:tcW w:w="2715"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AQ</w:t>
            </w:r>
            <w:r>
              <w:rPr>
                <w:rFonts w:hint="eastAsia" w:ascii="宋体" w:hAnsi="宋体" w:cs="宋体"/>
                <w:kern w:val="0"/>
                <w:sz w:val="13"/>
                <w:szCs w:val="18"/>
              </w:rPr>
              <w:t xml:space="preserve"> </w:t>
            </w:r>
            <w:r>
              <w:rPr>
                <w:rFonts w:ascii="宋体" w:hAnsi="宋体" w:cs="宋体"/>
                <w:kern w:val="0"/>
                <w:sz w:val="13"/>
                <w:szCs w:val="18"/>
              </w:rPr>
              <w:t>3013-2008</w:t>
            </w:r>
            <w:r>
              <w:rPr>
                <w:rFonts w:hint="eastAsia" w:ascii="宋体" w:hAnsi="宋体" w:cs="宋体"/>
                <w:kern w:val="0"/>
                <w:sz w:val="13"/>
                <w:szCs w:val="18"/>
              </w:rPr>
              <w:t xml:space="preserve">  第</w:t>
            </w:r>
            <w:r>
              <w:rPr>
                <w:rFonts w:ascii="宋体" w:hAnsi="宋体" w:cs="宋体"/>
                <w:kern w:val="0"/>
                <w:sz w:val="13"/>
                <w:szCs w:val="18"/>
              </w:rPr>
              <w:t xml:space="preserve"> 5.5.2</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在聚烯烃树脂处理系统、输送系统和料仓区应设置静电接地系统，不得出现不接地的孤立导体。</w:t>
            </w:r>
          </w:p>
        </w:tc>
        <w:tc>
          <w:tcPr>
            <w:tcW w:w="2715"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第</w:t>
            </w:r>
            <w:r>
              <w:rPr>
                <w:rFonts w:ascii="宋体" w:hAnsi="宋体" w:cs="宋体"/>
                <w:kern w:val="0"/>
                <w:sz w:val="13"/>
                <w:szCs w:val="18"/>
              </w:rPr>
              <w:t xml:space="preserve"> 9.3.2</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可燃气体、液化烃、可燃液体、可燃固体的管道在下列部位应设静电接地设施：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进出装置或设施处；</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爆炸危险场所的边界；</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管道泵及泵入口永久过滤器、缓冲器等。</w:t>
            </w:r>
          </w:p>
        </w:tc>
        <w:tc>
          <w:tcPr>
            <w:tcW w:w="2715"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第</w:t>
            </w:r>
            <w:r>
              <w:rPr>
                <w:rFonts w:ascii="宋体" w:hAnsi="宋体" w:cs="宋体"/>
                <w:kern w:val="0"/>
                <w:sz w:val="13"/>
                <w:szCs w:val="18"/>
              </w:rPr>
              <w:t xml:space="preserve"> 9.3.3</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汽车罐车、铁路罐车和装卸场所，应设防静电专用接地线。</w:t>
            </w:r>
          </w:p>
        </w:tc>
        <w:tc>
          <w:tcPr>
            <w:tcW w:w="2715"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第</w:t>
            </w:r>
            <w:r>
              <w:rPr>
                <w:rFonts w:ascii="宋体" w:hAnsi="宋体" w:cs="宋体"/>
                <w:kern w:val="0"/>
                <w:sz w:val="13"/>
                <w:szCs w:val="18"/>
              </w:rPr>
              <w:t xml:space="preserve"> 9.3.5</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可燃液体、液化烃的装卸栈台和码头的管道、设备、建</w:t>
            </w:r>
            <w:r>
              <w:rPr>
                <w:rFonts w:ascii="宋体" w:hAnsi="宋体" w:cs="宋体"/>
                <w:kern w:val="0"/>
                <w:sz w:val="13"/>
                <w:szCs w:val="18"/>
              </w:rPr>
              <w:t xml:space="preserve"> </w:t>
            </w:r>
            <w:r>
              <w:rPr>
                <w:rFonts w:hint="eastAsia" w:ascii="宋体" w:hAnsi="宋体" w:cs="宋体"/>
                <w:kern w:val="0"/>
                <w:sz w:val="13"/>
                <w:szCs w:val="18"/>
              </w:rPr>
              <w:t>筑物、构筑物的金属构件和铁路钢轨等（作阴极保护者除外），均应作电气连接并接地。</w:t>
            </w:r>
          </w:p>
        </w:tc>
        <w:tc>
          <w:tcPr>
            <w:tcW w:w="2715"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第</w:t>
            </w:r>
            <w:r>
              <w:rPr>
                <w:rFonts w:ascii="宋体" w:hAnsi="宋体" w:cs="宋体"/>
                <w:kern w:val="0"/>
                <w:sz w:val="13"/>
                <w:szCs w:val="18"/>
              </w:rPr>
              <w:t xml:space="preserve"> 9.3.4</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四、现场安全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企业变配电设备设施、电气设备、电气线路、及工作接地、保护接地、防雷击、防静电接地系统等应完好有效，功能正常。</w:t>
            </w:r>
          </w:p>
        </w:tc>
        <w:tc>
          <w:tcPr>
            <w:tcW w:w="2715" w:type="dxa"/>
          </w:tcPr>
          <w:p>
            <w:pPr>
              <w:autoSpaceDE w:val="0"/>
              <w:autoSpaceDN w:val="0"/>
              <w:adjustRightInd w:val="0"/>
              <w:jc w:val="left"/>
              <w:rPr>
                <w:rFonts w:ascii="宋体" w:hAnsi="宋体" w:cs="宋体"/>
                <w:kern w:val="0"/>
                <w:sz w:val="13"/>
                <w:szCs w:val="18"/>
              </w:rPr>
            </w:pPr>
          </w:p>
        </w:tc>
        <w:tc>
          <w:tcPr>
            <w:tcW w:w="1163" w:type="dxa"/>
            <w:vMerge w:val="restart"/>
          </w:tcPr>
          <w:p>
            <w:pPr>
              <w:rPr>
                <w:rFonts w:ascii="宋体" w:hAnsi="宋体" w:cs="宋体"/>
                <w:kern w:val="0"/>
                <w:sz w:val="13"/>
                <w:szCs w:val="18"/>
              </w:rPr>
            </w:pPr>
            <w:r>
              <w:rPr>
                <w:rFonts w:hint="eastAsia" w:ascii="宋体" w:hAnsi="宋体" w:cs="宋体"/>
                <w:kern w:val="0"/>
                <w:sz w:val="13"/>
                <w:szCs w:val="18"/>
              </w:rPr>
              <w:t>1次/月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主控室有模拟系统图，与实际相符。高压室钥匙按要求配备，严格管理。</w:t>
            </w:r>
          </w:p>
        </w:tc>
        <w:tc>
          <w:tcPr>
            <w:tcW w:w="2715" w:type="dxa"/>
          </w:tcPr>
          <w:p>
            <w:pPr>
              <w:autoSpaceDE w:val="0"/>
              <w:autoSpaceDN w:val="0"/>
              <w:adjustRightInd w:val="0"/>
              <w:jc w:val="left"/>
              <w:rPr>
                <w:rFonts w:ascii="宋体" w:hAnsi="宋体" w:cs="宋体"/>
                <w:kern w:val="0"/>
                <w:sz w:val="13"/>
                <w:szCs w:val="18"/>
              </w:rPr>
            </w:pP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用电设备和电气线路的周围应留有足够的安全通道和工作空间。且不应堆放易燃、易爆和腐蚀性物品。</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《用电安全导则》第</w:t>
            </w:r>
            <w:r>
              <w:rPr>
                <w:rFonts w:ascii="宋体" w:hAnsi="宋体" w:cs="宋体"/>
                <w:kern w:val="0"/>
                <w:sz w:val="13"/>
                <w:szCs w:val="18"/>
              </w:rPr>
              <w:t xml:space="preserve"> 6.5</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电缆必须有阻燃措施。电缆沟防窜油汽、防腐蚀、防水措施落实；电缆隧道防火、防沉陷措施落实。</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企业管理制度</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临时电源、手持式电动工具、施工电源、插座回路均应采用</w:t>
            </w:r>
            <w:r>
              <w:rPr>
                <w:rFonts w:ascii="宋体" w:hAnsi="宋体" w:cs="宋体"/>
                <w:kern w:val="0"/>
                <w:sz w:val="13"/>
                <w:szCs w:val="18"/>
              </w:rPr>
              <w:t>TN</w:t>
            </w:r>
            <w:r>
              <w:rPr>
                <w:rFonts w:hint="eastAsia" w:ascii="宋体" w:hAnsi="宋体" w:cs="宋体"/>
                <w:kern w:val="0"/>
                <w:sz w:val="13"/>
                <w:szCs w:val="18"/>
              </w:rPr>
              <w:t>－</w:t>
            </w:r>
            <w:r>
              <w:rPr>
                <w:rFonts w:ascii="宋体" w:hAnsi="宋体" w:cs="宋体"/>
                <w:kern w:val="0"/>
                <w:sz w:val="13"/>
                <w:szCs w:val="18"/>
              </w:rPr>
              <w:t>S</w:t>
            </w:r>
            <w:r>
              <w:rPr>
                <w:rFonts w:hint="eastAsia" w:ascii="宋体" w:hAnsi="宋体" w:cs="宋体"/>
                <w:kern w:val="0"/>
                <w:sz w:val="13"/>
                <w:szCs w:val="18"/>
              </w:rPr>
              <w:t>供电方式，并采用剩余电流动作保护装置。</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《变配电室安全管理规范》</w:t>
            </w:r>
            <w:r>
              <w:rPr>
                <w:rFonts w:ascii="宋体" w:hAnsi="宋体" w:cs="宋体"/>
                <w:kern w:val="0"/>
                <w:sz w:val="13"/>
                <w:szCs w:val="18"/>
              </w:rPr>
              <w:t xml:space="preserve"> DB11/527-2008</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暂设电源线路，应采用绝缘良好、完整无损的橡皮线，</w:t>
            </w:r>
            <w:r>
              <w:rPr>
                <w:rFonts w:ascii="宋体" w:hAnsi="宋体" w:cs="宋体"/>
                <w:kern w:val="0"/>
                <w:sz w:val="13"/>
                <w:szCs w:val="18"/>
              </w:rPr>
              <w:t xml:space="preserve"> </w:t>
            </w:r>
            <w:r>
              <w:rPr>
                <w:rFonts w:hint="eastAsia" w:ascii="宋体" w:hAnsi="宋体" w:cs="宋体"/>
                <w:kern w:val="0"/>
                <w:sz w:val="13"/>
                <w:szCs w:val="18"/>
              </w:rPr>
              <w:t>室内沿墙敷设，其高度不得低于</w:t>
            </w:r>
            <w:r>
              <w:rPr>
                <w:rFonts w:ascii="宋体" w:hAnsi="宋体" w:cs="宋体"/>
                <w:kern w:val="0"/>
                <w:sz w:val="13"/>
                <w:szCs w:val="18"/>
              </w:rPr>
              <w:t>2.5</w:t>
            </w:r>
            <w:r>
              <w:rPr>
                <w:rFonts w:hint="eastAsia" w:ascii="宋体" w:hAnsi="宋体" w:cs="宋体"/>
                <w:kern w:val="0"/>
                <w:sz w:val="13"/>
                <w:szCs w:val="18"/>
              </w:rPr>
              <w:t>米，室外跨过道路时，不得低于</w:t>
            </w:r>
            <w:r>
              <w:rPr>
                <w:rFonts w:ascii="宋体" w:hAnsi="宋体" w:cs="宋体"/>
                <w:kern w:val="0"/>
                <w:sz w:val="13"/>
                <w:szCs w:val="18"/>
              </w:rPr>
              <w:t>4.5</w:t>
            </w:r>
            <w:r>
              <w:rPr>
                <w:rFonts w:hint="eastAsia" w:ascii="宋体" w:hAnsi="宋体" w:cs="宋体"/>
                <w:kern w:val="0"/>
                <w:sz w:val="13"/>
                <w:szCs w:val="18"/>
              </w:rPr>
              <w:t>米，不允许借用暖气、水管及其他气体管道架设导线，沿地面敷设时，必须加可靠的保护装置和明显标志。</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《电气安全工作规程》</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在爆炸性气体环境内钢管配线的电气线路是否作好隔离密封。</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《爆炸和火灾危险环境电力装置设计规范》</w:t>
            </w:r>
            <w:r>
              <w:rPr>
                <w:rFonts w:ascii="宋体" w:hAnsi="宋体" w:cs="宋体"/>
                <w:kern w:val="0"/>
                <w:sz w:val="13"/>
                <w:szCs w:val="18"/>
              </w:rPr>
              <w:t>GB50058</w:t>
            </w:r>
            <w:r>
              <w:rPr>
                <w:rFonts w:hint="eastAsia" w:ascii="宋体" w:hAnsi="宋体" w:cs="宋体"/>
                <w:kern w:val="0"/>
                <w:sz w:val="13"/>
                <w:szCs w:val="18"/>
              </w:rPr>
              <w:t>－</w:t>
            </w:r>
            <w:r>
              <w:rPr>
                <w:rFonts w:ascii="宋体" w:hAnsi="宋体" w:cs="宋体"/>
                <w:kern w:val="0"/>
                <w:sz w:val="13"/>
                <w:szCs w:val="18"/>
              </w:rPr>
              <w:t>92</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第</w:t>
            </w:r>
            <w:r>
              <w:rPr>
                <w:rFonts w:ascii="宋体" w:hAnsi="宋体" w:cs="宋体"/>
                <w:kern w:val="0"/>
                <w:sz w:val="13"/>
                <w:szCs w:val="18"/>
              </w:rPr>
              <w:t xml:space="preserve"> 2.5.12</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ind w:firstLine="130" w:firstLineChars="100"/>
              <w:jc w:val="left"/>
              <w:rPr>
                <w:rFonts w:ascii="宋体" w:hAnsi="宋体"/>
                <w:kern w:val="0"/>
                <w:sz w:val="13"/>
                <w:szCs w:val="18"/>
              </w:rPr>
            </w:pPr>
            <w:r>
              <w:rPr>
                <w:rFonts w:ascii="宋体" w:hAnsi="宋体" w:cs="Arial"/>
                <w:kern w:val="0"/>
                <w:sz w:val="13"/>
                <w:szCs w:val="18"/>
              </w:rPr>
              <w:t>8</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防雷防静电接地装置的电阻应符合《石油库设计规范》</w:t>
            </w:r>
            <w:r>
              <w:rPr>
                <w:rFonts w:ascii="宋体" w:hAnsi="宋体" w:cs="宋体"/>
                <w:kern w:val="0"/>
                <w:sz w:val="13"/>
                <w:szCs w:val="18"/>
              </w:rPr>
              <w:t>GB50074</w:t>
            </w:r>
            <w:r>
              <w:rPr>
                <w:rFonts w:hint="eastAsia" w:ascii="宋体" w:hAnsi="宋体" w:cs="宋体"/>
                <w:kern w:val="0"/>
                <w:sz w:val="13"/>
                <w:szCs w:val="18"/>
              </w:rPr>
              <w:t>、</w:t>
            </w:r>
            <w:r>
              <w:rPr>
                <w:rFonts w:ascii="宋体" w:hAnsi="宋体" w:cs="宋体"/>
                <w:kern w:val="0"/>
                <w:sz w:val="13"/>
                <w:szCs w:val="18"/>
              </w:rPr>
              <w:t>GB50057</w:t>
            </w:r>
            <w:r>
              <w:rPr>
                <w:rFonts w:hint="eastAsia" w:ascii="宋体" w:hAnsi="宋体" w:cs="宋体"/>
                <w:kern w:val="0"/>
                <w:sz w:val="13"/>
                <w:szCs w:val="18"/>
              </w:rPr>
              <w:t>、</w:t>
            </w:r>
            <w:r>
              <w:rPr>
                <w:rFonts w:ascii="宋体" w:hAnsi="宋体" w:cs="宋体"/>
                <w:kern w:val="0"/>
                <w:sz w:val="13"/>
                <w:szCs w:val="18"/>
              </w:rPr>
              <w:t>G</w:t>
            </w:r>
            <w:r>
              <w:rPr>
                <w:rFonts w:hint="eastAsia" w:ascii="宋体" w:hAnsi="宋体" w:cs="宋体"/>
                <w:kern w:val="0"/>
                <w:sz w:val="13"/>
                <w:szCs w:val="18"/>
              </w:rPr>
              <w:t>B</w:t>
            </w:r>
            <w:r>
              <w:rPr>
                <w:rFonts w:ascii="宋体" w:hAnsi="宋体" w:cs="宋体"/>
                <w:kern w:val="0"/>
                <w:sz w:val="13"/>
                <w:szCs w:val="18"/>
              </w:rPr>
              <w:t xml:space="preserve">50183 </w:t>
            </w:r>
            <w:r>
              <w:rPr>
                <w:rFonts w:hint="eastAsia" w:ascii="宋体" w:hAnsi="宋体" w:cs="宋体"/>
                <w:kern w:val="0"/>
                <w:sz w:val="13"/>
                <w:szCs w:val="18"/>
              </w:rPr>
              <w:t>等相关规范的要求</w:t>
            </w:r>
          </w:p>
        </w:tc>
        <w:tc>
          <w:tcPr>
            <w:tcW w:w="2715" w:type="dxa"/>
          </w:tcPr>
          <w:p>
            <w:pPr>
              <w:rPr>
                <w:rFonts w:ascii="宋体" w:hAnsi="宋体" w:cs="宋体"/>
                <w:kern w:val="0"/>
                <w:sz w:val="13"/>
                <w:szCs w:val="18"/>
              </w:rPr>
            </w:pPr>
          </w:p>
        </w:tc>
        <w:tc>
          <w:tcPr>
            <w:tcW w:w="1163" w:type="dxa"/>
            <w:vMerge w:val="continue"/>
          </w:tcPr>
          <w:p>
            <w:pPr>
              <w:rPr>
                <w:rFonts w:ascii="宋体" w:hAnsi="宋体" w:cs="宋体"/>
                <w:kern w:val="0"/>
                <w:sz w:val="13"/>
                <w:szCs w:val="18"/>
              </w:rPr>
            </w:pPr>
          </w:p>
        </w:tc>
      </w:tr>
    </w:tbl>
    <w:p>
      <w:pPr>
        <w:rPr>
          <w:sz w:val="16"/>
        </w:rPr>
      </w:pPr>
    </w:p>
    <w:p>
      <w:pPr>
        <w:pStyle w:val="3"/>
        <w:rPr>
          <w:rFonts w:hint="default"/>
          <w:sz w:val="21"/>
          <w:szCs w:val="28"/>
        </w:rPr>
      </w:pPr>
      <w:bookmarkStart w:id="126" w:name="_Toc11921488"/>
      <w:r>
        <w:rPr>
          <w:sz w:val="21"/>
          <w:szCs w:val="28"/>
        </w:rPr>
        <w:t>6 仪表隐患排查表</w:t>
      </w:r>
      <w:bookmarkEnd w:id="126"/>
    </w:p>
    <w:tbl>
      <w:tblPr>
        <w:tblStyle w:val="11"/>
        <w:tblW w:w="858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4234"/>
        <w:gridCol w:w="2714"/>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66"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34"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14"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7"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一、仪表安全管理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企业应建立、健全仪表管理制度和台帐。包括检查、维护、使用、检定等制度及各类仪表台账；</w:t>
            </w:r>
          </w:p>
        </w:tc>
        <w:tc>
          <w:tcPr>
            <w:tcW w:w="2714" w:type="dxa"/>
          </w:tcPr>
          <w:p>
            <w:pPr>
              <w:rPr>
                <w:rFonts w:ascii="宋体" w:hAnsi="宋体" w:cs="宋体"/>
                <w:kern w:val="0"/>
                <w:sz w:val="13"/>
                <w:szCs w:val="18"/>
              </w:rPr>
            </w:pPr>
          </w:p>
        </w:tc>
        <w:tc>
          <w:tcPr>
            <w:tcW w:w="1167"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仪表调试、维护及检测记录齐全</w:t>
            </w:r>
            <w:r>
              <w:rPr>
                <w:rFonts w:ascii="宋体" w:hAnsi="宋体" w:cs="Arial"/>
                <w:kern w:val="0"/>
                <w:sz w:val="13"/>
                <w:szCs w:val="18"/>
              </w:rPr>
              <w:t>,</w:t>
            </w:r>
            <w:r>
              <w:rPr>
                <w:rFonts w:hint="eastAsia" w:ascii="宋体" w:hAnsi="宋体" w:cs="宋体"/>
                <w:kern w:val="0"/>
                <w:sz w:val="13"/>
                <w:szCs w:val="18"/>
              </w:rPr>
              <w:t>主要包括：</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仪表定期校验、回路调试记录；</w:t>
            </w:r>
          </w:p>
          <w:p>
            <w:pPr>
              <w:autoSpaceDE w:val="0"/>
              <w:autoSpaceDN w:val="0"/>
              <w:adjustRightInd w:val="0"/>
              <w:jc w:val="left"/>
              <w:rPr>
                <w:rFonts w:ascii="宋体" w:hAnsi="宋体"/>
                <w:kern w:val="0"/>
                <w:sz w:val="13"/>
                <w:szCs w:val="18"/>
              </w:rPr>
            </w:pPr>
            <w:r>
              <w:rPr>
                <w:rFonts w:ascii="宋体" w:hAnsi="宋体" w:cs="Arial"/>
                <w:kern w:val="0"/>
                <w:sz w:val="13"/>
                <w:szCs w:val="18"/>
              </w:rPr>
              <w:t>2.</w:t>
            </w:r>
            <w:r>
              <w:rPr>
                <w:rFonts w:hint="eastAsia" w:ascii="宋体" w:hAnsi="宋体" w:cs="宋体"/>
                <w:kern w:val="0"/>
                <w:sz w:val="13"/>
                <w:szCs w:val="18"/>
              </w:rPr>
              <w:t>检测仪表和控制系统检维护记录等齐全。</w:t>
            </w:r>
          </w:p>
        </w:tc>
        <w:tc>
          <w:tcPr>
            <w:tcW w:w="2714" w:type="dxa"/>
          </w:tcPr>
          <w:p>
            <w:pPr>
              <w:rPr>
                <w:rFonts w:ascii="宋体" w:hAnsi="宋体" w:cs="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控制系统管理满足以下要求：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控制方案变更应办理审批手续；</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控制系统故障处理、检修及组态修改记录应齐全；</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控制系统建立有事故应急预案。</w:t>
            </w:r>
          </w:p>
        </w:tc>
        <w:tc>
          <w:tcPr>
            <w:tcW w:w="2714" w:type="dxa"/>
          </w:tcPr>
          <w:p>
            <w:pPr>
              <w:rPr>
                <w:rFonts w:ascii="宋体" w:hAnsi="宋体" w:cs="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可燃气体、有毒气体检测报警器管理应满足以下要求：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有可燃、有毒气体检测器检测点布置图；</w:t>
            </w:r>
          </w:p>
          <w:p>
            <w:pPr>
              <w:autoSpaceDE w:val="0"/>
              <w:autoSpaceDN w:val="0"/>
              <w:adjustRightInd w:val="0"/>
              <w:jc w:val="left"/>
              <w:rPr>
                <w:rFonts w:ascii="宋体" w:hAnsi="宋体"/>
                <w:kern w:val="0"/>
                <w:sz w:val="13"/>
                <w:szCs w:val="18"/>
              </w:rPr>
            </w:pPr>
            <w:r>
              <w:rPr>
                <w:rFonts w:ascii="宋体" w:hAnsi="宋体" w:cs="Arial"/>
                <w:kern w:val="0"/>
                <w:sz w:val="13"/>
                <w:szCs w:val="18"/>
              </w:rPr>
              <w:t>2.</w:t>
            </w:r>
            <w:r>
              <w:rPr>
                <w:rFonts w:hint="eastAsia" w:ascii="宋体" w:hAnsi="宋体" w:cs="宋体"/>
                <w:kern w:val="0"/>
                <w:sz w:val="13"/>
                <w:szCs w:val="18"/>
              </w:rPr>
              <w:t>可燃、有毒气体报警按规定周期进行校准和检定，检定人有效资质证书。</w:t>
            </w:r>
          </w:p>
        </w:tc>
        <w:tc>
          <w:tcPr>
            <w:tcW w:w="2714" w:type="dxa"/>
          </w:tcPr>
          <w:p>
            <w:pPr>
              <w:rPr>
                <w:rFonts w:ascii="宋体" w:hAnsi="宋体" w:cs="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联锁保护系统的管理应满足：</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联锁逻辑图、定期维修校验记录、临时停用记录等技术资料齐全；</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工艺和设备联锁回路调试记录；</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联锁保护系统（设定值、联锁程序、联锁方式、取</w:t>
            </w:r>
            <w:r>
              <w:rPr>
                <w:rFonts w:ascii="宋体" w:hAnsi="宋体" w:cs="宋体"/>
                <w:kern w:val="0"/>
                <w:sz w:val="13"/>
                <w:szCs w:val="18"/>
              </w:rPr>
              <w:t xml:space="preserve"> </w:t>
            </w:r>
            <w:r>
              <w:rPr>
                <w:rFonts w:hint="eastAsia" w:ascii="宋体" w:hAnsi="宋体" w:cs="宋体"/>
                <w:kern w:val="0"/>
                <w:sz w:val="13"/>
                <w:szCs w:val="18"/>
              </w:rPr>
              <w:t>消）变更应办理审批手续；</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联锁摘除和恢复应办理工作票，有部门会签和领导签批手续；</w:t>
            </w:r>
          </w:p>
          <w:p>
            <w:pPr>
              <w:autoSpaceDE w:val="0"/>
              <w:autoSpaceDN w:val="0"/>
              <w:adjustRightInd w:val="0"/>
              <w:jc w:val="left"/>
              <w:rPr>
                <w:rFonts w:ascii="宋体" w:hAnsi="宋体"/>
                <w:kern w:val="0"/>
                <w:sz w:val="13"/>
                <w:szCs w:val="18"/>
              </w:rPr>
            </w:pPr>
            <w:r>
              <w:rPr>
                <w:rFonts w:ascii="宋体" w:hAnsi="宋体" w:cs="Arial"/>
                <w:kern w:val="0"/>
                <w:sz w:val="13"/>
                <w:szCs w:val="18"/>
              </w:rPr>
              <w:t>5.</w:t>
            </w:r>
            <w:r>
              <w:rPr>
                <w:rFonts w:hint="eastAsia" w:ascii="宋体" w:hAnsi="宋体" w:cs="宋体"/>
                <w:kern w:val="0"/>
                <w:sz w:val="13"/>
                <w:szCs w:val="18"/>
              </w:rPr>
              <w:t>摘除联锁保护系统应有防范措施及整改方案。</w:t>
            </w:r>
          </w:p>
        </w:tc>
        <w:tc>
          <w:tcPr>
            <w:tcW w:w="2714" w:type="dxa"/>
          </w:tcPr>
          <w:p>
            <w:pPr>
              <w:rPr>
                <w:rFonts w:ascii="宋体" w:hAnsi="宋体" w:cs="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二、仪表系统设置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危险化工工艺的安全仪表控制应按照《首批重点监管</w:t>
            </w:r>
            <w:r>
              <w:rPr>
                <w:rFonts w:ascii="宋体" w:hAnsi="宋体" w:cs="宋体"/>
                <w:kern w:val="0"/>
                <w:sz w:val="13"/>
                <w:szCs w:val="18"/>
              </w:rPr>
              <w:t xml:space="preserve"> </w:t>
            </w:r>
            <w:r>
              <w:rPr>
                <w:rFonts w:hint="eastAsia" w:ascii="宋体" w:hAnsi="宋体" w:cs="宋体"/>
                <w:kern w:val="0"/>
                <w:sz w:val="13"/>
                <w:szCs w:val="18"/>
              </w:rPr>
              <w:t>的危险化工工艺目录》和《首批重点监管的危险化工</w:t>
            </w:r>
            <w:r>
              <w:rPr>
                <w:rFonts w:ascii="宋体" w:hAnsi="宋体" w:cs="宋体"/>
                <w:kern w:val="0"/>
                <w:sz w:val="13"/>
                <w:szCs w:val="18"/>
              </w:rPr>
              <w:t xml:space="preserve"> </w:t>
            </w:r>
            <w:r>
              <w:rPr>
                <w:rFonts w:hint="eastAsia" w:ascii="宋体" w:hAnsi="宋体" w:cs="宋体"/>
                <w:kern w:val="0"/>
                <w:sz w:val="13"/>
                <w:szCs w:val="18"/>
              </w:rPr>
              <w:t>工艺安全控制要求、重点监控参数及推荐的控制方案》（安监总管三〔</w:t>
            </w:r>
            <w:r>
              <w:rPr>
                <w:rFonts w:ascii="宋体" w:hAnsi="宋体" w:cs="宋体"/>
                <w:kern w:val="0"/>
                <w:sz w:val="13"/>
                <w:szCs w:val="18"/>
              </w:rPr>
              <w:t>2009</w:t>
            </w:r>
            <w:r>
              <w:rPr>
                <w:rFonts w:hint="eastAsia" w:ascii="宋体" w:hAnsi="宋体" w:cs="宋体"/>
                <w:kern w:val="0"/>
                <w:sz w:val="13"/>
                <w:szCs w:val="18"/>
              </w:rPr>
              <w:t>〕</w:t>
            </w:r>
            <w:r>
              <w:rPr>
                <w:rFonts w:ascii="宋体" w:hAnsi="宋体" w:cs="宋体"/>
                <w:kern w:val="0"/>
                <w:sz w:val="13"/>
                <w:szCs w:val="18"/>
              </w:rPr>
              <w:t>116</w:t>
            </w:r>
            <w:r>
              <w:rPr>
                <w:rFonts w:hint="eastAsia" w:ascii="宋体" w:hAnsi="宋体" w:cs="宋体"/>
                <w:kern w:val="0"/>
                <w:sz w:val="13"/>
                <w:szCs w:val="18"/>
              </w:rPr>
              <w:t>号）的要求进行设置。</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《国家安全监管总局关于公布首</w:t>
            </w:r>
            <w:r>
              <w:rPr>
                <w:rFonts w:ascii="宋体" w:hAnsi="宋体" w:cs="宋体"/>
                <w:kern w:val="0"/>
                <w:sz w:val="13"/>
                <w:szCs w:val="18"/>
              </w:rPr>
              <w:t xml:space="preserve"> </w:t>
            </w:r>
            <w:r>
              <w:rPr>
                <w:rFonts w:hint="eastAsia" w:ascii="宋体" w:hAnsi="宋体" w:cs="宋体"/>
                <w:kern w:val="0"/>
                <w:sz w:val="13"/>
                <w:szCs w:val="18"/>
              </w:rPr>
              <w:t>批重点监管的危险化工工艺目录</w:t>
            </w:r>
            <w:r>
              <w:rPr>
                <w:rFonts w:ascii="宋体" w:hAnsi="宋体" w:cs="宋体"/>
                <w:kern w:val="0"/>
                <w:sz w:val="13"/>
                <w:szCs w:val="18"/>
              </w:rPr>
              <w:t xml:space="preserve"> </w:t>
            </w:r>
            <w:r>
              <w:rPr>
                <w:rFonts w:hint="eastAsia" w:ascii="宋体" w:hAnsi="宋体" w:cs="宋体"/>
                <w:kern w:val="0"/>
                <w:sz w:val="13"/>
                <w:szCs w:val="18"/>
              </w:rPr>
              <w:t>的通知》（安监总管三</w:t>
            </w:r>
            <w:r>
              <w:rPr>
                <w:rFonts w:ascii="宋体" w:hAnsi="宋体" w:cs="宋体"/>
                <w:kern w:val="0"/>
                <w:sz w:val="13"/>
                <w:szCs w:val="18"/>
              </w:rPr>
              <w:t>2009</w:t>
            </w:r>
            <w:r>
              <w:rPr>
                <w:rFonts w:hint="eastAsia" w:ascii="宋体" w:hAnsi="宋体" w:cs="宋体"/>
                <w:kern w:val="0"/>
                <w:sz w:val="13"/>
                <w:szCs w:val="18"/>
              </w:rPr>
              <w:t>〕</w:t>
            </w:r>
            <w:r>
              <w:rPr>
                <w:rFonts w:ascii="宋体" w:hAnsi="宋体" w:cs="宋体"/>
                <w:kern w:val="0"/>
                <w:sz w:val="13"/>
                <w:szCs w:val="18"/>
              </w:rPr>
              <w:t xml:space="preserve">116 </w:t>
            </w:r>
            <w:r>
              <w:rPr>
                <w:rFonts w:hint="eastAsia" w:ascii="宋体" w:hAnsi="宋体" w:cs="宋体"/>
                <w:kern w:val="0"/>
                <w:sz w:val="13"/>
                <w:szCs w:val="18"/>
              </w:rPr>
              <w:t>号）</w:t>
            </w:r>
          </w:p>
        </w:tc>
        <w:tc>
          <w:tcPr>
            <w:tcW w:w="1167"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危险化学品生产企业应按照相关规范的要求设置过程</w:t>
            </w:r>
            <w:r>
              <w:rPr>
                <w:rFonts w:ascii="宋体" w:hAnsi="宋体" w:cs="宋体"/>
                <w:kern w:val="0"/>
                <w:sz w:val="13"/>
                <w:szCs w:val="18"/>
              </w:rPr>
              <w:t xml:space="preserve"> </w:t>
            </w:r>
            <w:r>
              <w:rPr>
                <w:rFonts w:hint="eastAsia" w:ascii="宋体" w:hAnsi="宋体" w:cs="宋体"/>
                <w:kern w:val="0"/>
                <w:sz w:val="13"/>
                <w:szCs w:val="18"/>
              </w:rPr>
              <w:t>控制、安全仪表及联锁系统，并满足《石油化工安全仪表系统设计规范》</w:t>
            </w:r>
            <w:r>
              <w:rPr>
                <w:rFonts w:ascii="宋体" w:hAnsi="宋体" w:cs="宋体"/>
                <w:kern w:val="0"/>
                <w:sz w:val="13"/>
                <w:szCs w:val="18"/>
              </w:rPr>
              <w:t xml:space="preserve">SH3018-2003 </w:t>
            </w:r>
            <w:r>
              <w:rPr>
                <w:rFonts w:hint="eastAsia" w:ascii="宋体" w:hAnsi="宋体" w:cs="宋体"/>
                <w:kern w:val="0"/>
                <w:sz w:val="13"/>
                <w:szCs w:val="18"/>
              </w:rPr>
              <w:t>要求，重点排查内容：</w:t>
            </w:r>
          </w:p>
          <w:p>
            <w:pPr>
              <w:autoSpaceDE w:val="0"/>
              <w:autoSpaceDN w:val="0"/>
              <w:adjustRightInd w:val="0"/>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安全仪表系统配置：安全仪表系统独立于过程控制系统，独立完成安全保护功能。</w:t>
            </w:r>
          </w:p>
          <w:p>
            <w:pPr>
              <w:autoSpaceDE w:val="0"/>
              <w:autoSpaceDN w:val="0"/>
              <w:adjustRightInd w:val="0"/>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过程接口：输入输出卡相连接的传感器和最终执行元件应设计成故障安全型；不应采取现场总线通讯方式；若采用三取二过程信号应分别接到三个不同的输入卡；</w:t>
            </w:r>
          </w:p>
          <w:p>
            <w:pPr>
              <w:autoSpaceDE w:val="0"/>
              <w:autoSpaceDN w:val="0"/>
              <w:adjustRightInd w:val="0"/>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逻辑控制器：安全仪表系统宜采用经权威机构认证</w:t>
            </w:r>
            <w:r>
              <w:rPr>
                <w:rFonts w:ascii="宋体" w:hAnsi="宋体" w:cs="宋体"/>
                <w:kern w:val="0"/>
                <w:sz w:val="13"/>
                <w:szCs w:val="18"/>
              </w:rPr>
              <w:t xml:space="preserve"> </w:t>
            </w:r>
            <w:r>
              <w:rPr>
                <w:rFonts w:hint="eastAsia" w:ascii="宋体" w:hAnsi="宋体" w:cs="宋体"/>
                <w:kern w:val="0"/>
                <w:sz w:val="13"/>
                <w:szCs w:val="18"/>
              </w:rPr>
              <w:t>的可编程逻辑控制器；</w:t>
            </w:r>
          </w:p>
          <w:p>
            <w:pPr>
              <w:autoSpaceDE w:val="0"/>
              <w:autoSpaceDN w:val="0"/>
              <w:adjustRightInd w:val="0"/>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传感器与执行元件：安全仪表系统的传感器、最终执行元件宜单独设置；</w:t>
            </w:r>
          </w:p>
          <w:p>
            <w:pPr>
              <w:autoSpaceDE w:val="0"/>
              <w:autoSpaceDN w:val="0"/>
              <w:adjustRightInd w:val="0"/>
              <w:rPr>
                <w:rFonts w:ascii="宋体" w:hAnsi="宋体" w:cs="宋体"/>
                <w:kern w:val="0"/>
                <w:sz w:val="13"/>
                <w:szCs w:val="18"/>
              </w:rPr>
            </w:pPr>
            <w:r>
              <w:rPr>
                <w:rFonts w:ascii="宋体" w:hAnsi="宋体" w:cs="宋体"/>
                <w:kern w:val="0"/>
                <w:sz w:val="13"/>
                <w:szCs w:val="18"/>
              </w:rPr>
              <w:t>5.</w:t>
            </w:r>
            <w:r>
              <w:rPr>
                <w:rFonts w:hint="eastAsia" w:ascii="宋体" w:hAnsi="宋体" w:cs="宋体"/>
                <w:kern w:val="0"/>
                <w:sz w:val="13"/>
                <w:szCs w:val="18"/>
              </w:rPr>
              <w:t>检定与测试：传感器与执行元件应进行定期检定，检定周期随装置检修；回路投用前应进行测试并做好</w:t>
            </w:r>
            <w:r>
              <w:rPr>
                <w:rFonts w:ascii="宋体" w:hAnsi="宋体" w:cs="宋体"/>
                <w:kern w:val="0"/>
                <w:sz w:val="13"/>
                <w:szCs w:val="18"/>
              </w:rPr>
              <w:t xml:space="preserve"> </w:t>
            </w:r>
            <w:r>
              <w:rPr>
                <w:rFonts w:hint="eastAsia" w:ascii="宋体" w:hAnsi="宋体" w:cs="宋体"/>
                <w:kern w:val="0"/>
                <w:sz w:val="13"/>
                <w:szCs w:val="18"/>
              </w:rPr>
              <w:t>相关记录。</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《石油化工安全仪表系统设计规</w:t>
            </w:r>
            <w:r>
              <w:rPr>
                <w:rFonts w:ascii="宋体" w:hAnsi="宋体" w:cs="宋体"/>
                <w:kern w:val="0"/>
                <w:sz w:val="13"/>
                <w:szCs w:val="18"/>
              </w:rPr>
              <w:t xml:space="preserve"> </w:t>
            </w:r>
            <w:r>
              <w:rPr>
                <w:rFonts w:hint="eastAsia" w:ascii="宋体" w:hAnsi="宋体" w:cs="宋体"/>
                <w:kern w:val="0"/>
                <w:sz w:val="13"/>
                <w:szCs w:val="18"/>
              </w:rPr>
              <w:t>范》</w:t>
            </w:r>
            <w:r>
              <w:rPr>
                <w:rFonts w:ascii="宋体" w:hAnsi="宋体" w:cs="宋体"/>
                <w:kern w:val="0"/>
                <w:sz w:val="13"/>
                <w:szCs w:val="18"/>
              </w:rPr>
              <w:t>SH3018-2003</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下列情况仪表电源宜采用不间断电源</w:t>
            </w:r>
            <w:r>
              <w:rPr>
                <w:rFonts w:ascii="宋体" w:hAnsi="宋体" w:cs="宋体"/>
                <w:kern w:val="0"/>
                <w:sz w:val="13"/>
                <w:szCs w:val="18"/>
              </w:rPr>
              <w:t>:</w:t>
            </w:r>
          </w:p>
          <w:p>
            <w:pPr>
              <w:autoSpaceDE w:val="0"/>
              <w:autoSpaceDN w:val="0"/>
              <w:adjustRightInd w:val="0"/>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大、中型石化生产装置、重要公用工程系统及辅助</w:t>
            </w:r>
            <w:r>
              <w:rPr>
                <w:rFonts w:ascii="宋体" w:hAnsi="宋体" w:cs="宋体"/>
                <w:kern w:val="0"/>
                <w:sz w:val="13"/>
                <w:szCs w:val="18"/>
              </w:rPr>
              <w:t xml:space="preserve"> </w:t>
            </w:r>
            <w:r>
              <w:rPr>
                <w:rFonts w:hint="eastAsia" w:ascii="宋体" w:hAnsi="宋体" w:cs="宋体"/>
                <w:kern w:val="0"/>
                <w:sz w:val="13"/>
                <w:szCs w:val="18"/>
              </w:rPr>
              <w:t>生产装置；</w:t>
            </w:r>
          </w:p>
          <w:p>
            <w:pPr>
              <w:autoSpaceDE w:val="0"/>
              <w:autoSpaceDN w:val="0"/>
              <w:adjustRightInd w:val="0"/>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高温高压、有爆炸危险的生产装置；</w:t>
            </w:r>
          </w:p>
          <w:p>
            <w:pPr>
              <w:autoSpaceDE w:val="0"/>
              <w:autoSpaceDN w:val="0"/>
              <w:adjustRightInd w:val="0"/>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设置较多、较复杂信号联锁系统的生产装置；</w:t>
            </w:r>
          </w:p>
          <w:p>
            <w:pPr>
              <w:autoSpaceDE w:val="0"/>
              <w:autoSpaceDN w:val="0"/>
              <w:adjustRightInd w:val="0"/>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重要的在线分析仪表</w:t>
            </w:r>
            <w:r>
              <w:rPr>
                <w:rFonts w:ascii="宋体" w:hAnsi="宋体" w:cs="宋体"/>
                <w:kern w:val="0"/>
                <w:sz w:val="13"/>
                <w:szCs w:val="18"/>
              </w:rPr>
              <w:t>(</w:t>
            </w:r>
            <w:r>
              <w:rPr>
                <w:rFonts w:hint="eastAsia" w:ascii="宋体" w:hAnsi="宋体" w:cs="宋体"/>
                <w:kern w:val="0"/>
                <w:sz w:val="13"/>
                <w:szCs w:val="18"/>
              </w:rPr>
              <w:t>如</w:t>
            </w:r>
            <w:r>
              <w:rPr>
                <w:rFonts w:ascii="宋体" w:hAnsi="宋体" w:cs="宋体"/>
                <w:kern w:val="0"/>
                <w:sz w:val="13"/>
                <w:szCs w:val="18"/>
              </w:rPr>
              <w:t>:</w:t>
            </w:r>
            <w:r>
              <w:rPr>
                <w:rFonts w:hint="eastAsia" w:ascii="宋体" w:hAnsi="宋体" w:cs="宋体"/>
                <w:kern w:val="0"/>
                <w:sz w:val="13"/>
                <w:szCs w:val="18"/>
              </w:rPr>
              <w:t>参与控制、安全联锁</w:t>
            </w:r>
            <w:r>
              <w:rPr>
                <w:rFonts w:ascii="宋体" w:hAnsi="宋体" w:cs="宋体"/>
                <w:kern w:val="0"/>
                <w:sz w:val="13"/>
                <w:szCs w:val="18"/>
              </w:rPr>
              <w:t>)</w:t>
            </w:r>
            <w:r>
              <w:rPr>
                <w:rFonts w:hint="eastAsia" w:ascii="宋体" w:hAnsi="宋体" w:cs="宋体"/>
                <w:kern w:val="0"/>
                <w:sz w:val="13"/>
                <w:szCs w:val="18"/>
              </w:rPr>
              <w:t>；</w:t>
            </w:r>
          </w:p>
          <w:p>
            <w:pPr>
              <w:autoSpaceDE w:val="0"/>
              <w:autoSpaceDN w:val="0"/>
              <w:adjustRightInd w:val="0"/>
              <w:rPr>
                <w:rFonts w:ascii="宋体" w:hAnsi="宋体" w:cs="宋体"/>
                <w:kern w:val="0"/>
                <w:sz w:val="13"/>
                <w:szCs w:val="18"/>
              </w:rPr>
            </w:pPr>
            <w:r>
              <w:rPr>
                <w:rFonts w:ascii="宋体" w:hAnsi="宋体" w:cs="宋体"/>
                <w:kern w:val="0"/>
                <w:sz w:val="13"/>
                <w:szCs w:val="18"/>
              </w:rPr>
              <w:t>5.</w:t>
            </w:r>
            <w:r>
              <w:rPr>
                <w:rFonts w:hint="eastAsia" w:ascii="宋体" w:hAnsi="宋体" w:cs="宋体"/>
                <w:kern w:val="0"/>
                <w:sz w:val="13"/>
                <w:szCs w:val="18"/>
              </w:rPr>
              <w:t>大型压缩机、泵的监控系统。</w:t>
            </w:r>
          </w:p>
          <w:p>
            <w:pPr>
              <w:autoSpaceDE w:val="0"/>
              <w:autoSpaceDN w:val="0"/>
              <w:adjustRightInd w:val="0"/>
              <w:rPr>
                <w:rFonts w:ascii="宋体" w:hAnsi="宋体" w:cs="宋体"/>
                <w:kern w:val="0"/>
                <w:sz w:val="13"/>
                <w:szCs w:val="18"/>
              </w:rPr>
            </w:pPr>
            <w:r>
              <w:rPr>
                <w:rFonts w:ascii="宋体" w:hAnsi="宋体" w:cs="宋体"/>
                <w:kern w:val="0"/>
                <w:sz w:val="13"/>
                <w:szCs w:val="18"/>
              </w:rPr>
              <w:t>6.</w:t>
            </w:r>
            <w:r>
              <w:rPr>
                <w:rFonts w:hint="eastAsia" w:ascii="宋体" w:hAnsi="宋体" w:cs="宋体"/>
                <w:kern w:val="0"/>
                <w:sz w:val="13"/>
                <w:szCs w:val="18"/>
              </w:rPr>
              <w:t>可燃气体和有毒气体检测系统，应采用</w:t>
            </w:r>
            <w:r>
              <w:rPr>
                <w:rFonts w:ascii="宋体" w:hAnsi="宋体" w:cs="宋体"/>
                <w:kern w:val="0"/>
                <w:sz w:val="13"/>
                <w:szCs w:val="18"/>
              </w:rPr>
              <w:t>UPS</w:t>
            </w:r>
            <w:r>
              <w:rPr>
                <w:rFonts w:hint="eastAsia" w:ascii="宋体" w:hAnsi="宋体" w:cs="宋体"/>
                <w:kern w:val="0"/>
                <w:sz w:val="13"/>
                <w:szCs w:val="18"/>
              </w:rPr>
              <w:t>供电。</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《石油化工仪表供电设计规范》</w:t>
            </w:r>
            <w:r>
              <w:rPr>
                <w:rFonts w:ascii="宋体" w:hAnsi="宋体" w:cs="宋体"/>
                <w:kern w:val="0"/>
                <w:sz w:val="13"/>
                <w:szCs w:val="18"/>
              </w:rPr>
              <w:t>SH/T3082-2003</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仪表气源应满足：</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应采用清洁、干燥的空气，备用气源也可用干燥的</w:t>
            </w:r>
            <w:r>
              <w:rPr>
                <w:rFonts w:ascii="宋体" w:hAnsi="宋体" w:cs="宋体"/>
                <w:kern w:val="0"/>
                <w:sz w:val="13"/>
                <w:szCs w:val="18"/>
              </w:rPr>
              <w:t xml:space="preserve"> </w:t>
            </w:r>
            <w:r>
              <w:rPr>
                <w:rFonts w:hint="eastAsia" w:ascii="宋体" w:hAnsi="宋体" w:cs="宋体"/>
                <w:kern w:val="0"/>
                <w:sz w:val="13"/>
                <w:szCs w:val="18"/>
              </w:rPr>
              <w:t>氮气；</w:t>
            </w:r>
          </w:p>
          <w:p>
            <w:pPr>
              <w:autoSpaceDE w:val="0"/>
              <w:autoSpaceDN w:val="0"/>
              <w:adjustRightInd w:val="0"/>
              <w:jc w:val="left"/>
              <w:rPr>
                <w:rFonts w:ascii="宋体" w:hAnsi="宋体"/>
                <w:kern w:val="0"/>
                <w:sz w:val="13"/>
                <w:szCs w:val="18"/>
              </w:rPr>
            </w:pPr>
            <w:r>
              <w:rPr>
                <w:rFonts w:ascii="宋体" w:hAnsi="宋体" w:cs="Arial"/>
                <w:kern w:val="0"/>
                <w:sz w:val="13"/>
                <w:szCs w:val="18"/>
              </w:rPr>
              <w:t>2.</w:t>
            </w:r>
            <w:r>
              <w:rPr>
                <w:rFonts w:hint="eastAsia" w:ascii="宋体" w:hAnsi="宋体" w:cs="宋体"/>
                <w:kern w:val="0"/>
                <w:sz w:val="13"/>
                <w:szCs w:val="18"/>
              </w:rPr>
              <w:t>为了保证仪表气源装置的安全供气，应设置备用气源。备用气源可采用备用压缩机组、贮气罐或第二气源。</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《石油化工仪表供气设计规范》</w:t>
            </w:r>
            <w:r>
              <w:rPr>
                <w:rFonts w:ascii="宋体" w:hAnsi="宋体" w:cs="宋体"/>
                <w:kern w:val="0"/>
                <w:sz w:val="13"/>
                <w:szCs w:val="18"/>
              </w:rPr>
              <w:t>SH3020-2001</w:t>
            </w:r>
            <w:r>
              <w:rPr>
                <w:rFonts w:hint="eastAsia" w:ascii="宋体" w:hAnsi="宋体" w:cs="宋体"/>
                <w:kern w:val="0"/>
                <w:sz w:val="13"/>
                <w:szCs w:val="18"/>
              </w:rPr>
              <w:t>第</w:t>
            </w:r>
            <w:r>
              <w:rPr>
                <w:rFonts w:ascii="宋体" w:hAnsi="宋体" w:cs="宋体"/>
                <w:kern w:val="0"/>
                <w:sz w:val="13"/>
                <w:szCs w:val="18"/>
              </w:rPr>
              <w:t xml:space="preserve"> 3.0.1</w:t>
            </w:r>
            <w:r>
              <w:rPr>
                <w:rFonts w:hint="eastAsia" w:ascii="宋体" w:hAnsi="宋体" w:cs="宋体"/>
                <w:kern w:val="0"/>
                <w:sz w:val="13"/>
                <w:szCs w:val="18"/>
              </w:rPr>
              <w:t>条、第</w:t>
            </w:r>
            <w:r>
              <w:rPr>
                <w:rFonts w:ascii="宋体" w:hAnsi="宋体" w:cs="宋体"/>
                <w:kern w:val="0"/>
                <w:sz w:val="13"/>
                <w:szCs w:val="18"/>
              </w:rPr>
              <w:t xml:space="preserve">4.3.1 </w:t>
            </w:r>
            <w:r>
              <w:rPr>
                <w:rFonts w:hint="eastAsia" w:ascii="宋体" w:hAnsi="宋体" w:cs="宋体"/>
                <w:kern w:val="0"/>
                <w:sz w:val="13"/>
                <w:szCs w:val="18"/>
              </w:rPr>
              <w:t>条</w:t>
            </w:r>
          </w:p>
        </w:tc>
        <w:tc>
          <w:tcPr>
            <w:tcW w:w="1167" w:type="dxa"/>
            <w:vMerge w:val="restart"/>
          </w:tcPr>
          <w:p>
            <w:pPr>
              <w:rPr>
                <w:rFonts w:ascii="宋体" w:hAnsi="宋体" w:cs="宋体"/>
                <w:kern w:val="0"/>
                <w:sz w:val="13"/>
                <w:szCs w:val="18"/>
              </w:rPr>
            </w:pPr>
            <w:r>
              <w:rPr>
                <w:rFonts w:hint="eastAsia" w:ascii="宋体" w:hAnsi="宋体" w:cs="宋体"/>
                <w:kern w:val="0"/>
                <w:sz w:val="13"/>
                <w:szCs w:val="18"/>
              </w:rPr>
              <w:t>1次/月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安装</w:t>
            </w:r>
            <w:r>
              <w:rPr>
                <w:rFonts w:ascii="宋体" w:hAnsi="宋体" w:cs="宋体"/>
                <w:kern w:val="0"/>
                <w:sz w:val="13"/>
                <w:szCs w:val="18"/>
              </w:rPr>
              <w:t>DCS</w:t>
            </w:r>
            <w:r>
              <w:rPr>
                <w:rFonts w:hint="eastAsia" w:ascii="宋体" w:hAnsi="宋体" w:cs="宋体"/>
                <w:kern w:val="0"/>
                <w:sz w:val="13"/>
                <w:szCs w:val="18"/>
              </w:rPr>
              <w:t>、</w:t>
            </w:r>
            <w:r>
              <w:rPr>
                <w:rFonts w:ascii="宋体" w:hAnsi="宋体" w:cs="宋体"/>
                <w:kern w:val="0"/>
                <w:sz w:val="13"/>
                <w:szCs w:val="18"/>
              </w:rPr>
              <w:t>PLC</w:t>
            </w:r>
            <w:r>
              <w:rPr>
                <w:rFonts w:hint="eastAsia" w:ascii="宋体" w:hAnsi="宋体" w:cs="宋体"/>
                <w:kern w:val="0"/>
                <w:sz w:val="13"/>
                <w:szCs w:val="18"/>
              </w:rPr>
              <w:t>、</w:t>
            </w:r>
            <w:r>
              <w:rPr>
                <w:rFonts w:ascii="宋体" w:hAnsi="宋体" w:cs="宋体"/>
                <w:kern w:val="0"/>
                <w:sz w:val="13"/>
                <w:szCs w:val="18"/>
              </w:rPr>
              <w:t>SIS</w:t>
            </w:r>
            <w:r>
              <w:rPr>
                <w:rFonts w:hint="eastAsia" w:ascii="宋体" w:hAnsi="宋体" w:cs="宋体"/>
                <w:kern w:val="0"/>
                <w:sz w:val="13"/>
                <w:szCs w:val="18"/>
              </w:rPr>
              <w:t>等设备的控制室、机柜室、过程控制计算机的机房，应考虑防静电接地。这些室内的导静电地面、活动地板、工作台等应进行防静电接地。</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《石油化工仪表接地设计规范》</w:t>
            </w:r>
            <w:r>
              <w:rPr>
                <w:rFonts w:ascii="宋体" w:hAnsi="宋体" w:cs="宋体"/>
                <w:kern w:val="0"/>
                <w:sz w:val="13"/>
                <w:szCs w:val="18"/>
              </w:rPr>
              <w:t xml:space="preserve">SH/T3081-2003 </w:t>
            </w:r>
            <w:r>
              <w:rPr>
                <w:rFonts w:hint="eastAsia" w:ascii="宋体" w:hAnsi="宋体" w:cs="宋体"/>
                <w:kern w:val="0"/>
                <w:sz w:val="13"/>
                <w:szCs w:val="18"/>
              </w:rPr>
              <w:t>第</w:t>
            </w:r>
            <w:r>
              <w:rPr>
                <w:rFonts w:ascii="宋体" w:hAnsi="宋体" w:cs="宋体"/>
                <w:kern w:val="0"/>
                <w:sz w:val="13"/>
                <w:szCs w:val="18"/>
              </w:rPr>
              <w:t xml:space="preserve"> 2.4.1</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可燃气体和有毒气体检测器设置应满足《石油化工可</w:t>
            </w:r>
            <w:r>
              <w:rPr>
                <w:rFonts w:ascii="宋体" w:hAnsi="宋体" w:cs="宋体"/>
                <w:kern w:val="0"/>
                <w:sz w:val="13"/>
                <w:szCs w:val="18"/>
              </w:rPr>
              <w:t xml:space="preserve"> </w:t>
            </w:r>
            <w:r>
              <w:rPr>
                <w:rFonts w:hint="eastAsia" w:ascii="宋体" w:hAnsi="宋体" w:cs="宋体"/>
                <w:kern w:val="0"/>
                <w:sz w:val="13"/>
                <w:szCs w:val="18"/>
              </w:rPr>
              <w:t>燃气体和有毒气体检测报警设计规范》</w:t>
            </w:r>
            <w:r>
              <w:rPr>
                <w:rFonts w:ascii="宋体" w:hAnsi="宋体" w:cs="宋体"/>
                <w:kern w:val="0"/>
                <w:sz w:val="13"/>
                <w:szCs w:val="18"/>
              </w:rPr>
              <w:t>GB50493-2009</w:t>
            </w:r>
            <w:r>
              <w:rPr>
                <w:rFonts w:hint="eastAsia" w:ascii="宋体" w:hAnsi="宋体" w:cs="宋体"/>
                <w:kern w:val="0"/>
                <w:sz w:val="13"/>
                <w:szCs w:val="18"/>
              </w:rPr>
              <w:t>。</w:t>
            </w:r>
            <w:r>
              <w:rPr>
                <w:rFonts w:ascii="宋体" w:hAnsi="宋体" w:cs="宋体"/>
                <w:kern w:val="0"/>
                <w:sz w:val="13"/>
                <w:szCs w:val="18"/>
              </w:rPr>
              <w:t xml:space="preserve"> </w:t>
            </w:r>
            <w:r>
              <w:rPr>
                <w:rFonts w:hint="eastAsia" w:ascii="宋体" w:hAnsi="宋体" w:cs="宋体"/>
                <w:kern w:val="0"/>
                <w:sz w:val="13"/>
                <w:szCs w:val="18"/>
              </w:rPr>
              <w:t>排查重点：</w:t>
            </w:r>
          </w:p>
          <w:p>
            <w:pPr>
              <w:autoSpaceDE w:val="0"/>
              <w:autoSpaceDN w:val="0"/>
              <w:adjustRightInd w:val="0"/>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检测点的设置：应符合《石油化工可燃气体和有毒气体检测报警设计规范》</w:t>
            </w:r>
            <w:r>
              <w:rPr>
                <w:rFonts w:ascii="宋体" w:hAnsi="宋体" w:cs="宋体"/>
                <w:kern w:val="0"/>
                <w:sz w:val="13"/>
                <w:szCs w:val="18"/>
              </w:rPr>
              <w:t xml:space="preserve">GB50493-2009 </w:t>
            </w:r>
            <w:r>
              <w:rPr>
                <w:rFonts w:hint="eastAsia" w:ascii="宋体" w:hAnsi="宋体" w:cs="宋体"/>
                <w:kern w:val="0"/>
                <w:sz w:val="13"/>
                <w:szCs w:val="18"/>
              </w:rPr>
              <w:t>第</w:t>
            </w:r>
            <w:r>
              <w:rPr>
                <w:rFonts w:ascii="宋体" w:hAnsi="宋体" w:cs="宋体"/>
                <w:kern w:val="0"/>
                <w:sz w:val="13"/>
                <w:szCs w:val="18"/>
              </w:rPr>
              <w:t>4</w:t>
            </w:r>
            <w:r>
              <w:rPr>
                <w:rFonts w:hint="eastAsia" w:ascii="宋体" w:hAnsi="宋体" w:cs="宋体"/>
                <w:kern w:val="0"/>
                <w:sz w:val="13"/>
                <w:szCs w:val="18"/>
              </w:rPr>
              <w:t>章，第</w:t>
            </w:r>
            <w:r>
              <w:rPr>
                <w:rFonts w:ascii="宋体" w:hAnsi="宋体" w:cs="宋体"/>
                <w:kern w:val="0"/>
                <w:sz w:val="13"/>
                <w:szCs w:val="18"/>
              </w:rPr>
              <w:t>4.1</w:t>
            </w:r>
            <w:r>
              <w:rPr>
                <w:rFonts w:hint="eastAsia" w:ascii="宋体" w:hAnsi="宋体" w:cs="宋体"/>
                <w:kern w:val="0"/>
                <w:sz w:val="13"/>
                <w:szCs w:val="18"/>
              </w:rPr>
              <w:t>条至第</w:t>
            </w:r>
            <w:r>
              <w:rPr>
                <w:rFonts w:ascii="宋体" w:hAnsi="宋体" w:cs="宋体"/>
                <w:kern w:val="0"/>
                <w:sz w:val="13"/>
                <w:szCs w:val="18"/>
              </w:rPr>
              <w:t>4.4</w:t>
            </w:r>
            <w:r>
              <w:rPr>
                <w:rFonts w:hint="eastAsia" w:ascii="宋体" w:hAnsi="宋体" w:cs="宋体"/>
                <w:kern w:val="0"/>
                <w:sz w:val="13"/>
                <w:szCs w:val="18"/>
              </w:rPr>
              <w:t>条；</w:t>
            </w:r>
          </w:p>
          <w:p>
            <w:pPr>
              <w:autoSpaceDE w:val="0"/>
              <w:autoSpaceDN w:val="0"/>
              <w:adjustRightInd w:val="0"/>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检（探）测器的安装：应符合</w:t>
            </w:r>
            <w:r>
              <w:rPr>
                <w:rFonts w:ascii="宋体" w:hAnsi="宋体" w:cs="宋体"/>
                <w:kern w:val="0"/>
                <w:sz w:val="13"/>
                <w:szCs w:val="18"/>
              </w:rPr>
              <w:t xml:space="preserve">GB50493-2009 </w:t>
            </w:r>
            <w:r>
              <w:rPr>
                <w:rFonts w:hint="eastAsia" w:ascii="宋体" w:hAnsi="宋体" w:cs="宋体"/>
                <w:kern w:val="0"/>
                <w:sz w:val="13"/>
                <w:szCs w:val="18"/>
              </w:rPr>
              <w:t>第</w:t>
            </w:r>
            <w:r>
              <w:rPr>
                <w:rFonts w:ascii="宋体" w:hAnsi="宋体" w:cs="宋体"/>
                <w:kern w:val="0"/>
                <w:sz w:val="13"/>
                <w:szCs w:val="18"/>
              </w:rPr>
              <w:t>6.1</w:t>
            </w:r>
            <w:r>
              <w:rPr>
                <w:rFonts w:hint="eastAsia" w:ascii="宋体" w:hAnsi="宋体" w:cs="宋体"/>
                <w:kern w:val="0"/>
                <w:sz w:val="13"/>
                <w:szCs w:val="18"/>
              </w:rPr>
              <w:t>条；</w:t>
            </w:r>
          </w:p>
          <w:p>
            <w:pPr>
              <w:autoSpaceDE w:val="0"/>
              <w:autoSpaceDN w:val="0"/>
              <w:adjustRightInd w:val="0"/>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检（探）测器的选用：应符合</w:t>
            </w:r>
            <w:r>
              <w:rPr>
                <w:rFonts w:ascii="宋体" w:hAnsi="宋体" w:cs="宋体"/>
                <w:kern w:val="0"/>
                <w:sz w:val="13"/>
                <w:szCs w:val="18"/>
              </w:rPr>
              <w:t xml:space="preserve"> GB50493-2009 </w:t>
            </w:r>
            <w:r>
              <w:rPr>
                <w:rFonts w:hint="eastAsia" w:ascii="宋体" w:hAnsi="宋体" w:cs="宋体"/>
                <w:kern w:val="0"/>
                <w:sz w:val="13"/>
                <w:szCs w:val="18"/>
              </w:rPr>
              <w:t>第</w:t>
            </w:r>
            <w:r>
              <w:rPr>
                <w:rFonts w:ascii="宋体" w:hAnsi="宋体" w:cs="宋体"/>
                <w:kern w:val="0"/>
                <w:sz w:val="13"/>
                <w:szCs w:val="18"/>
              </w:rPr>
              <w:t>5.2</w:t>
            </w:r>
            <w:r>
              <w:rPr>
                <w:rFonts w:hint="eastAsia" w:ascii="宋体" w:hAnsi="宋体" w:cs="宋体"/>
                <w:kern w:val="0"/>
                <w:sz w:val="13"/>
                <w:szCs w:val="18"/>
              </w:rPr>
              <w:t>条；</w:t>
            </w:r>
          </w:p>
          <w:p>
            <w:pPr>
              <w:autoSpaceDE w:val="0"/>
              <w:autoSpaceDN w:val="0"/>
              <w:adjustRightInd w:val="0"/>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指示报警设备的选用：应符合</w:t>
            </w:r>
            <w:r>
              <w:rPr>
                <w:rFonts w:ascii="宋体" w:hAnsi="宋体" w:cs="宋体"/>
                <w:kern w:val="0"/>
                <w:sz w:val="13"/>
                <w:szCs w:val="18"/>
              </w:rPr>
              <w:t xml:space="preserve"> GB50493-2009</w:t>
            </w:r>
            <w:r>
              <w:rPr>
                <w:rFonts w:hint="eastAsia" w:ascii="宋体" w:hAnsi="宋体" w:cs="宋体"/>
                <w:kern w:val="0"/>
                <w:sz w:val="13"/>
                <w:szCs w:val="18"/>
              </w:rPr>
              <w:t>第</w:t>
            </w:r>
            <w:r>
              <w:rPr>
                <w:rFonts w:ascii="宋体" w:hAnsi="宋体" w:cs="宋体"/>
                <w:kern w:val="0"/>
                <w:sz w:val="13"/>
                <w:szCs w:val="18"/>
              </w:rPr>
              <w:t xml:space="preserve"> 5.3.1</w:t>
            </w:r>
            <w:r>
              <w:rPr>
                <w:rFonts w:hint="eastAsia" w:ascii="宋体" w:hAnsi="宋体" w:cs="宋体"/>
                <w:kern w:val="0"/>
                <w:sz w:val="13"/>
                <w:szCs w:val="18"/>
              </w:rPr>
              <w:t>条和第</w:t>
            </w:r>
            <w:r>
              <w:rPr>
                <w:rFonts w:ascii="宋体" w:hAnsi="宋体" w:cs="宋体"/>
                <w:kern w:val="0"/>
                <w:sz w:val="13"/>
                <w:szCs w:val="18"/>
              </w:rPr>
              <w:t>5.3.2</w:t>
            </w:r>
            <w:r>
              <w:rPr>
                <w:rFonts w:hint="eastAsia" w:ascii="宋体" w:hAnsi="宋体" w:cs="宋体"/>
                <w:kern w:val="0"/>
                <w:sz w:val="13"/>
                <w:szCs w:val="18"/>
              </w:rPr>
              <w:t>条；</w:t>
            </w:r>
          </w:p>
          <w:p>
            <w:pPr>
              <w:autoSpaceDE w:val="0"/>
              <w:autoSpaceDN w:val="0"/>
              <w:adjustRightInd w:val="0"/>
              <w:rPr>
                <w:rFonts w:ascii="宋体" w:hAnsi="宋体" w:cs="宋体"/>
                <w:kern w:val="0"/>
                <w:sz w:val="13"/>
                <w:szCs w:val="18"/>
              </w:rPr>
            </w:pPr>
            <w:r>
              <w:rPr>
                <w:rFonts w:ascii="宋体" w:hAnsi="宋体" w:cs="宋体"/>
                <w:kern w:val="0"/>
                <w:sz w:val="13"/>
                <w:szCs w:val="18"/>
              </w:rPr>
              <w:t>5.</w:t>
            </w:r>
            <w:r>
              <w:rPr>
                <w:rFonts w:hint="eastAsia" w:ascii="宋体" w:hAnsi="宋体" w:cs="宋体"/>
                <w:kern w:val="0"/>
                <w:sz w:val="13"/>
                <w:szCs w:val="18"/>
              </w:rPr>
              <w:t>报警点的设置：应符合</w:t>
            </w:r>
            <w:r>
              <w:rPr>
                <w:rFonts w:ascii="宋体" w:hAnsi="宋体" w:cs="宋体"/>
                <w:kern w:val="0"/>
                <w:sz w:val="13"/>
                <w:szCs w:val="18"/>
              </w:rPr>
              <w:t xml:space="preserve"> GB50493-2009 </w:t>
            </w:r>
            <w:r>
              <w:rPr>
                <w:rFonts w:hint="eastAsia" w:ascii="宋体" w:hAnsi="宋体" w:cs="宋体"/>
                <w:kern w:val="0"/>
                <w:sz w:val="13"/>
                <w:szCs w:val="18"/>
              </w:rPr>
              <w:t>第</w:t>
            </w:r>
            <w:r>
              <w:rPr>
                <w:rFonts w:ascii="宋体" w:hAnsi="宋体" w:cs="宋体"/>
                <w:kern w:val="0"/>
                <w:sz w:val="13"/>
                <w:szCs w:val="18"/>
              </w:rPr>
              <w:t>5.3.3</w:t>
            </w:r>
            <w:r>
              <w:rPr>
                <w:rFonts w:hint="eastAsia" w:ascii="宋体" w:hAnsi="宋体" w:cs="宋体"/>
                <w:kern w:val="0"/>
                <w:sz w:val="13"/>
                <w:szCs w:val="18"/>
              </w:rPr>
              <w:t>条；</w:t>
            </w:r>
          </w:p>
          <w:p>
            <w:pPr>
              <w:autoSpaceDE w:val="0"/>
              <w:autoSpaceDN w:val="0"/>
              <w:adjustRightInd w:val="0"/>
              <w:rPr>
                <w:rFonts w:ascii="宋体" w:hAnsi="宋体" w:cs="宋体"/>
                <w:kern w:val="0"/>
                <w:sz w:val="13"/>
                <w:szCs w:val="18"/>
              </w:rPr>
            </w:pPr>
            <w:r>
              <w:rPr>
                <w:rFonts w:ascii="宋体" w:hAnsi="宋体" w:cs="宋体"/>
                <w:kern w:val="0"/>
                <w:sz w:val="13"/>
                <w:szCs w:val="18"/>
              </w:rPr>
              <w:t>6.</w:t>
            </w:r>
            <w:r>
              <w:rPr>
                <w:rFonts w:hint="eastAsia" w:ascii="宋体" w:hAnsi="宋体" w:cs="宋体"/>
                <w:kern w:val="0"/>
                <w:sz w:val="13"/>
                <w:szCs w:val="18"/>
              </w:rPr>
              <w:t>检测报警器的定期检定：检定周期一般不超过一年。</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《石油化工可燃体和有毒气体检测报警设计规范》</w:t>
            </w:r>
          </w:p>
          <w:p>
            <w:pPr>
              <w:autoSpaceDE w:val="0"/>
              <w:autoSpaceDN w:val="0"/>
              <w:adjustRightInd w:val="0"/>
              <w:rPr>
                <w:rFonts w:ascii="宋体" w:hAnsi="宋体" w:cs="宋体"/>
                <w:kern w:val="0"/>
                <w:sz w:val="13"/>
                <w:szCs w:val="18"/>
              </w:rPr>
            </w:pPr>
            <w:r>
              <w:rPr>
                <w:rFonts w:ascii="宋体" w:hAnsi="宋体" w:cs="宋体"/>
                <w:kern w:val="0"/>
                <w:sz w:val="13"/>
                <w:szCs w:val="18"/>
              </w:rPr>
              <w:t>GB50493-2009</w:t>
            </w:r>
          </w:p>
          <w:p>
            <w:pPr>
              <w:autoSpaceDE w:val="0"/>
              <w:autoSpaceDN w:val="0"/>
              <w:adjustRightInd w:val="0"/>
              <w:rPr>
                <w:rFonts w:ascii="宋体" w:hAnsi="宋体" w:cs="宋体"/>
                <w:kern w:val="0"/>
                <w:sz w:val="13"/>
                <w:szCs w:val="18"/>
              </w:rPr>
            </w:pPr>
          </w:p>
          <w:p>
            <w:pPr>
              <w:autoSpaceDE w:val="0"/>
              <w:autoSpaceDN w:val="0"/>
              <w:adjustRightInd w:val="0"/>
              <w:rPr>
                <w:rFonts w:ascii="宋体" w:hAnsi="宋体" w:cs="宋体"/>
                <w:kern w:val="0"/>
                <w:sz w:val="13"/>
                <w:szCs w:val="18"/>
              </w:rPr>
            </w:pPr>
            <w:r>
              <w:rPr>
                <w:rFonts w:hint="eastAsia" w:ascii="宋体" w:hAnsi="宋体" w:cs="宋体"/>
                <w:kern w:val="0"/>
                <w:sz w:val="13"/>
                <w:szCs w:val="18"/>
              </w:rPr>
              <w:t>《可燃气体检测报警器检定规</w:t>
            </w:r>
            <w:r>
              <w:rPr>
                <w:rFonts w:ascii="宋体" w:hAnsi="宋体" w:cs="宋体"/>
                <w:kern w:val="0"/>
                <w:sz w:val="13"/>
                <w:szCs w:val="18"/>
              </w:rPr>
              <w:t xml:space="preserve"> </w:t>
            </w:r>
            <w:r>
              <w:rPr>
                <w:rFonts w:hint="eastAsia" w:ascii="宋体" w:hAnsi="宋体" w:cs="宋体"/>
                <w:kern w:val="0"/>
                <w:sz w:val="13"/>
                <w:szCs w:val="18"/>
              </w:rPr>
              <w:t>程》</w:t>
            </w:r>
            <w:r>
              <w:rPr>
                <w:rFonts w:ascii="宋体" w:hAnsi="宋体" w:cs="宋体"/>
                <w:kern w:val="0"/>
                <w:sz w:val="13"/>
                <w:szCs w:val="18"/>
              </w:rPr>
              <w:t xml:space="preserve">JJG693-2011 </w:t>
            </w:r>
            <w:r>
              <w:rPr>
                <w:rFonts w:hint="eastAsia" w:ascii="宋体" w:hAnsi="宋体" w:cs="宋体"/>
                <w:kern w:val="0"/>
                <w:sz w:val="13"/>
                <w:szCs w:val="18"/>
              </w:rPr>
              <w:t>第</w:t>
            </w:r>
            <w:r>
              <w:rPr>
                <w:rFonts w:ascii="宋体" w:hAnsi="宋体" w:cs="宋体"/>
                <w:kern w:val="0"/>
                <w:sz w:val="13"/>
                <w:szCs w:val="18"/>
              </w:rPr>
              <w:t xml:space="preserve"> 5.5 </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爆炸危险场所的仪表、仪表线路的防爆等级应满足区</w:t>
            </w:r>
            <w:r>
              <w:rPr>
                <w:rFonts w:ascii="宋体" w:hAnsi="宋体" w:cs="宋体"/>
                <w:kern w:val="0"/>
                <w:sz w:val="13"/>
                <w:szCs w:val="18"/>
              </w:rPr>
              <w:t xml:space="preserve"> </w:t>
            </w:r>
            <w:r>
              <w:rPr>
                <w:rFonts w:hint="eastAsia" w:ascii="宋体" w:hAnsi="宋体" w:cs="宋体"/>
                <w:kern w:val="0"/>
                <w:sz w:val="13"/>
                <w:szCs w:val="18"/>
              </w:rPr>
              <w:t>域的防爆要求。且应具有国家授权的机构发给的产品</w:t>
            </w:r>
            <w:r>
              <w:rPr>
                <w:rFonts w:ascii="宋体" w:hAnsi="宋体" w:cs="宋体"/>
                <w:kern w:val="0"/>
                <w:sz w:val="13"/>
                <w:szCs w:val="18"/>
              </w:rPr>
              <w:t xml:space="preserve"> </w:t>
            </w:r>
            <w:r>
              <w:rPr>
                <w:rFonts w:hint="eastAsia" w:ascii="宋体" w:hAnsi="宋体" w:cs="宋体"/>
                <w:kern w:val="0"/>
                <w:sz w:val="13"/>
                <w:szCs w:val="18"/>
              </w:rPr>
              <w:t>防爆合格证。</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《爆炸和火灾危险环境电力装置设计规范</w:t>
            </w:r>
            <w:r>
              <w:rPr>
                <w:rFonts w:ascii="宋体" w:hAnsi="宋体" w:cs="宋体"/>
                <w:kern w:val="0"/>
                <w:sz w:val="13"/>
                <w:szCs w:val="18"/>
              </w:rPr>
              <w:t xml:space="preserve"> </w:t>
            </w:r>
            <w:r>
              <w:rPr>
                <w:rFonts w:hint="eastAsia" w:ascii="宋体" w:hAnsi="宋体" w:cs="宋体"/>
                <w:kern w:val="0"/>
                <w:sz w:val="13"/>
                <w:szCs w:val="18"/>
              </w:rPr>
              <w:t>》</w:t>
            </w:r>
            <w:r>
              <w:rPr>
                <w:rFonts w:ascii="宋体" w:hAnsi="宋体" w:cs="宋体"/>
                <w:kern w:val="0"/>
                <w:sz w:val="13"/>
                <w:szCs w:val="18"/>
              </w:rPr>
              <w:t xml:space="preserve"> GB50058</w:t>
            </w:r>
            <w:r>
              <w:rPr>
                <w:rFonts w:hint="eastAsia" w:ascii="宋体" w:hAnsi="宋体" w:cs="宋体"/>
                <w:kern w:val="0"/>
                <w:sz w:val="13"/>
                <w:szCs w:val="18"/>
              </w:rPr>
              <w:t>－</w:t>
            </w:r>
            <w:r>
              <w:rPr>
                <w:rFonts w:ascii="宋体" w:hAnsi="宋体" w:cs="宋体"/>
                <w:kern w:val="0"/>
                <w:sz w:val="13"/>
                <w:szCs w:val="18"/>
              </w:rPr>
              <w:t>92</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保护管与检测元件或现场仪表之间应采取相应的防水</w:t>
            </w:r>
            <w:r>
              <w:rPr>
                <w:rFonts w:ascii="宋体" w:hAnsi="宋体" w:cs="宋体"/>
                <w:kern w:val="0"/>
                <w:sz w:val="13"/>
                <w:szCs w:val="18"/>
              </w:rPr>
              <w:t xml:space="preserve"> </w:t>
            </w:r>
            <w:r>
              <w:rPr>
                <w:rFonts w:hint="eastAsia" w:ascii="宋体" w:hAnsi="宋体" w:cs="宋体"/>
                <w:kern w:val="0"/>
                <w:sz w:val="13"/>
                <w:szCs w:val="18"/>
              </w:rPr>
              <w:t>措施。防爆场合，应采取相应防爆级别的密封措施</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《石油化工仪表配管、配线设计规范》</w:t>
            </w:r>
            <w:r>
              <w:rPr>
                <w:rFonts w:ascii="宋体" w:hAnsi="宋体" w:cs="宋体"/>
                <w:kern w:val="0"/>
                <w:sz w:val="13"/>
                <w:szCs w:val="18"/>
              </w:rPr>
              <w:t>SH/T3019-2003</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三、仪表现场安全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机房防小动物、防静电、防尘及电缆进出口防水措施完好</w:t>
            </w:r>
          </w:p>
        </w:tc>
        <w:tc>
          <w:tcPr>
            <w:tcW w:w="2714" w:type="dxa"/>
          </w:tcPr>
          <w:p>
            <w:pPr>
              <w:autoSpaceDE w:val="0"/>
              <w:autoSpaceDN w:val="0"/>
              <w:adjustRightInd w:val="0"/>
              <w:jc w:val="left"/>
              <w:rPr>
                <w:rFonts w:ascii="宋体" w:hAnsi="宋体"/>
                <w:kern w:val="0"/>
                <w:sz w:val="13"/>
                <w:szCs w:val="18"/>
              </w:rPr>
            </w:pPr>
          </w:p>
        </w:tc>
        <w:tc>
          <w:tcPr>
            <w:tcW w:w="1167"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联锁系统设备、开关、端子排的标识齐全准确清晰。</w:t>
            </w:r>
            <w:r>
              <w:rPr>
                <w:rFonts w:ascii="宋体" w:hAnsi="宋体" w:cs="宋体"/>
                <w:kern w:val="0"/>
                <w:sz w:val="13"/>
                <w:szCs w:val="18"/>
              </w:rPr>
              <w:t xml:space="preserve"> </w:t>
            </w:r>
            <w:r>
              <w:rPr>
                <w:rFonts w:hint="eastAsia" w:ascii="宋体" w:hAnsi="宋体" w:cs="宋体"/>
                <w:kern w:val="0"/>
                <w:sz w:val="13"/>
                <w:szCs w:val="18"/>
              </w:rPr>
              <w:t>紧急停车按钮是否有可靠防护措施</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可燃气体检测报警器、有毒气体报警器传感器探头完好，无腐蚀、无灰尘；手动试验声光报警正常，故障报警完好；</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仪表系统维护、防冻、防凝、防水措施落实，仪表完好有效。</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4" w:type="dxa"/>
          </w:tcPr>
          <w:p>
            <w:pPr>
              <w:autoSpaceDE w:val="0"/>
              <w:autoSpaceDN w:val="0"/>
              <w:adjustRightInd w:val="0"/>
              <w:jc w:val="left"/>
              <w:rPr>
                <w:rFonts w:ascii="宋体" w:hAnsi="宋体"/>
                <w:kern w:val="0"/>
                <w:sz w:val="13"/>
                <w:szCs w:val="18"/>
              </w:rPr>
            </w:pPr>
            <w:r>
              <w:rPr>
                <w:rFonts w:ascii="宋体" w:hAnsi="宋体" w:cs="Arial"/>
                <w:kern w:val="0"/>
                <w:sz w:val="13"/>
                <w:szCs w:val="18"/>
              </w:rPr>
              <w:t>SIS</w:t>
            </w:r>
            <w:r>
              <w:rPr>
                <w:rFonts w:hint="eastAsia" w:ascii="宋体" w:hAnsi="宋体" w:cs="宋体"/>
                <w:kern w:val="0"/>
                <w:sz w:val="13"/>
                <w:szCs w:val="18"/>
              </w:rPr>
              <w:t>的现场检测元件，执行元件应有联锁标志警示牌，</w:t>
            </w:r>
            <w:r>
              <w:rPr>
                <w:rFonts w:ascii="宋体" w:hAnsi="宋体" w:cs="宋体"/>
                <w:kern w:val="0"/>
                <w:sz w:val="13"/>
                <w:szCs w:val="18"/>
              </w:rPr>
              <w:t xml:space="preserve"> </w:t>
            </w:r>
            <w:r>
              <w:rPr>
                <w:rFonts w:hint="eastAsia" w:ascii="宋体" w:hAnsi="宋体" w:cs="宋体"/>
                <w:kern w:val="0"/>
                <w:sz w:val="13"/>
                <w:szCs w:val="18"/>
              </w:rPr>
              <w:t>防止误操作引起停车。</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放射性仪表现场有明显的警示标志，安装使用符合国家规范</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bl>
    <w:p>
      <w:pPr>
        <w:rPr>
          <w:sz w:val="16"/>
        </w:rPr>
      </w:pPr>
    </w:p>
    <w:p>
      <w:pPr>
        <w:rPr>
          <w:sz w:val="16"/>
        </w:rPr>
      </w:pPr>
    </w:p>
    <w:p>
      <w:pPr>
        <w:pStyle w:val="3"/>
        <w:rPr>
          <w:rFonts w:hint="default"/>
          <w:sz w:val="21"/>
          <w:szCs w:val="28"/>
        </w:rPr>
      </w:pPr>
      <w:bookmarkStart w:id="127" w:name="_Toc11921489"/>
      <w:r>
        <w:rPr>
          <w:sz w:val="21"/>
          <w:szCs w:val="28"/>
        </w:rPr>
        <w:t>7 危险化学品管理隐患排查表</w:t>
      </w:r>
      <w:bookmarkEnd w:id="127"/>
    </w:p>
    <w:tbl>
      <w:tblPr>
        <w:tblStyle w:val="11"/>
        <w:tblW w:w="858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4236"/>
        <w:gridCol w:w="2715"/>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68"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36"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15"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2"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企业应对所有危险化学品，包括产品、原料和中间产品进行普查，建立危险化学品档案，包括：</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．名称，包括别名、英文名等；</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．存放、生产、使用地点；</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．数量；</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．危险性分类、危规号、包装类别、登记号；</w:t>
            </w:r>
          </w:p>
          <w:p>
            <w:pPr>
              <w:autoSpaceDE w:val="0"/>
              <w:autoSpaceDN w:val="0"/>
              <w:adjustRightInd w:val="0"/>
              <w:jc w:val="left"/>
              <w:rPr>
                <w:rFonts w:ascii="宋体" w:hAnsi="宋体"/>
                <w:kern w:val="0"/>
                <w:sz w:val="13"/>
                <w:szCs w:val="18"/>
              </w:rPr>
            </w:pPr>
            <w:r>
              <w:rPr>
                <w:rFonts w:ascii="宋体" w:hAnsi="宋体" w:cs="Arial"/>
                <w:kern w:val="0"/>
                <w:sz w:val="13"/>
                <w:szCs w:val="18"/>
              </w:rPr>
              <w:t>5</w:t>
            </w:r>
            <w:r>
              <w:rPr>
                <w:rFonts w:hint="eastAsia" w:ascii="宋体" w:hAnsi="宋体" w:cs="宋体"/>
                <w:kern w:val="0"/>
                <w:sz w:val="13"/>
                <w:szCs w:val="18"/>
              </w:rPr>
              <w:t>．安全技术说明书与安全标签。</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《危险化学品从业单位安全生产标准化通用规范》</w:t>
            </w:r>
            <w:r>
              <w:rPr>
                <w:rFonts w:ascii="宋体" w:hAnsi="宋体" w:cs="Arial"/>
                <w:kern w:val="0"/>
                <w:sz w:val="13"/>
                <w:szCs w:val="18"/>
              </w:rPr>
              <w:t>(AQ3013</w:t>
            </w:r>
            <w:r>
              <w:rPr>
                <w:rFonts w:hint="eastAsia" w:ascii="宋体" w:hAnsi="宋体" w:cs="宋体"/>
                <w:kern w:val="0"/>
                <w:sz w:val="13"/>
                <w:szCs w:val="18"/>
              </w:rPr>
              <w:t>－</w:t>
            </w:r>
            <w:r>
              <w:rPr>
                <w:rFonts w:ascii="宋体" w:hAnsi="宋体" w:cs="Arial"/>
                <w:kern w:val="0"/>
                <w:sz w:val="13"/>
                <w:szCs w:val="18"/>
              </w:rPr>
              <w:t>2008)</w:t>
            </w:r>
          </w:p>
        </w:tc>
        <w:tc>
          <w:tcPr>
            <w:tcW w:w="1162"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企业应按照国家有关规定对其产品、所有中间产品进行分类，并将分类结果汇入危险化学品档案。</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《危险化学品从业单位安全生产标准化通用规范》</w:t>
            </w:r>
            <w:r>
              <w:rPr>
                <w:rFonts w:ascii="宋体" w:hAnsi="宋体" w:cs="Arial"/>
                <w:kern w:val="0"/>
                <w:sz w:val="13"/>
                <w:szCs w:val="18"/>
              </w:rPr>
              <w:t>(AQ3013</w:t>
            </w:r>
            <w:r>
              <w:rPr>
                <w:rFonts w:hint="eastAsia" w:ascii="宋体" w:hAnsi="宋体" w:cs="宋体"/>
                <w:kern w:val="0"/>
                <w:sz w:val="13"/>
                <w:szCs w:val="18"/>
              </w:rPr>
              <w:t>－</w:t>
            </w:r>
            <w:r>
              <w:rPr>
                <w:rFonts w:ascii="宋体" w:hAnsi="宋体" w:cs="Arial"/>
                <w:kern w:val="0"/>
                <w:sz w:val="13"/>
                <w:szCs w:val="18"/>
              </w:rPr>
              <w:t>2008)</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危险化学品生产企业应当提供与其生产的危险化学品相符的化学品安全技术说明书，并在危险化学品包装（包括外包装件）上粘贴或者拴挂与包装内危险化学品相符的化学品安全标签。化学品安全技术说明书和化学品安全标签所载明的内容应当符合国家标准的要求。危险化学品生产企业发现其生产的危险化学品有新的危险特性的，应当立即公告，并及时修订其化学品安全技术说明书和化学品安全标签。</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《危险化学品安全管理条例》第</w:t>
            </w:r>
            <w:r>
              <w:rPr>
                <w:rFonts w:ascii="宋体" w:hAnsi="宋体" w:cs="宋体"/>
                <w:kern w:val="0"/>
                <w:sz w:val="13"/>
                <w:szCs w:val="18"/>
              </w:rPr>
              <w:t xml:space="preserve"> </w:t>
            </w:r>
            <w:r>
              <w:rPr>
                <w:rFonts w:ascii="宋体" w:hAnsi="宋体" w:cs="Arial"/>
                <w:kern w:val="0"/>
                <w:sz w:val="13"/>
                <w:szCs w:val="18"/>
              </w:rPr>
              <w:t xml:space="preserve">15 </w:t>
            </w:r>
            <w:r>
              <w:rPr>
                <w:rFonts w:hint="eastAsia" w:ascii="宋体" w:hAnsi="宋体" w:cs="宋体"/>
                <w:kern w:val="0"/>
                <w:sz w:val="13"/>
                <w:szCs w:val="18"/>
              </w:rPr>
              <w:t>条</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生产企业的产品属危险化学品时，应按</w:t>
            </w:r>
            <w:r>
              <w:rPr>
                <w:rFonts w:ascii="宋体" w:hAnsi="宋体" w:cs="宋体"/>
                <w:kern w:val="0"/>
                <w:sz w:val="13"/>
                <w:szCs w:val="18"/>
              </w:rPr>
              <w:t>GB16483</w:t>
            </w:r>
            <w:r>
              <w:rPr>
                <w:rFonts w:hint="eastAsia" w:ascii="宋体" w:hAnsi="宋体" w:cs="宋体"/>
                <w:kern w:val="0"/>
                <w:sz w:val="13"/>
                <w:szCs w:val="18"/>
              </w:rPr>
              <w:t>和</w:t>
            </w:r>
            <w:r>
              <w:rPr>
                <w:rFonts w:ascii="宋体" w:hAnsi="宋体" w:cs="宋体"/>
                <w:kern w:val="0"/>
                <w:sz w:val="13"/>
                <w:szCs w:val="18"/>
              </w:rPr>
              <w:t xml:space="preserve">GB 15258 </w:t>
            </w:r>
            <w:r>
              <w:rPr>
                <w:rFonts w:hint="eastAsia" w:ascii="宋体" w:hAnsi="宋体" w:cs="宋体"/>
                <w:kern w:val="0"/>
                <w:sz w:val="13"/>
                <w:szCs w:val="18"/>
              </w:rPr>
              <w:t>编制产品安全技术说明书和安全标签，并提供给用户。</w:t>
            </w:r>
          </w:p>
        </w:tc>
        <w:tc>
          <w:tcPr>
            <w:tcW w:w="2715"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GB16483-2008</w:t>
            </w:r>
            <w:r>
              <w:rPr>
                <w:rFonts w:hint="eastAsia" w:ascii="宋体" w:hAnsi="宋体" w:cs="宋体"/>
                <w:kern w:val="0"/>
                <w:sz w:val="13"/>
                <w:szCs w:val="18"/>
              </w:rPr>
              <w:t>化学品安全技术说明书内容和项目顺序</w:t>
            </w:r>
            <w:r>
              <w:rPr>
                <w:rFonts w:ascii="宋体" w:hAnsi="宋体" w:cs="宋体"/>
                <w:kern w:val="0"/>
                <w:sz w:val="13"/>
                <w:szCs w:val="18"/>
              </w:rPr>
              <w:t>GB15258-2009</w:t>
            </w:r>
            <w:r>
              <w:rPr>
                <w:rFonts w:hint="eastAsia" w:ascii="宋体" w:hAnsi="宋体" w:cs="宋体"/>
                <w:kern w:val="0"/>
                <w:sz w:val="13"/>
                <w:szCs w:val="18"/>
              </w:rPr>
              <w:t>化学品安全标签编写规定</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企业采购危险化学品时，应索取危险化学品安全技术说明书和安全标签，不得采购无安全技术说</w:t>
            </w:r>
            <w:r>
              <w:rPr>
                <w:rFonts w:ascii="宋体" w:hAnsi="宋体" w:cs="宋体"/>
                <w:kern w:val="0"/>
                <w:sz w:val="13"/>
                <w:szCs w:val="18"/>
              </w:rPr>
              <w:t xml:space="preserve"> </w:t>
            </w:r>
            <w:r>
              <w:rPr>
                <w:rFonts w:hint="eastAsia" w:ascii="宋体" w:hAnsi="宋体" w:cs="宋体"/>
                <w:kern w:val="0"/>
                <w:sz w:val="13"/>
                <w:szCs w:val="18"/>
              </w:rPr>
              <w:t>明书和安全标签的危险化学品。</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《危险化学品从业单位安全生产标准化通用规范》</w:t>
            </w:r>
            <w:r>
              <w:rPr>
                <w:rFonts w:ascii="宋体" w:hAnsi="宋体" w:cs="宋体"/>
                <w:kern w:val="0"/>
                <w:sz w:val="13"/>
                <w:szCs w:val="18"/>
              </w:rPr>
              <w:t>(AQ3013</w:t>
            </w:r>
            <w:r>
              <w:rPr>
                <w:rFonts w:hint="eastAsia" w:ascii="宋体" w:hAnsi="宋体" w:cs="宋体"/>
                <w:kern w:val="0"/>
                <w:sz w:val="13"/>
                <w:szCs w:val="18"/>
              </w:rPr>
              <w:t>－</w:t>
            </w:r>
            <w:r>
              <w:rPr>
                <w:rFonts w:ascii="宋体" w:hAnsi="宋体" w:cs="宋体"/>
                <w:kern w:val="0"/>
                <w:sz w:val="13"/>
                <w:szCs w:val="18"/>
              </w:rPr>
              <w:t>2008)</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生产企业应设立</w:t>
            </w:r>
            <w:r>
              <w:rPr>
                <w:rFonts w:ascii="宋体" w:hAnsi="宋体" w:cs="宋体"/>
                <w:kern w:val="0"/>
                <w:sz w:val="13"/>
                <w:szCs w:val="18"/>
              </w:rPr>
              <w:t>24</w:t>
            </w:r>
            <w:r>
              <w:rPr>
                <w:rFonts w:hint="eastAsia" w:ascii="宋体" w:hAnsi="宋体" w:cs="宋体"/>
                <w:kern w:val="0"/>
                <w:sz w:val="13"/>
                <w:szCs w:val="18"/>
              </w:rPr>
              <w:t>小时应急咨询服务固定电话，有专业人员值班并负责相关应急咨询。没有条件设立应急咨询服务电话的，应委托危险化学品专业应急机构作为应急咨询服务代理。</w:t>
            </w:r>
          </w:p>
        </w:tc>
        <w:tc>
          <w:tcPr>
            <w:tcW w:w="2715"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《危险化学品从业单位安全生产标准化通用规范》</w:t>
            </w:r>
            <w:r>
              <w:rPr>
                <w:rFonts w:ascii="宋体" w:hAnsi="宋体" w:cs="宋体"/>
                <w:kern w:val="0"/>
                <w:sz w:val="13"/>
                <w:szCs w:val="18"/>
              </w:rPr>
              <w:t>(AQ3013</w:t>
            </w:r>
            <w:r>
              <w:rPr>
                <w:rFonts w:hint="eastAsia" w:ascii="宋体" w:hAnsi="宋体" w:cs="宋体"/>
                <w:kern w:val="0"/>
                <w:sz w:val="13"/>
                <w:szCs w:val="18"/>
              </w:rPr>
              <w:t>－</w:t>
            </w:r>
            <w:r>
              <w:rPr>
                <w:rFonts w:ascii="宋体" w:hAnsi="宋体" w:cs="宋体"/>
                <w:kern w:val="0"/>
                <w:sz w:val="13"/>
                <w:szCs w:val="18"/>
              </w:rPr>
              <w:t>2008)</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企业应按照国家有关规定对危险化学品进行登记，取得危险化学品登记证书。</w:t>
            </w:r>
          </w:p>
        </w:tc>
        <w:tc>
          <w:tcPr>
            <w:tcW w:w="2715"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《危险化学品从业单位安全生产标准化通用规范》</w:t>
            </w:r>
            <w:r>
              <w:rPr>
                <w:rFonts w:ascii="宋体" w:hAnsi="宋体" w:cs="宋体"/>
                <w:kern w:val="0"/>
                <w:sz w:val="13"/>
                <w:szCs w:val="18"/>
              </w:rPr>
              <w:t>(AQ3013</w:t>
            </w:r>
            <w:r>
              <w:rPr>
                <w:rFonts w:hint="eastAsia" w:ascii="宋体" w:hAnsi="宋体" w:cs="宋体"/>
                <w:kern w:val="0"/>
                <w:sz w:val="13"/>
                <w:szCs w:val="18"/>
              </w:rPr>
              <w:t>－</w:t>
            </w:r>
            <w:r>
              <w:rPr>
                <w:rFonts w:ascii="宋体" w:hAnsi="宋体" w:cs="宋体"/>
                <w:kern w:val="0"/>
                <w:sz w:val="13"/>
                <w:szCs w:val="18"/>
              </w:rPr>
              <w:t>2008)</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对生产过程中危险化学品的危险特性、活性危害、禁配物等，以及采取的预防及应急处理措施，企业应对从业人员及相关方进行了宣传、培训。</w:t>
            </w:r>
          </w:p>
        </w:tc>
        <w:tc>
          <w:tcPr>
            <w:tcW w:w="2715"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《危险化学品从业</w:t>
            </w:r>
            <w:r>
              <w:rPr>
                <w:rFonts w:ascii="宋体" w:hAnsi="宋体" w:cs="宋体"/>
                <w:kern w:val="0"/>
                <w:sz w:val="13"/>
                <w:szCs w:val="18"/>
              </w:rPr>
              <w:t xml:space="preserve"> </w:t>
            </w:r>
            <w:r>
              <w:rPr>
                <w:rFonts w:hint="eastAsia" w:ascii="宋体" w:hAnsi="宋体" w:cs="宋体"/>
                <w:kern w:val="0"/>
                <w:sz w:val="13"/>
                <w:szCs w:val="18"/>
              </w:rPr>
              <w:t>单位安全生产标准化通用规范</w:t>
            </w:r>
            <w:r>
              <w:rPr>
                <w:rFonts w:ascii="宋体" w:hAnsi="宋体" w:cs="宋体"/>
                <w:kern w:val="0"/>
                <w:sz w:val="13"/>
                <w:szCs w:val="18"/>
              </w:rPr>
              <w:t xml:space="preserve"> </w:t>
            </w:r>
            <w:r>
              <w:rPr>
                <w:rFonts w:hint="eastAsia" w:ascii="宋体" w:hAnsi="宋体" w:cs="宋体"/>
                <w:kern w:val="0"/>
                <w:sz w:val="13"/>
                <w:szCs w:val="18"/>
              </w:rPr>
              <w:t>》</w:t>
            </w:r>
            <w:r>
              <w:rPr>
                <w:rFonts w:ascii="宋体" w:hAnsi="宋体" w:cs="宋体"/>
                <w:kern w:val="0"/>
                <w:sz w:val="13"/>
                <w:szCs w:val="18"/>
              </w:rPr>
              <w:t>(AQ3013</w:t>
            </w:r>
            <w:r>
              <w:rPr>
                <w:rFonts w:hint="eastAsia" w:ascii="宋体" w:hAnsi="宋体" w:cs="宋体"/>
                <w:kern w:val="0"/>
                <w:sz w:val="13"/>
                <w:szCs w:val="18"/>
              </w:rPr>
              <w:t>－</w:t>
            </w:r>
            <w:r>
              <w:rPr>
                <w:rFonts w:ascii="宋体" w:hAnsi="宋体" w:cs="宋体"/>
                <w:kern w:val="0"/>
                <w:sz w:val="13"/>
                <w:szCs w:val="18"/>
              </w:rPr>
              <w:t>2008)</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9</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生产、储存剧毒化学品或者国务院公安部门规定的可用于制造爆炸物品的危险化学品（以下简称易制爆危险化学品）的单位，应当如实记录其生产、储存的剧毒化学品、易制爆危险化学品的数量、流向，并采取必要的安全防范措施，防止剧毒化学品、易制爆危险化学品丢失或者被盗；发现剧毒化学品、易制爆危险化学品丢失或者被盗的，应当立即向当地公安机关报告。生产、储存剧毒化学品、易制爆危险化学品的单位，应当设置治安保卫机构，配备专职治安保卫人员。</w:t>
            </w:r>
          </w:p>
        </w:tc>
        <w:tc>
          <w:tcPr>
            <w:tcW w:w="2715"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《危险化学品安全管理条例》第</w:t>
            </w:r>
            <w:r>
              <w:rPr>
                <w:rFonts w:ascii="宋体" w:hAnsi="宋体" w:cs="宋体"/>
                <w:kern w:val="0"/>
                <w:sz w:val="13"/>
                <w:szCs w:val="18"/>
              </w:rPr>
              <w:t xml:space="preserve"> 23 </w:t>
            </w:r>
            <w:r>
              <w:rPr>
                <w:rFonts w:hint="eastAsia" w:ascii="宋体" w:hAnsi="宋体" w:cs="宋体"/>
                <w:kern w:val="0"/>
                <w:sz w:val="13"/>
                <w:szCs w:val="18"/>
              </w:rPr>
              <w:t>条</w:t>
            </w:r>
          </w:p>
        </w:tc>
        <w:tc>
          <w:tcPr>
            <w:tcW w:w="1162" w:type="dxa"/>
            <w:vMerge w:val="restart"/>
          </w:tcPr>
          <w:p>
            <w:pPr>
              <w:rPr>
                <w:rFonts w:ascii="宋体" w:hAnsi="宋体" w:cs="宋体"/>
                <w:kern w:val="0"/>
                <w:sz w:val="13"/>
                <w:szCs w:val="18"/>
              </w:rPr>
            </w:pPr>
            <w:r>
              <w:rPr>
                <w:rFonts w:hint="eastAsia" w:ascii="宋体" w:hAnsi="宋体" w:cs="宋体"/>
                <w:kern w:val="0"/>
                <w:sz w:val="13"/>
                <w:szCs w:val="18"/>
              </w:rPr>
              <w:t>1次/月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hint="eastAsia" w:ascii="宋体" w:hAnsi="宋体" w:cs="Arial"/>
                <w:kern w:val="0"/>
                <w:sz w:val="13"/>
                <w:szCs w:val="18"/>
              </w:rPr>
              <w:t xml:space="preserve"> </w:t>
            </w:r>
            <w:r>
              <w:rPr>
                <w:rFonts w:ascii="宋体" w:hAnsi="宋体" w:cs="Arial"/>
                <w:kern w:val="0"/>
                <w:sz w:val="13"/>
                <w:szCs w:val="18"/>
              </w:rPr>
              <w:t>10</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应当储存在专用仓库、专用场地或者专用储存室（以下统称专用仓库）内，并由专人负责管理；剧毒化学品以及储存数量构成重大危险源的其他危险化学品，应当在专用仓库内单独存放，并实行双人收发、双人保管制度。</w:t>
            </w:r>
            <w:r>
              <w:rPr>
                <w:rFonts w:ascii="宋体" w:hAnsi="宋体" w:cs="宋体"/>
                <w:kern w:val="0"/>
                <w:sz w:val="13"/>
                <w:szCs w:val="18"/>
              </w:rPr>
              <w:t xml:space="preserve"> </w:t>
            </w:r>
            <w:r>
              <w:rPr>
                <w:rFonts w:hint="eastAsia" w:ascii="宋体" w:hAnsi="宋体" w:cs="宋体"/>
                <w:kern w:val="0"/>
                <w:sz w:val="13"/>
                <w:szCs w:val="18"/>
              </w:rPr>
              <w:t>危险化学品的储存方式、方法以及储存数量应当符合国家标准或者国家有关规定。</w:t>
            </w:r>
          </w:p>
        </w:tc>
        <w:tc>
          <w:tcPr>
            <w:tcW w:w="2715"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《危险化学品安全管理条例》第</w:t>
            </w:r>
            <w:r>
              <w:rPr>
                <w:rFonts w:ascii="宋体" w:hAnsi="宋体" w:cs="宋体"/>
                <w:kern w:val="0"/>
                <w:sz w:val="13"/>
                <w:szCs w:val="18"/>
              </w:rPr>
              <w:t xml:space="preserve"> 24 </w:t>
            </w:r>
            <w:r>
              <w:rPr>
                <w:rFonts w:hint="eastAsia" w:ascii="宋体" w:hAnsi="宋体" w:cs="宋体"/>
                <w:kern w:val="0"/>
                <w:sz w:val="13"/>
                <w:szCs w:val="18"/>
              </w:rPr>
              <w:t>条</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hint="eastAsia" w:ascii="宋体" w:hAnsi="宋体" w:cs="Arial"/>
                <w:kern w:val="0"/>
                <w:sz w:val="13"/>
                <w:szCs w:val="18"/>
              </w:rPr>
              <w:t xml:space="preserve"> </w:t>
            </w:r>
            <w:r>
              <w:rPr>
                <w:rFonts w:ascii="宋体" w:hAnsi="宋体" w:cs="Arial"/>
                <w:kern w:val="0"/>
                <w:sz w:val="13"/>
                <w:szCs w:val="18"/>
              </w:rPr>
              <w:t>11</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储存危险化学品的单位应当建立危险化学品出入库核查、登记制度。对剧毒化学品以及储存数量构成重大危险源的其他危险化学品，储存单位应当将其储存数量、储存地点以及管理人员的情况，报所在地县级人</w:t>
            </w:r>
            <w:r>
              <w:rPr>
                <w:rFonts w:ascii="宋体" w:hAnsi="宋体" w:cs="宋体"/>
                <w:kern w:val="0"/>
                <w:sz w:val="13"/>
                <w:szCs w:val="18"/>
              </w:rPr>
              <w:t xml:space="preserve"> </w:t>
            </w:r>
            <w:r>
              <w:rPr>
                <w:rFonts w:hint="eastAsia" w:ascii="宋体" w:hAnsi="宋体" w:cs="宋体"/>
                <w:kern w:val="0"/>
                <w:sz w:val="13"/>
                <w:szCs w:val="18"/>
              </w:rPr>
              <w:t>民政府安全生产监督管理部门（在港区内储存的，报港口行政管理部门）和公安机关备案。</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《危险化学品安全管理条例》第</w:t>
            </w:r>
            <w:r>
              <w:rPr>
                <w:rFonts w:ascii="宋体" w:hAnsi="宋体" w:cs="宋体"/>
                <w:kern w:val="0"/>
                <w:sz w:val="13"/>
                <w:szCs w:val="18"/>
              </w:rPr>
              <w:t xml:space="preserve"> </w:t>
            </w:r>
            <w:r>
              <w:rPr>
                <w:rFonts w:ascii="宋体" w:hAnsi="宋体" w:cs="Arial"/>
                <w:kern w:val="0"/>
                <w:sz w:val="13"/>
                <w:szCs w:val="18"/>
              </w:rPr>
              <w:t xml:space="preserve">25 </w:t>
            </w:r>
            <w:r>
              <w:rPr>
                <w:rFonts w:hint="eastAsia" w:ascii="宋体" w:hAnsi="宋体" w:cs="宋体"/>
                <w:kern w:val="0"/>
                <w:sz w:val="13"/>
                <w:szCs w:val="18"/>
              </w:rPr>
              <w:t>条</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right"/>
              <w:rPr>
                <w:rFonts w:ascii="宋体" w:hAnsi="宋体"/>
                <w:kern w:val="0"/>
                <w:sz w:val="13"/>
                <w:szCs w:val="18"/>
              </w:rPr>
            </w:pPr>
          </w:p>
          <w:p>
            <w:pPr>
              <w:autoSpaceDE w:val="0"/>
              <w:autoSpaceDN w:val="0"/>
              <w:adjustRightInd w:val="0"/>
              <w:jc w:val="right"/>
              <w:rPr>
                <w:rFonts w:ascii="宋体" w:hAnsi="宋体"/>
                <w:kern w:val="0"/>
                <w:sz w:val="13"/>
                <w:szCs w:val="18"/>
              </w:rPr>
            </w:pPr>
          </w:p>
          <w:p>
            <w:pPr>
              <w:autoSpaceDE w:val="0"/>
              <w:autoSpaceDN w:val="0"/>
              <w:adjustRightInd w:val="0"/>
              <w:jc w:val="right"/>
              <w:rPr>
                <w:rFonts w:ascii="宋体" w:hAnsi="宋体"/>
                <w:kern w:val="0"/>
                <w:sz w:val="13"/>
                <w:szCs w:val="18"/>
              </w:rPr>
            </w:pPr>
            <w:r>
              <w:rPr>
                <w:rFonts w:ascii="宋体" w:hAnsi="宋体" w:cs="Arial"/>
                <w:kern w:val="0"/>
                <w:sz w:val="13"/>
                <w:szCs w:val="18"/>
              </w:rPr>
              <w:t>12</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危险化学品专用仓库应当符合国家标准、行业标准的要求，并设置明显的标志。储存剧毒化学品、易制爆危险化学品的专用仓库，应当按照国家有关规定设置相应的技术防范设施。</w:t>
            </w:r>
            <w:r>
              <w:rPr>
                <w:rFonts w:ascii="宋体" w:hAnsi="宋体" w:cs="宋体"/>
                <w:kern w:val="0"/>
                <w:sz w:val="13"/>
                <w:szCs w:val="18"/>
              </w:rPr>
              <w:t xml:space="preserve"> </w:t>
            </w:r>
            <w:r>
              <w:rPr>
                <w:rFonts w:hint="eastAsia" w:ascii="宋体" w:hAnsi="宋体" w:cs="宋体"/>
                <w:kern w:val="0"/>
                <w:sz w:val="13"/>
                <w:szCs w:val="18"/>
              </w:rPr>
              <w:t>储存危险化学品的单位应当对其危险化学品专用仓库的安全设施、设备定期进行检测、检验。</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《危险化学品安全管理条例》第</w:t>
            </w:r>
            <w:r>
              <w:rPr>
                <w:rFonts w:ascii="宋体" w:hAnsi="宋体" w:cs="宋体"/>
                <w:kern w:val="0"/>
                <w:sz w:val="13"/>
                <w:szCs w:val="18"/>
              </w:rPr>
              <w:t xml:space="preserve"> </w:t>
            </w:r>
            <w:r>
              <w:rPr>
                <w:rFonts w:ascii="宋体" w:hAnsi="宋体" w:cs="Arial"/>
                <w:kern w:val="0"/>
                <w:sz w:val="13"/>
                <w:szCs w:val="18"/>
              </w:rPr>
              <w:t xml:space="preserve">26 </w:t>
            </w:r>
            <w:r>
              <w:rPr>
                <w:rFonts w:hint="eastAsia" w:ascii="宋体" w:hAnsi="宋体" w:cs="宋体"/>
                <w:kern w:val="0"/>
                <w:sz w:val="13"/>
                <w:szCs w:val="18"/>
              </w:rPr>
              <w:t>条</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right"/>
              <w:rPr>
                <w:rFonts w:ascii="宋体" w:hAnsi="宋体"/>
                <w:kern w:val="0"/>
                <w:sz w:val="13"/>
                <w:szCs w:val="18"/>
              </w:rPr>
            </w:pPr>
          </w:p>
          <w:p>
            <w:pPr>
              <w:autoSpaceDE w:val="0"/>
              <w:autoSpaceDN w:val="0"/>
              <w:adjustRightInd w:val="0"/>
              <w:jc w:val="right"/>
              <w:rPr>
                <w:rFonts w:ascii="宋体" w:hAnsi="宋体"/>
                <w:kern w:val="0"/>
                <w:sz w:val="13"/>
                <w:szCs w:val="18"/>
              </w:rPr>
            </w:pPr>
            <w:r>
              <w:rPr>
                <w:rFonts w:ascii="宋体" w:hAnsi="宋体" w:cs="Arial"/>
                <w:kern w:val="0"/>
                <w:sz w:val="13"/>
                <w:szCs w:val="18"/>
              </w:rPr>
              <w:t>13</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企业应严格执行危险化学品运输、装卸安全管理制度，规范运输、装卸人员行为。</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《危险化学品从业单位安全生产标准化通用规范》</w:t>
            </w:r>
            <w:r>
              <w:rPr>
                <w:rFonts w:ascii="宋体" w:hAnsi="宋体" w:cs="Arial"/>
                <w:kern w:val="0"/>
                <w:sz w:val="13"/>
                <w:szCs w:val="18"/>
              </w:rPr>
              <w:t>(AQ3013</w:t>
            </w:r>
            <w:r>
              <w:rPr>
                <w:rFonts w:hint="eastAsia" w:ascii="宋体" w:hAnsi="宋体" w:cs="宋体"/>
                <w:kern w:val="0"/>
                <w:sz w:val="13"/>
                <w:szCs w:val="18"/>
              </w:rPr>
              <w:t>－</w:t>
            </w:r>
            <w:r>
              <w:rPr>
                <w:rFonts w:ascii="宋体" w:hAnsi="宋体" w:cs="Arial"/>
                <w:kern w:val="0"/>
                <w:sz w:val="13"/>
                <w:szCs w:val="18"/>
              </w:rPr>
              <w:t>2008)</w:t>
            </w:r>
          </w:p>
        </w:tc>
        <w:tc>
          <w:tcPr>
            <w:tcW w:w="1162" w:type="dxa"/>
            <w:vMerge w:val="continue"/>
          </w:tcPr>
          <w:p>
            <w:pPr>
              <w:rPr>
                <w:rFonts w:ascii="宋体" w:hAnsi="宋体" w:cs="宋体"/>
                <w:kern w:val="0"/>
                <w:sz w:val="13"/>
                <w:szCs w:val="18"/>
              </w:rPr>
            </w:pPr>
          </w:p>
        </w:tc>
      </w:tr>
    </w:tbl>
    <w:p>
      <w:pPr>
        <w:rPr>
          <w:sz w:val="16"/>
        </w:rPr>
      </w:pPr>
    </w:p>
    <w:p>
      <w:pPr>
        <w:rPr>
          <w:sz w:val="16"/>
        </w:rPr>
      </w:pPr>
    </w:p>
    <w:p>
      <w:pPr>
        <w:pStyle w:val="3"/>
        <w:rPr>
          <w:rFonts w:hint="default"/>
          <w:sz w:val="21"/>
          <w:szCs w:val="28"/>
        </w:rPr>
      </w:pPr>
      <w:bookmarkStart w:id="128" w:name="_Toc11921490"/>
      <w:r>
        <w:rPr>
          <w:sz w:val="21"/>
          <w:szCs w:val="28"/>
        </w:rPr>
        <w:t>8 储运系统隐患排查表</w:t>
      </w:r>
      <w:bookmarkEnd w:id="128"/>
    </w:p>
    <w:tbl>
      <w:tblPr>
        <w:tblStyle w:val="11"/>
        <w:tblW w:w="858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4234"/>
        <w:gridCol w:w="2714"/>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66"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34"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14"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7"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一、储运系统的安全管理制度及执行情况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储运系统的管理制度：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制定了储罐、可燃液体、液化烃的装卸设施、危险化学品仓库储存管理制度；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储运系统基础资料和技术档案齐全；</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当储运介质或运行条件发生变化应有审批手续并及时修订操作规程。</w:t>
            </w:r>
          </w:p>
        </w:tc>
        <w:tc>
          <w:tcPr>
            <w:tcW w:w="2714" w:type="dxa"/>
          </w:tcPr>
          <w:p>
            <w:pPr>
              <w:autoSpaceDE w:val="0"/>
              <w:autoSpaceDN w:val="0"/>
              <w:adjustRightInd w:val="0"/>
              <w:jc w:val="left"/>
              <w:rPr>
                <w:rFonts w:ascii="宋体" w:hAnsi="宋体"/>
                <w:kern w:val="0"/>
                <w:sz w:val="13"/>
                <w:szCs w:val="18"/>
              </w:rPr>
            </w:pPr>
          </w:p>
        </w:tc>
        <w:tc>
          <w:tcPr>
            <w:tcW w:w="1167" w:type="dxa"/>
          </w:tcPr>
          <w:p>
            <w:pPr>
              <w:autoSpaceDE w:val="0"/>
              <w:autoSpaceDN w:val="0"/>
              <w:adjustRightInd w:val="0"/>
              <w:jc w:val="left"/>
              <w:rPr>
                <w:rFonts w:ascii="宋体" w:hAnsi="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严格执行储罐的外部检查：</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定期进行外部检查；</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检查罐顶和罐壁变形、腐蚀情况，有记录、有测厚数据；</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检查罐底边缘板及外角焊缝腐蚀情况，有记录、有测厚</w:t>
            </w:r>
            <w:r>
              <w:rPr>
                <w:rFonts w:ascii="宋体" w:hAnsi="宋体" w:cs="宋体"/>
                <w:kern w:val="0"/>
                <w:sz w:val="13"/>
                <w:szCs w:val="18"/>
              </w:rPr>
              <w:t xml:space="preserve"> </w:t>
            </w:r>
            <w:r>
              <w:rPr>
                <w:rFonts w:hint="eastAsia" w:ascii="宋体" w:hAnsi="宋体" w:cs="宋体"/>
                <w:kern w:val="0"/>
                <w:sz w:val="13"/>
                <w:szCs w:val="18"/>
              </w:rPr>
              <w:t>数据；</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检查阀门、人孔、清扫孔等处的紧固件，有记录；</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检查罐体外部防腐涂层保温层及防水檐；</w:t>
            </w:r>
          </w:p>
          <w:p>
            <w:pPr>
              <w:autoSpaceDE w:val="0"/>
              <w:autoSpaceDN w:val="0"/>
              <w:adjustRightInd w:val="0"/>
              <w:jc w:val="left"/>
              <w:rPr>
                <w:rFonts w:ascii="宋体" w:hAnsi="宋体"/>
                <w:kern w:val="0"/>
                <w:sz w:val="13"/>
                <w:szCs w:val="18"/>
              </w:rPr>
            </w:pPr>
            <w:r>
              <w:rPr>
                <w:rFonts w:ascii="宋体" w:hAnsi="宋体" w:cs="Arial"/>
                <w:kern w:val="0"/>
                <w:sz w:val="13"/>
                <w:szCs w:val="18"/>
              </w:rPr>
              <w:t>6.</w:t>
            </w:r>
            <w:r>
              <w:rPr>
                <w:rFonts w:hint="eastAsia" w:ascii="宋体" w:hAnsi="宋体" w:cs="宋体"/>
                <w:kern w:val="0"/>
                <w:sz w:val="13"/>
                <w:szCs w:val="18"/>
              </w:rPr>
              <w:t>检查储罐基础及防火堤，有记录。</w:t>
            </w:r>
          </w:p>
        </w:tc>
        <w:tc>
          <w:tcPr>
            <w:tcW w:w="2714" w:type="dxa"/>
          </w:tcPr>
          <w:p>
            <w:pPr>
              <w:autoSpaceDE w:val="0"/>
              <w:autoSpaceDN w:val="0"/>
              <w:adjustRightInd w:val="0"/>
              <w:jc w:val="left"/>
              <w:rPr>
                <w:rFonts w:ascii="宋体" w:hAnsi="宋体"/>
                <w:kern w:val="0"/>
                <w:sz w:val="13"/>
                <w:szCs w:val="18"/>
              </w:rPr>
            </w:pPr>
          </w:p>
        </w:tc>
        <w:tc>
          <w:tcPr>
            <w:tcW w:w="1167"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执行储罐的全面检查和压力储罐的法定检测：严格按要求定期进行储罐全面检查；腐蚀严重的储罐已确定合理的全面检查周期。特殊情况无法按期检查的储罐有延期手续并有监控措施。</w:t>
            </w:r>
          </w:p>
        </w:tc>
        <w:tc>
          <w:tcPr>
            <w:tcW w:w="2714" w:type="dxa"/>
          </w:tcPr>
          <w:p>
            <w:pPr>
              <w:autoSpaceDE w:val="0"/>
              <w:autoSpaceDN w:val="0"/>
              <w:adjustRightInd w:val="0"/>
              <w:jc w:val="left"/>
              <w:rPr>
                <w:rFonts w:ascii="宋体" w:hAnsi="宋体"/>
                <w:kern w:val="0"/>
                <w:sz w:val="13"/>
                <w:szCs w:val="18"/>
              </w:rPr>
            </w:pPr>
          </w:p>
        </w:tc>
        <w:tc>
          <w:tcPr>
            <w:tcW w:w="1167" w:type="dxa"/>
          </w:tcPr>
          <w:p>
            <w:pPr>
              <w:autoSpaceDE w:val="0"/>
              <w:autoSpaceDN w:val="0"/>
              <w:adjustRightInd w:val="0"/>
              <w:jc w:val="left"/>
              <w:rPr>
                <w:rFonts w:ascii="宋体" w:hAnsi="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储罐的日常和检维修管理应满足：</w:t>
            </w:r>
          </w:p>
          <w:p>
            <w:pPr>
              <w:autoSpaceDE w:val="0"/>
              <w:autoSpaceDN w:val="0"/>
              <w:adjustRightInd w:val="0"/>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有储罐年度检测、修理、防腐计划；</w:t>
            </w:r>
          </w:p>
          <w:p>
            <w:pPr>
              <w:autoSpaceDE w:val="0"/>
              <w:autoSpaceDN w:val="0"/>
              <w:adjustRightInd w:val="0"/>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认真按规定的时间、路线和内容进行巡回检查，记录齐全；</w:t>
            </w:r>
          </w:p>
          <w:p>
            <w:pPr>
              <w:autoSpaceDE w:val="0"/>
              <w:autoSpaceDN w:val="0"/>
              <w:adjustRightInd w:val="0"/>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对储罐呼吸阀、阻火器、量油孔、泡沫发生器、转动扶梯、自动脱水器、高低液位报警器、人孔、透光孔、排污阀、液压安全阀、通气管、浮顶罐密封装置、罐壁通气孔、液面计等附件定期检查或检测，有储罐附件检查维护记录；</w:t>
            </w:r>
          </w:p>
          <w:p>
            <w:pPr>
              <w:autoSpaceDE w:val="0"/>
              <w:autoSpaceDN w:val="0"/>
              <w:adjustRightInd w:val="0"/>
              <w:rPr>
                <w:rFonts w:ascii="宋体" w:hAnsi="宋体"/>
                <w:kern w:val="0"/>
                <w:sz w:val="13"/>
                <w:szCs w:val="18"/>
              </w:rPr>
            </w:pPr>
            <w:r>
              <w:rPr>
                <w:rFonts w:ascii="宋体" w:hAnsi="宋体" w:cs="Arial"/>
                <w:kern w:val="0"/>
                <w:sz w:val="13"/>
                <w:szCs w:val="18"/>
              </w:rPr>
              <w:t>4.</w:t>
            </w:r>
            <w:r>
              <w:rPr>
                <w:rFonts w:hint="eastAsia" w:ascii="宋体" w:hAnsi="宋体" w:cs="宋体"/>
                <w:kern w:val="0"/>
                <w:sz w:val="13"/>
                <w:szCs w:val="18"/>
              </w:rPr>
              <w:t>定期进行储罐防雷防静电接地电阻测试，有测试记录。</w:t>
            </w:r>
          </w:p>
        </w:tc>
        <w:tc>
          <w:tcPr>
            <w:tcW w:w="2714" w:type="dxa"/>
          </w:tcPr>
          <w:p>
            <w:pPr>
              <w:autoSpaceDE w:val="0"/>
              <w:autoSpaceDN w:val="0"/>
              <w:adjustRightInd w:val="0"/>
              <w:jc w:val="left"/>
              <w:rPr>
                <w:rFonts w:ascii="宋体" w:hAnsi="宋体"/>
                <w:kern w:val="0"/>
                <w:sz w:val="13"/>
                <w:szCs w:val="18"/>
              </w:rPr>
            </w:pPr>
          </w:p>
        </w:tc>
        <w:tc>
          <w:tcPr>
            <w:tcW w:w="1167" w:type="dxa"/>
          </w:tcPr>
          <w:p>
            <w:pPr>
              <w:autoSpaceDE w:val="0"/>
              <w:autoSpaceDN w:val="0"/>
              <w:adjustRightInd w:val="0"/>
              <w:jc w:val="left"/>
              <w:rPr>
                <w:rFonts w:ascii="宋体" w:hAnsi="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二、储罐区的安全设计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易燃、可燃液体及可燃气体罐区下列方面应符合《石油和天然气工程设计防火规范》</w:t>
            </w:r>
            <w:r>
              <w:rPr>
                <w:rFonts w:ascii="宋体" w:hAnsi="宋体" w:cs="宋体"/>
                <w:kern w:val="0"/>
                <w:sz w:val="13"/>
                <w:szCs w:val="18"/>
              </w:rPr>
              <w:t>GB50183.</w:t>
            </w:r>
            <w:r>
              <w:rPr>
                <w:rFonts w:hint="eastAsia" w:ascii="宋体" w:hAnsi="宋体" w:cs="宋体"/>
                <w:kern w:val="0"/>
                <w:sz w:val="13"/>
                <w:szCs w:val="18"/>
              </w:rPr>
              <w:t>《石油化工企业设计防火规范》</w:t>
            </w:r>
            <w:r>
              <w:rPr>
                <w:rFonts w:ascii="宋体" w:hAnsi="宋体" w:cs="宋体"/>
                <w:kern w:val="0"/>
                <w:sz w:val="13"/>
                <w:szCs w:val="18"/>
              </w:rPr>
              <w:t>GB50160</w:t>
            </w:r>
            <w:r>
              <w:rPr>
                <w:rFonts w:hint="eastAsia" w:ascii="宋体" w:hAnsi="宋体" w:cs="宋体"/>
                <w:kern w:val="0"/>
                <w:sz w:val="13"/>
                <w:szCs w:val="18"/>
              </w:rPr>
              <w:t>及《石油库设计规范》</w:t>
            </w:r>
            <w:r>
              <w:rPr>
                <w:rFonts w:ascii="宋体" w:hAnsi="宋体" w:cs="宋体"/>
                <w:kern w:val="0"/>
                <w:sz w:val="13"/>
                <w:szCs w:val="18"/>
              </w:rPr>
              <w:t>GB50074</w:t>
            </w:r>
            <w:r>
              <w:rPr>
                <w:rFonts w:hint="eastAsia" w:ascii="宋体" w:hAnsi="宋体" w:cs="宋体"/>
                <w:kern w:val="0"/>
                <w:sz w:val="13"/>
                <w:szCs w:val="18"/>
              </w:rPr>
              <w:t>等相关规范要求：</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防火间距；</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罐组总容、罐组布置；</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防火堤及隔堤；</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放空或转移；</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5.</w:t>
            </w:r>
            <w:r>
              <w:rPr>
                <w:rFonts w:hint="eastAsia" w:ascii="宋体" w:hAnsi="宋体" w:cs="宋体"/>
                <w:kern w:val="0"/>
                <w:sz w:val="13"/>
                <w:szCs w:val="18"/>
              </w:rPr>
              <w:t>液位报警、快速切断；</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6.</w:t>
            </w:r>
            <w:r>
              <w:rPr>
                <w:rFonts w:hint="eastAsia" w:ascii="宋体" w:hAnsi="宋体" w:cs="宋体"/>
                <w:kern w:val="0"/>
                <w:sz w:val="13"/>
                <w:szCs w:val="18"/>
              </w:rPr>
              <w:t>安全附件（如呼吸阀、阻火器、安全阀等）；</w:t>
            </w:r>
          </w:p>
          <w:p>
            <w:pPr>
              <w:autoSpaceDE w:val="0"/>
              <w:autoSpaceDN w:val="0"/>
              <w:adjustRightInd w:val="0"/>
              <w:rPr>
                <w:rFonts w:ascii="宋体" w:hAnsi="宋体" w:cs="宋体"/>
                <w:kern w:val="0"/>
                <w:sz w:val="13"/>
                <w:szCs w:val="18"/>
              </w:rPr>
            </w:pPr>
            <w:r>
              <w:rPr>
                <w:rFonts w:ascii="宋体" w:hAnsi="宋体" w:cs="宋体"/>
                <w:kern w:val="0"/>
                <w:sz w:val="13"/>
                <w:szCs w:val="18"/>
              </w:rPr>
              <w:t>7.</w:t>
            </w:r>
            <w:r>
              <w:rPr>
                <w:rFonts w:hint="eastAsia" w:ascii="宋体" w:hAnsi="宋体" w:cs="宋体"/>
                <w:kern w:val="0"/>
                <w:sz w:val="13"/>
                <w:szCs w:val="18"/>
              </w:rPr>
              <w:t>水封井、排水闸阀。</w:t>
            </w:r>
          </w:p>
        </w:tc>
        <w:tc>
          <w:tcPr>
            <w:tcW w:w="2714" w:type="dxa"/>
          </w:tcPr>
          <w:p>
            <w:pPr>
              <w:autoSpaceDE w:val="0"/>
              <w:autoSpaceDN w:val="0"/>
              <w:adjustRightInd w:val="0"/>
              <w:jc w:val="left"/>
              <w:rPr>
                <w:rFonts w:ascii="宋体" w:hAnsi="宋体"/>
                <w:kern w:val="0"/>
                <w:sz w:val="13"/>
                <w:szCs w:val="18"/>
              </w:rPr>
            </w:pPr>
          </w:p>
        </w:tc>
        <w:tc>
          <w:tcPr>
            <w:tcW w:w="1167"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危险化学品重大危险源罐区下列安全监控装备应满足《危险化学品重大危险源罐区现场安全监控装备设置规范》</w:t>
            </w:r>
            <w:r>
              <w:rPr>
                <w:rFonts w:ascii="宋体" w:hAnsi="宋体" w:cs="宋体"/>
                <w:kern w:val="0"/>
                <w:sz w:val="13"/>
                <w:szCs w:val="18"/>
              </w:rPr>
              <w:t>AQ3036</w:t>
            </w:r>
            <w:r>
              <w:rPr>
                <w:rFonts w:hint="eastAsia" w:ascii="宋体" w:hAnsi="宋体" w:cs="宋体"/>
                <w:kern w:val="0"/>
                <w:sz w:val="13"/>
                <w:szCs w:val="18"/>
              </w:rPr>
              <w:t>的规定：</w:t>
            </w:r>
          </w:p>
          <w:p>
            <w:pPr>
              <w:tabs>
                <w:tab w:val="left" w:pos="4020"/>
              </w:tabs>
              <w:autoSpaceDE w:val="0"/>
              <w:autoSpaceDN w:val="0"/>
              <w:adjustRightInd w:val="0"/>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储罐运行参数的监控与重要运行参数的联锁；</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储罐区可燃气体或有毒气体监测报警和泄漏控制设备的设置；</w:t>
            </w:r>
          </w:p>
          <w:p>
            <w:pPr>
              <w:autoSpaceDE w:val="0"/>
              <w:autoSpaceDN w:val="0"/>
              <w:adjustRightInd w:val="0"/>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罐区气象监测、防雷和防静电装备的设置；</w:t>
            </w:r>
          </w:p>
          <w:p>
            <w:pPr>
              <w:autoSpaceDE w:val="0"/>
              <w:autoSpaceDN w:val="0"/>
              <w:adjustRightInd w:val="0"/>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罐区火灾监控装置的设置；</w:t>
            </w:r>
          </w:p>
          <w:p>
            <w:pPr>
              <w:autoSpaceDE w:val="0"/>
              <w:autoSpaceDN w:val="0"/>
              <w:adjustRightInd w:val="0"/>
              <w:rPr>
                <w:rFonts w:ascii="宋体" w:hAnsi="宋体" w:cs="宋体"/>
                <w:kern w:val="0"/>
                <w:sz w:val="13"/>
                <w:szCs w:val="18"/>
              </w:rPr>
            </w:pPr>
            <w:r>
              <w:rPr>
                <w:rFonts w:ascii="宋体" w:hAnsi="宋体" w:cs="宋体"/>
                <w:kern w:val="0"/>
                <w:sz w:val="13"/>
                <w:szCs w:val="18"/>
              </w:rPr>
              <w:t>5.</w:t>
            </w:r>
            <w:r>
              <w:rPr>
                <w:rFonts w:hint="eastAsia" w:ascii="宋体" w:hAnsi="宋体" w:cs="宋体"/>
                <w:kern w:val="0"/>
                <w:sz w:val="13"/>
                <w:szCs w:val="18"/>
              </w:rPr>
              <w:t>音频视频监控装备的设置。</w:t>
            </w:r>
          </w:p>
        </w:tc>
        <w:tc>
          <w:tcPr>
            <w:tcW w:w="2714" w:type="dxa"/>
          </w:tcPr>
          <w:p>
            <w:pPr>
              <w:autoSpaceDE w:val="0"/>
              <w:autoSpaceDN w:val="0"/>
              <w:adjustRightInd w:val="0"/>
              <w:jc w:val="left"/>
              <w:rPr>
                <w:rFonts w:ascii="宋体" w:hAnsi="宋体"/>
                <w:kern w:val="0"/>
                <w:sz w:val="13"/>
                <w:szCs w:val="18"/>
              </w:rPr>
            </w:pPr>
          </w:p>
        </w:tc>
        <w:tc>
          <w:tcPr>
            <w:tcW w:w="1167" w:type="dxa"/>
            <w:vMerge w:val="restart"/>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防火堤应《防火堤设计规范》</w:t>
            </w:r>
            <w:r>
              <w:rPr>
                <w:rFonts w:ascii="宋体" w:hAnsi="宋体" w:cs="宋体"/>
                <w:kern w:val="0"/>
                <w:sz w:val="13"/>
                <w:szCs w:val="18"/>
              </w:rPr>
              <w:t xml:space="preserve">GB50351-2005 </w:t>
            </w:r>
            <w:r>
              <w:rPr>
                <w:rFonts w:hint="eastAsia" w:ascii="宋体" w:hAnsi="宋体" w:cs="宋体"/>
                <w:kern w:val="0"/>
                <w:sz w:val="13"/>
                <w:szCs w:val="18"/>
              </w:rPr>
              <w:t>规范的相关要求：</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防火堤的材质、耐火性能以及伸缩缝配置应满足规范要求；</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防火堤容积应满足规范要求</w:t>
            </w:r>
            <w:r>
              <w:rPr>
                <w:rFonts w:ascii="宋体" w:hAnsi="宋体" w:cs="宋体"/>
                <w:kern w:val="0"/>
                <w:sz w:val="13"/>
                <w:szCs w:val="18"/>
              </w:rPr>
              <w:t>,</w:t>
            </w:r>
            <w:r>
              <w:rPr>
                <w:rFonts w:hint="eastAsia" w:ascii="宋体" w:hAnsi="宋体" w:cs="宋体"/>
                <w:kern w:val="0"/>
                <w:sz w:val="13"/>
                <w:szCs w:val="18"/>
              </w:rPr>
              <w:t>并能承受所容纳油品的静压力且不渗漏；</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防火堤内不得种植作物或树木，不得有超过</w:t>
            </w:r>
            <w:r>
              <w:rPr>
                <w:rFonts w:ascii="宋体" w:hAnsi="宋体" w:cs="宋体"/>
                <w:kern w:val="0"/>
                <w:sz w:val="13"/>
                <w:szCs w:val="18"/>
              </w:rPr>
              <w:t xml:space="preserve"> 0.15m </w:t>
            </w:r>
            <w:r>
              <w:rPr>
                <w:rFonts w:hint="eastAsia" w:ascii="宋体" w:hAnsi="宋体" w:cs="宋体"/>
                <w:kern w:val="0"/>
                <w:sz w:val="13"/>
                <w:szCs w:val="18"/>
              </w:rPr>
              <w:t>高的草坪；</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液化烃罐区防火堤内严禁绿化。</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当防火堤容积不能满足“清净下水”的收容要求时，按要求设置事故存液池。</w:t>
            </w:r>
          </w:p>
        </w:tc>
        <w:tc>
          <w:tcPr>
            <w:tcW w:w="271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安监总危化字〔</w:t>
            </w:r>
            <w:r>
              <w:rPr>
                <w:rFonts w:ascii="宋体" w:hAnsi="宋体" w:cs="宋体"/>
                <w:kern w:val="0"/>
                <w:sz w:val="13"/>
                <w:szCs w:val="18"/>
              </w:rPr>
              <w:t>2006</w:t>
            </w:r>
            <w:r>
              <w:rPr>
                <w:rFonts w:hint="eastAsia" w:ascii="宋体" w:hAnsi="宋体" w:cs="宋体"/>
                <w:kern w:val="0"/>
                <w:sz w:val="13"/>
                <w:szCs w:val="18"/>
              </w:rPr>
              <w:t>〕</w:t>
            </w:r>
            <w:r>
              <w:rPr>
                <w:rFonts w:ascii="宋体" w:hAnsi="宋体" w:cs="宋体"/>
                <w:kern w:val="0"/>
                <w:sz w:val="13"/>
                <w:szCs w:val="18"/>
              </w:rPr>
              <w:t xml:space="preserve">10 </w:t>
            </w:r>
            <w:r>
              <w:rPr>
                <w:rFonts w:hint="eastAsia" w:ascii="宋体" w:hAnsi="宋体" w:cs="宋体"/>
                <w:kern w:val="0"/>
                <w:sz w:val="13"/>
                <w:szCs w:val="18"/>
              </w:rPr>
              <w:t>号</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储存、收发甲、乙</w:t>
            </w:r>
            <w:r>
              <w:rPr>
                <w:rFonts w:ascii="宋体" w:hAnsi="宋体" w:cs="宋体"/>
                <w:kern w:val="0"/>
                <w:sz w:val="13"/>
                <w:szCs w:val="18"/>
              </w:rPr>
              <w:t xml:space="preserve"> A </w:t>
            </w:r>
            <w:r>
              <w:rPr>
                <w:rFonts w:hint="eastAsia" w:ascii="宋体" w:hAnsi="宋体" w:cs="宋体"/>
                <w:kern w:val="0"/>
                <w:sz w:val="13"/>
                <w:szCs w:val="18"/>
              </w:rPr>
              <w:t>类易燃、可燃液体的储罐区、泵房、装卸作业等场所可燃气体报警器的设置应满足《石油化工企业可燃气体和有毒气体检测报警设计规范》</w:t>
            </w:r>
            <w:r>
              <w:rPr>
                <w:rFonts w:ascii="宋体" w:hAnsi="宋体" w:cs="宋体"/>
                <w:kern w:val="0"/>
                <w:sz w:val="13"/>
                <w:szCs w:val="18"/>
              </w:rPr>
              <w:t xml:space="preserve">GB50493 </w:t>
            </w:r>
            <w:r>
              <w:rPr>
                <w:rFonts w:hint="eastAsia" w:ascii="宋体" w:hAnsi="宋体" w:cs="宋体"/>
                <w:kern w:val="0"/>
                <w:sz w:val="13"/>
                <w:szCs w:val="18"/>
              </w:rPr>
              <w:t>的要求。</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对于液化烃、甲</w:t>
            </w:r>
            <w:r>
              <w:rPr>
                <w:rFonts w:ascii="宋体" w:hAnsi="宋体" w:cs="宋体"/>
                <w:kern w:val="0"/>
                <w:sz w:val="13"/>
                <w:szCs w:val="18"/>
              </w:rPr>
              <w:t xml:space="preserve"> B</w:t>
            </w:r>
            <w:r>
              <w:rPr>
                <w:rFonts w:hint="eastAsia" w:ascii="宋体" w:hAnsi="宋体" w:cs="宋体"/>
                <w:kern w:val="0"/>
                <w:sz w:val="13"/>
                <w:szCs w:val="18"/>
              </w:rPr>
              <w:t>、乙</w:t>
            </w:r>
            <w:r>
              <w:rPr>
                <w:rFonts w:ascii="宋体" w:hAnsi="宋体" w:cs="宋体"/>
                <w:kern w:val="0"/>
                <w:sz w:val="13"/>
                <w:szCs w:val="18"/>
              </w:rPr>
              <w:t xml:space="preserve"> A </w:t>
            </w:r>
            <w:r>
              <w:rPr>
                <w:rFonts w:hint="eastAsia" w:ascii="宋体" w:hAnsi="宋体" w:cs="宋体"/>
                <w:kern w:val="0"/>
                <w:sz w:val="13"/>
                <w:szCs w:val="18"/>
              </w:rPr>
              <w:t>类液体等产生可燃气体的液体储罐的防火堤内，应设检</w:t>
            </w:r>
            <w:r>
              <w:rPr>
                <w:rFonts w:ascii="宋体" w:hAnsi="宋体" w:cs="宋体"/>
                <w:kern w:val="0"/>
                <w:sz w:val="13"/>
                <w:szCs w:val="18"/>
              </w:rPr>
              <w:t>(</w:t>
            </w:r>
            <w:r>
              <w:rPr>
                <w:rFonts w:hint="eastAsia" w:ascii="宋体" w:hAnsi="宋体" w:cs="宋体"/>
                <w:kern w:val="0"/>
                <w:sz w:val="13"/>
                <w:szCs w:val="18"/>
              </w:rPr>
              <w:t>探</w:t>
            </w:r>
            <w:r>
              <w:rPr>
                <w:rFonts w:ascii="宋体" w:hAnsi="宋体" w:cs="宋体"/>
                <w:kern w:val="0"/>
                <w:sz w:val="13"/>
                <w:szCs w:val="18"/>
              </w:rPr>
              <w:t>)</w:t>
            </w:r>
            <w:r>
              <w:rPr>
                <w:rFonts w:hint="eastAsia" w:ascii="宋体" w:hAnsi="宋体" w:cs="宋体"/>
                <w:kern w:val="0"/>
                <w:sz w:val="13"/>
                <w:szCs w:val="18"/>
              </w:rPr>
              <w:t>测器，并符合下列规定</w:t>
            </w:r>
            <w:r>
              <w:rPr>
                <w:rFonts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当检</w:t>
            </w:r>
            <w:r>
              <w:rPr>
                <w:rFonts w:ascii="宋体" w:hAnsi="宋体" w:cs="宋体"/>
                <w:kern w:val="0"/>
                <w:sz w:val="13"/>
                <w:szCs w:val="18"/>
              </w:rPr>
              <w:t>(</w:t>
            </w:r>
            <w:r>
              <w:rPr>
                <w:rFonts w:hint="eastAsia" w:ascii="宋体" w:hAnsi="宋体" w:cs="宋体"/>
                <w:kern w:val="0"/>
                <w:sz w:val="13"/>
                <w:szCs w:val="18"/>
              </w:rPr>
              <w:t>探</w:t>
            </w:r>
            <w:r>
              <w:rPr>
                <w:rFonts w:ascii="宋体" w:hAnsi="宋体" w:cs="宋体"/>
                <w:kern w:val="0"/>
                <w:sz w:val="13"/>
                <w:szCs w:val="18"/>
              </w:rPr>
              <w:t>)</w:t>
            </w:r>
            <w:r>
              <w:rPr>
                <w:rFonts w:hint="eastAsia" w:ascii="宋体" w:hAnsi="宋体" w:cs="宋体"/>
                <w:kern w:val="0"/>
                <w:sz w:val="13"/>
                <w:szCs w:val="18"/>
              </w:rPr>
              <w:t>测点位于释放源的全年最小频率风向的上风</w:t>
            </w:r>
            <w:r>
              <w:rPr>
                <w:rFonts w:ascii="宋体" w:hAnsi="宋体" w:cs="宋体"/>
                <w:kern w:val="0"/>
                <w:sz w:val="13"/>
                <w:szCs w:val="18"/>
              </w:rPr>
              <w:t xml:space="preserve"> </w:t>
            </w:r>
            <w:r>
              <w:rPr>
                <w:rFonts w:hint="eastAsia" w:ascii="宋体" w:hAnsi="宋体" w:cs="宋体"/>
                <w:kern w:val="0"/>
                <w:sz w:val="13"/>
                <w:szCs w:val="18"/>
              </w:rPr>
              <w:t>侧时，可燃气体检</w:t>
            </w:r>
            <w:r>
              <w:rPr>
                <w:rFonts w:ascii="宋体" w:hAnsi="宋体" w:cs="宋体"/>
                <w:kern w:val="0"/>
                <w:sz w:val="13"/>
                <w:szCs w:val="18"/>
              </w:rPr>
              <w:t>(</w:t>
            </w:r>
            <w:r>
              <w:rPr>
                <w:rFonts w:hint="eastAsia" w:ascii="宋体" w:hAnsi="宋体" w:cs="宋体"/>
                <w:kern w:val="0"/>
                <w:sz w:val="13"/>
                <w:szCs w:val="18"/>
              </w:rPr>
              <w:t>探</w:t>
            </w:r>
            <w:r>
              <w:rPr>
                <w:rFonts w:ascii="宋体" w:hAnsi="宋体" w:cs="宋体"/>
                <w:kern w:val="0"/>
                <w:sz w:val="13"/>
                <w:szCs w:val="18"/>
              </w:rPr>
              <w:t>)</w:t>
            </w:r>
            <w:r>
              <w:rPr>
                <w:rFonts w:hint="eastAsia" w:ascii="宋体" w:hAnsi="宋体" w:cs="宋体"/>
                <w:kern w:val="0"/>
                <w:sz w:val="13"/>
                <w:szCs w:val="18"/>
              </w:rPr>
              <w:t>测点与释放源的距离不宜大于</w:t>
            </w:r>
            <w:r>
              <w:rPr>
                <w:rFonts w:ascii="宋体" w:hAnsi="宋体" w:cs="宋体"/>
                <w:kern w:val="0"/>
                <w:sz w:val="13"/>
                <w:szCs w:val="18"/>
              </w:rPr>
              <w:t>15m</w:t>
            </w:r>
            <w:r>
              <w:rPr>
                <w:rFonts w:hint="eastAsia" w:ascii="宋体" w:hAnsi="宋体" w:cs="宋体"/>
                <w:kern w:val="0"/>
                <w:sz w:val="13"/>
                <w:szCs w:val="18"/>
              </w:rPr>
              <w:t>，有毒气体检</w:t>
            </w:r>
            <w:r>
              <w:rPr>
                <w:rFonts w:ascii="宋体" w:hAnsi="宋体" w:cs="宋体"/>
                <w:kern w:val="0"/>
                <w:sz w:val="13"/>
                <w:szCs w:val="18"/>
              </w:rPr>
              <w:t>(</w:t>
            </w:r>
            <w:r>
              <w:rPr>
                <w:rFonts w:hint="eastAsia" w:ascii="宋体" w:hAnsi="宋体" w:cs="宋体"/>
                <w:kern w:val="0"/>
                <w:sz w:val="13"/>
                <w:szCs w:val="18"/>
              </w:rPr>
              <w:t>探</w:t>
            </w:r>
            <w:r>
              <w:rPr>
                <w:rFonts w:ascii="宋体" w:hAnsi="宋体" w:cs="宋体"/>
                <w:kern w:val="0"/>
                <w:sz w:val="13"/>
                <w:szCs w:val="18"/>
              </w:rPr>
              <w:t>)</w:t>
            </w:r>
            <w:r>
              <w:rPr>
                <w:rFonts w:hint="eastAsia" w:ascii="宋体" w:hAnsi="宋体" w:cs="宋体"/>
                <w:kern w:val="0"/>
                <w:sz w:val="13"/>
                <w:szCs w:val="18"/>
              </w:rPr>
              <w:t>测点与释放源的距离不宜大于</w:t>
            </w:r>
            <w:r>
              <w:rPr>
                <w:rFonts w:ascii="宋体" w:hAnsi="宋体" w:cs="宋体"/>
                <w:kern w:val="0"/>
                <w:sz w:val="13"/>
                <w:szCs w:val="18"/>
              </w:rPr>
              <w:t xml:space="preserve"> 2m</w:t>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当检</w:t>
            </w:r>
            <w:r>
              <w:rPr>
                <w:rFonts w:ascii="宋体" w:hAnsi="宋体" w:cs="宋体"/>
                <w:kern w:val="0"/>
                <w:sz w:val="13"/>
                <w:szCs w:val="18"/>
              </w:rPr>
              <w:t>(</w:t>
            </w:r>
            <w:r>
              <w:rPr>
                <w:rFonts w:hint="eastAsia" w:ascii="宋体" w:hAnsi="宋体" w:cs="宋体"/>
                <w:kern w:val="0"/>
                <w:sz w:val="13"/>
                <w:szCs w:val="18"/>
              </w:rPr>
              <w:t>探</w:t>
            </w:r>
            <w:r>
              <w:rPr>
                <w:rFonts w:ascii="宋体" w:hAnsi="宋体" w:cs="宋体"/>
                <w:kern w:val="0"/>
                <w:sz w:val="13"/>
                <w:szCs w:val="18"/>
              </w:rPr>
              <w:t>)</w:t>
            </w:r>
            <w:r>
              <w:rPr>
                <w:rFonts w:hint="eastAsia" w:ascii="宋体" w:hAnsi="宋体" w:cs="宋体"/>
                <w:kern w:val="0"/>
                <w:sz w:val="13"/>
                <w:szCs w:val="18"/>
              </w:rPr>
              <w:t>测点位于释放源的全年最小频率风向的下风</w:t>
            </w:r>
            <w:r>
              <w:rPr>
                <w:rFonts w:ascii="宋体" w:hAnsi="宋体" w:cs="宋体"/>
                <w:kern w:val="0"/>
                <w:sz w:val="13"/>
                <w:szCs w:val="18"/>
              </w:rPr>
              <w:t xml:space="preserve"> </w:t>
            </w:r>
            <w:r>
              <w:rPr>
                <w:rFonts w:hint="eastAsia" w:ascii="宋体" w:hAnsi="宋体" w:cs="宋体"/>
                <w:kern w:val="0"/>
                <w:sz w:val="13"/>
                <w:szCs w:val="18"/>
              </w:rPr>
              <w:t>侧时，可燃气体检</w:t>
            </w:r>
            <w:r>
              <w:rPr>
                <w:rFonts w:ascii="宋体" w:hAnsi="宋体" w:cs="宋体"/>
                <w:kern w:val="0"/>
                <w:sz w:val="13"/>
                <w:szCs w:val="18"/>
              </w:rPr>
              <w:t>(</w:t>
            </w:r>
            <w:r>
              <w:rPr>
                <w:rFonts w:hint="eastAsia" w:ascii="宋体" w:hAnsi="宋体" w:cs="宋体"/>
                <w:kern w:val="0"/>
                <w:sz w:val="13"/>
                <w:szCs w:val="18"/>
              </w:rPr>
              <w:t>探</w:t>
            </w:r>
            <w:r>
              <w:rPr>
                <w:rFonts w:ascii="宋体" w:hAnsi="宋体" w:cs="宋体"/>
                <w:kern w:val="0"/>
                <w:sz w:val="13"/>
                <w:szCs w:val="18"/>
              </w:rPr>
              <w:t>)</w:t>
            </w:r>
            <w:r>
              <w:rPr>
                <w:rFonts w:hint="eastAsia" w:ascii="宋体" w:hAnsi="宋体" w:cs="宋体"/>
                <w:kern w:val="0"/>
                <w:sz w:val="13"/>
                <w:szCs w:val="18"/>
              </w:rPr>
              <w:t>测点与释放源的距离不宜大于</w:t>
            </w:r>
            <w:r>
              <w:rPr>
                <w:rFonts w:ascii="宋体" w:hAnsi="宋体" w:cs="宋体"/>
                <w:kern w:val="0"/>
                <w:sz w:val="13"/>
                <w:szCs w:val="18"/>
              </w:rPr>
              <w:t>5m</w:t>
            </w:r>
            <w:r>
              <w:rPr>
                <w:rFonts w:hint="eastAsia" w:ascii="宋体" w:hAnsi="宋体" w:cs="宋体"/>
                <w:kern w:val="0"/>
                <w:sz w:val="13"/>
                <w:szCs w:val="18"/>
              </w:rPr>
              <w:t>，有毒气体检</w:t>
            </w:r>
            <w:r>
              <w:rPr>
                <w:rFonts w:ascii="宋体" w:hAnsi="宋体" w:cs="宋体"/>
                <w:kern w:val="0"/>
                <w:sz w:val="13"/>
                <w:szCs w:val="18"/>
              </w:rPr>
              <w:t>(</w:t>
            </w:r>
            <w:r>
              <w:rPr>
                <w:rFonts w:hint="eastAsia" w:ascii="宋体" w:hAnsi="宋体" w:cs="宋体"/>
                <w:kern w:val="0"/>
                <w:sz w:val="13"/>
                <w:szCs w:val="18"/>
              </w:rPr>
              <w:t>探</w:t>
            </w:r>
            <w:r>
              <w:rPr>
                <w:rFonts w:ascii="宋体" w:hAnsi="宋体" w:cs="宋体"/>
                <w:kern w:val="0"/>
                <w:sz w:val="13"/>
                <w:szCs w:val="18"/>
              </w:rPr>
              <w:t>)</w:t>
            </w:r>
            <w:r>
              <w:rPr>
                <w:rFonts w:hint="eastAsia" w:ascii="宋体" w:hAnsi="宋体" w:cs="宋体"/>
                <w:kern w:val="0"/>
                <w:sz w:val="13"/>
                <w:szCs w:val="18"/>
              </w:rPr>
              <w:t>测点与释放源的距离不宜大于</w:t>
            </w:r>
            <w:r>
              <w:rPr>
                <w:rFonts w:ascii="宋体" w:hAnsi="宋体" w:cs="宋体"/>
                <w:kern w:val="0"/>
                <w:sz w:val="13"/>
                <w:szCs w:val="18"/>
              </w:rPr>
              <w:t xml:space="preserve"> lm</w:t>
            </w:r>
            <w:r>
              <w:rPr>
                <w:rFonts w:hint="eastAsia" w:ascii="宋体" w:hAnsi="宋体" w:cs="宋体"/>
                <w:kern w:val="0"/>
                <w:sz w:val="13"/>
                <w:szCs w:val="18"/>
              </w:rPr>
              <w:t>。</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ind w:firstLine="130" w:firstLineChars="100"/>
              <w:jc w:val="left"/>
              <w:rPr>
                <w:rFonts w:ascii="宋体" w:hAnsi="宋体"/>
                <w:kern w:val="0"/>
                <w:sz w:val="13"/>
                <w:szCs w:val="18"/>
              </w:rPr>
            </w:pPr>
            <w:r>
              <w:rPr>
                <w:rFonts w:hint="eastAsia" w:ascii="宋体" w:hAnsi="宋体"/>
                <w:kern w:val="0"/>
                <w:sz w:val="13"/>
                <w:szCs w:val="18"/>
              </w:rPr>
              <w:t>6</w:t>
            </w: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易燃、可燃液体及可燃气体罐区消防系统应符合《石油和天然气工程设计防火规范》</w:t>
            </w:r>
            <w:r>
              <w:rPr>
                <w:rFonts w:ascii="宋体" w:hAnsi="宋体" w:cs="宋体"/>
                <w:kern w:val="0"/>
                <w:sz w:val="13"/>
                <w:szCs w:val="18"/>
              </w:rPr>
              <w:t>GB50183</w:t>
            </w:r>
            <w:r>
              <w:rPr>
                <w:rFonts w:hint="eastAsia" w:ascii="宋体" w:hAnsi="宋体" w:cs="宋体"/>
                <w:kern w:val="0"/>
                <w:sz w:val="13"/>
                <w:szCs w:val="18"/>
              </w:rPr>
              <w:t>《石油化工企业设计防火规范》</w:t>
            </w:r>
            <w:r>
              <w:rPr>
                <w:rFonts w:ascii="宋体" w:hAnsi="宋体" w:cs="宋体"/>
                <w:kern w:val="0"/>
                <w:sz w:val="13"/>
                <w:szCs w:val="18"/>
              </w:rPr>
              <w:t xml:space="preserve">GB50160 </w:t>
            </w:r>
            <w:r>
              <w:rPr>
                <w:rFonts w:hint="eastAsia" w:ascii="宋体" w:hAnsi="宋体" w:cs="宋体"/>
                <w:kern w:val="0"/>
                <w:sz w:val="13"/>
                <w:szCs w:val="18"/>
              </w:rPr>
              <w:t>及《石油库设计规范》</w:t>
            </w:r>
            <w:r>
              <w:rPr>
                <w:rFonts w:ascii="宋体" w:hAnsi="宋体" w:cs="宋体"/>
                <w:kern w:val="0"/>
                <w:sz w:val="13"/>
                <w:szCs w:val="18"/>
              </w:rPr>
              <w:t xml:space="preserve">GB50074 </w:t>
            </w:r>
            <w:r>
              <w:rPr>
                <w:rFonts w:hint="eastAsia" w:ascii="宋体" w:hAnsi="宋体" w:cs="宋体"/>
                <w:kern w:val="0"/>
                <w:sz w:val="13"/>
                <w:szCs w:val="18"/>
              </w:rPr>
              <w:t>等规范要求：</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消防设施配置（火灾报警装置、灭火器材、消防车等）；</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消防水源、水质、补水情况；</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消防冷却系统配置情况；</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泡沫灭火系统（包括泡沫消防水系统及泡沫系统）配置情况；</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5.</w:t>
            </w:r>
            <w:r>
              <w:rPr>
                <w:rFonts w:hint="eastAsia" w:ascii="宋体" w:hAnsi="宋体" w:cs="宋体"/>
                <w:kern w:val="0"/>
                <w:sz w:val="13"/>
                <w:szCs w:val="18"/>
              </w:rPr>
              <w:t>消防道路；</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6.</w:t>
            </w:r>
            <w:r>
              <w:rPr>
                <w:rFonts w:hint="eastAsia" w:ascii="宋体" w:hAnsi="宋体" w:cs="宋体"/>
                <w:kern w:val="0"/>
                <w:sz w:val="13"/>
                <w:szCs w:val="18"/>
              </w:rPr>
              <w:t>其他消防设施。</w:t>
            </w:r>
          </w:p>
        </w:tc>
        <w:tc>
          <w:tcPr>
            <w:tcW w:w="2714" w:type="dxa"/>
          </w:tcPr>
          <w:p>
            <w:pPr>
              <w:autoSpaceDE w:val="0"/>
              <w:autoSpaceDN w:val="0"/>
              <w:adjustRightInd w:val="0"/>
              <w:rPr>
                <w:rFonts w:ascii="宋体" w:hAnsi="宋体" w:cs="Arial"/>
                <w:kern w:val="0"/>
                <w:sz w:val="13"/>
                <w:szCs w:val="18"/>
              </w:rPr>
            </w:pPr>
            <w:r>
              <w:rPr>
                <w:rFonts w:hint="eastAsia" w:ascii="宋体" w:hAnsi="宋体" w:cs="宋体"/>
                <w:kern w:val="0"/>
                <w:sz w:val="13"/>
                <w:szCs w:val="18"/>
              </w:rPr>
              <w:t>《石油和天然气工程设计防火规范》</w:t>
            </w:r>
            <w:r>
              <w:rPr>
                <w:rFonts w:ascii="宋体" w:hAnsi="宋体" w:cs="Arial"/>
                <w:kern w:val="0"/>
                <w:sz w:val="13"/>
                <w:szCs w:val="18"/>
              </w:rPr>
              <w:t>GB50183</w:t>
            </w:r>
          </w:p>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w:t>
            </w:r>
            <w:r>
              <w:rPr>
                <w:rFonts w:ascii="宋体" w:hAnsi="宋体" w:cs="Arial"/>
                <w:kern w:val="0"/>
                <w:sz w:val="13"/>
                <w:szCs w:val="18"/>
              </w:rPr>
              <w:t xml:space="preserve">GB50160 </w:t>
            </w:r>
          </w:p>
          <w:p>
            <w:pPr>
              <w:autoSpaceDE w:val="0"/>
              <w:autoSpaceDN w:val="0"/>
              <w:adjustRightInd w:val="0"/>
              <w:rPr>
                <w:rFonts w:ascii="宋体" w:hAnsi="宋体"/>
                <w:kern w:val="0"/>
                <w:sz w:val="13"/>
                <w:szCs w:val="18"/>
              </w:rPr>
            </w:pPr>
            <w:r>
              <w:rPr>
                <w:rFonts w:hint="eastAsia" w:ascii="宋体" w:hAnsi="宋体" w:cs="宋体"/>
                <w:kern w:val="0"/>
                <w:sz w:val="13"/>
                <w:szCs w:val="18"/>
              </w:rPr>
              <w:t>《石油库设计规范》</w:t>
            </w:r>
            <w:r>
              <w:rPr>
                <w:rFonts w:ascii="宋体" w:hAnsi="宋体" w:cs="Arial"/>
                <w:kern w:val="0"/>
                <w:sz w:val="13"/>
                <w:szCs w:val="18"/>
              </w:rPr>
              <w:t>GB50074</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靠山修建的石油库、覆土隐蔽库应修筑了防止山火侵袭的防火沟、防火墙或防火带等设施</w:t>
            </w:r>
          </w:p>
        </w:tc>
        <w:tc>
          <w:tcPr>
            <w:tcW w:w="2714" w:type="dxa"/>
          </w:tcPr>
          <w:p>
            <w:pPr>
              <w:autoSpaceDE w:val="0"/>
              <w:autoSpaceDN w:val="0"/>
              <w:adjustRightInd w:val="0"/>
              <w:jc w:val="left"/>
              <w:rPr>
                <w:rFonts w:ascii="宋体" w:hAnsi="宋体"/>
                <w:kern w:val="0"/>
                <w:sz w:val="13"/>
                <w:szCs w:val="18"/>
              </w:rPr>
            </w:pPr>
          </w:p>
        </w:tc>
        <w:tc>
          <w:tcPr>
            <w:tcW w:w="1167" w:type="dxa"/>
            <w:vMerge w:val="restart"/>
          </w:tcPr>
          <w:p>
            <w:pPr>
              <w:rPr>
                <w:rFonts w:ascii="宋体" w:hAnsi="宋体" w:cs="宋体"/>
                <w:kern w:val="0"/>
                <w:sz w:val="13"/>
                <w:szCs w:val="18"/>
              </w:rPr>
            </w:pPr>
            <w:r>
              <w:rPr>
                <w:rFonts w:hint="eastAsia" w:ascii="宋体" w:hAnsi="宋体" w:cs="宋体"/>
                <w:kern w:val="0"/>
                <w:sz w:val="13"/>
                <w:szCs w:val="18"/>
              </w:rPr>
              <w:t>1次/季度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储罐区、装卸作业区、泵房、消防泵房、锅炉房、配电室等重点部分安全标志和警示牌齐全，安全标志的使用应符合《安全标志使用导则》</w:t>
            </w:r>
            <w:r>
              <w:rPr>
                <w:rFonts w:ascii="宋体" w:hAnsi="宋体" w:cs="Arial"/>
                <w:kern w:val="0"/>
                <w:sz w:val="13"/>
                <w:szCs w:val="18"/>
              </w:rPr>
              <w:t xml:space="preserve">GB2894 </w:t>
            </w:r>
            <w:r>
              <w:rPr>
                <w:rFonts w:hint="eastAsia" w:ascii="宋体" w:hAnsi="宋体" w:cs="宋体"/>
                <w:kern w:val="0"/>
                <w:sz w:val="13"/>
                <w:szCs w:val="18"/>
              </w:rPr>
              <w:t>的规定</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《安全标志使用则》</w:t>
            </w:r>
            <w:r>
              <w:rPr>
                <w:rFonts w:ascii="宋体" w:hAnsi="宋体" w:cs="宋体"/>
                <w:kern w:val="0"/>
                <w:sz w:val="13"/>
                <w:szCs w:val="18"/>
              </w:rPr>
              <w:t>GB2894-2008</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9</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外浮顶罐浮顶与罐壁之间的环向间隙应安装有效的密封装置</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《立式圆筒形钢制焊接油罐设计规范》</w:t>
            </w:r>
            <w:r>
              <w:rPr>
                <w:rFonts w:ascii="宋体" w:hAnsi="宋体" w:cs="宋体"/>
                <w:kern w:val="0"/>
                <w:sz w:val="13"/>
                <w:szCs w:val="18"/>
              </w:rPr>
              <w:t>GB50341-2003</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ind w:firstLine="65" w:firstLineChars="50"/>
              <w:jc w:val="left"/>
              <w:rPr>
                <w:rFonts w:ascii="宋体" w:hAnsi="宋体"/>
                <w:kern w:val="0"/>
                <w:sz w:val="13"/>
                <w:szCs w:val="18"/>
              </w:rPr>
            </w:pPr>
            <w:r>
              <w:rPr>
                <w:rFonts w:ascii="宋体" w:hAnsi="宋体" w:cs="Arial"/>
                <w:kern w:val="0"/>
                <w:sz w:val="13"/>
                <w:szCs w:val="18"/>
              </w:rPr>
              <w:t>10</w:t>
            </w:r>
          </w:p>
        </w:tc>
        <w:tc>
          <w:tcPr>
            <w:tcW w:w="4234" w:type="dxa"/>
          </w:tcPr>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万及以上大型浮顶储罐浮盘的密封圈处应设置火灾自动检测报警设施，检测报警设施宜为无电检测系统</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ind w:firstLine="65" w:firstLineChars="50"/>
              <w:jc w:val="left"/>
              <w:rPr>
                <w:rFonts w:ascii="宋体" w:hAnsi="宋体"/>
                <w:kern w:val="0"/>
                <w:sz w:val="13"/>
                <w:szCs w:val="18"/>
              </w:rPr>
            </w:pPr>
            <w:r>
              <w:rPr>
                <w:rFonts w:ascii="宋体" w:hAnsi="宋体" w:cs="Arial"/>
                <w:kern w:val="0"/>
                <w:sz w:val="13"/>
                <w:szCs w:val="18"/>
              </w:rPr>
              <w:t>11</w:t>
            </w:r>
          </w:p>
        </w:tc>
        <w:tc>
          <w:tcPr>
            <w:tcW w:w="4234" w:type="dxa"/>
          </w:tcPr>
          <w:p>
            <w:pPr>
              <w:tabs>
                <w:tab w:val="left" w:pos="-120"/>
              </w:tabs>
              <w:autoSpaceDE w:val="0"/>
              <w:autoSpaceDN w:val="0"/>
              <w:ind w:left="-3" w:leftChars="-5" w:hanging="7" w:hangingChars="6"/>
              <w:rPr>
                <w:rFonts w:ascii="宋体" w:hAnsi="宋体" w:cs="宋体"/>
                <w:kern w:val="0"/>
                <w:sz w:val="13"/>
                <w:szCs w:val="18"/>
              </w:rPr>
            </w:pPr>
            <w:r>
              <w:rPr>
                <w:rFonts w:hint="eastAsia" w:ascii="宋体" w:hAnsi="宋体" w:cs="宋体"/>
                <w:kern w:val="0"/>
                <w:sz w:val="13"/>
                <w:szCs w:val="18"/>
              </w:rPr>
              <w:t>石油天然气工程的天然气凝液及液化石油气罐区内可燃气体检测报警装置设置应满足《石油天然气工程可燃气体检测报警系统安全技术规范》</w:t>
            </w:r>
            <w:r>
              <w:rPr>
                <w:rFonts w:ascii="宋体" w:hAnsi="宋体" w:cs="宋体"/>
                <w:kern w:val="0"/>
                <w:sz w:val="13"/>
                <w:szCs w:val="18"/>
              </w:rPr>
              <w:t xml:space="preserve">SY6053 </w:t>
            </w:r>
            <w:r>
              <w:rPr>
                <w:rFonts w:hint="eastAsia" w:ascii="宋体" w:hAnsi="宋体" w:cs="宋体"/>
                <w:kern w:val="0"/>
                <w:sz w:val="13"/>
                <w:szCs w:val="18"/>
              </w:rPr>
              <w:t>的要求，其他天然气凝液及液化石油气罐区内可燃气体检测报警装置应满足《石油化工企业可燃气体和有毒气体检测报警设计规范》</w:t>
            </w:r>
            <w:r>
              <w:rPr>
                <w:rFonts w:ascii="宋体" w:hAnsi="宋体" w:cs="宋体"/>
                <w:kern w:val="0"/>
                <w:sz w:val="13"/>
                <w:szCs w:val="18"/>
              </w:rPr>
              <w:t xml:space="preserve">GB50493 </w:t>
            </w:r>
            <w:r>
              <w:rPr>
                <w:rFonts w:hint="eastAsia" w:ascii="宋体" w:hAnsi="宋体" w:cs="宋体"/>
                <w:kern w:val="0"/>
                <w:sz w:val="13"/>
                <w:szCs w:val="18"/>
              </w:rPr>
              <w:t>的要求</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ind w:firstLine="65" w:firstLineChars="50"/>
              <w:jc w:val="left"/>
              <w:rPr>
                <w:rFonts w:ascii="宋体" w:hAnsi="宋体"/>
                <w:kern w:val="0"/>
                <w:sz w:val="13"/>
                <w:szCs w:val="18"/>
              </w:rPr>
            </w:pPr>
            <w:r>
              <w:rPr>
                <w:rFonts w:ascii="宋体" w:hAnsi="宋体" w:cs="Arial"/>
                <w:kern w:val="0"/>
                <w:sz w:val="13"/>
                <w:szCs w:val="18"/>
              </w:rPr>
              <w:t>12</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天然气凝液储罐及液化石油气储罐应设置适应存储介质</w:t>
            </w:r>
            <w:r>
              <w:rPr>
                <w:rFonts w:ascii="宋体" w:hAnsi="宋体" w:cs="宋体"/>
                <w:kern w:val="0"/>
                <w:sz w:val="13"/>
                <w:szCs w:val="18"/>
              </w:rPr>
              <w:t xml:space="preserve"> </w:t>
            </w:r>
            <w:r>
              <w:rPr>
                <w:rFonts w:hint="eastAsia" w:ascii="宋体" w:hAnsi="宋体" w:cs="宋体"/>
                <w:kern w:val="0"/>
                <w:sz w:val="13"/>
                <w:szCs w:val="18"/>
              </w:rPr>
              <w:t>的液位计、温度计、压力表、安全阀，以及高液位报警装置或高液位自动联锁切断进料措施。对于全冷冻式液化烃</w:t>
            </w:r>
            <w:r>
              <w:rPr>
                <w:rFonts w:ascii="宋体" w:hAnsi="宋体" w:cs="宋体"/>
                <w:kern w:val="0"/>
                <w:sz w:val="13"/>
                <w:szCs w:val="18"/>
              </w:rPr>
              <w:t xml:space="preserve"> </w:t>
            </w:r>
            <w:r>
              <w:rPr>
                <w:rFonts w:hint="eastAsia" w:ascii="宋体" w:hAnsi="宋体" w:cs="宋体"/>
                <w:kern w:val="0"/>
                <w:sz w:val="13"/>
                <w:szCs w:val="18"/>
              </w:rPr>
              <w:t>储罐还应设真空泄放设施和高、低温温度检测，并与自动</w:t>
            </w:r>
            <w:r>
              <w:rPr>
                <w:rFonts w:ascii="宋体" w:hAnsi="宋体" w:cs="宋体"/>
                <w:kern w:val="0"/>
                <w:sz w:val="13"/>
                <w:szCs w:val="18"/>
              </w:rPr>
              <w:t xml:space="preserve"> </w:t>
            </w:r>
            <w:r>
              <w:rPr>
                <w:rFonts w:hint="eastAsia" w:ascii="宋体" w:hAnsi="宋体" w:cs="宋体"/>
                <w:kern w:val="0"/>
                <w:sz w:val="13"/>
                <w:szCs w:val="18"/>
              </w:rPr>
              <w:t>控制系统相联。</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《石油化工企业设计防火规》</w:t>
            </w:r>
            <w:r>
              <w:rPr>
                <w:rFonts w:ascii="宋体" w:hAnsi="宋体" w:cs="宋体"/>
                <w:kern w:val="0"/>
                <w:sz w:val="13"/>
                <w:szCs w:val="18"/>
              </w:rPr>
              <w:t xml:space="preserve">GB50160 </w:t>
            </w:r>
            <w:r>
              <w:rPr>
                <w:rFonts w:hint="eastAsia" w:ascii="宋体" w:hAnsi="宋体" w:cs="宋体"/>
                <w:kern w:val="0"/>
                <w:sz w:val="13"/>
                <w:szCs w:val="18"/>
              </w:rPr>
              <w:t>第</w:t>
            </w:r>
            <w:r>
              <w:rPr>
                <w:rFonts w:ascii="宋体" w:hAnsi="宋体" w:cs="宋体"/>
                <w:kern w:val="0"/>
                <w:sz w:val="13"/>
                <w:szCs w:val="18"/>
              </w:rPr>
              <w:t xml:space="preserve"> 6.3.11</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r>
              <w:rPr>
                <w:rFonts w:ascii="宋体" w:hAnsi="宋体" w:cs="Arial"/>
                <w:kern w:val="0"/>
                <w:sz w:val="13"/>
                <w:szCs w:val="18"/>
              </w:rPr>
              <w:t>13</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天然气凝液储罐及液化石油气储罐的安全阀出口管应接</w:t>
            </w:r>
            <w:r>
              <w:rPr>
                <w:rFonts w:ascii="宋体" w:hAnsi="宋体" w:cs="宋体"/>
                <w:kern w:val="0"/>
                <w:sz w:val="13"/>
                <w:szCs w:val="18"/>
              </w:rPr>
              <w:t xml:space="preserve"> </w:t>
            </w:r>
            <w:r>
              <w:rPr>
                <w:rFonts w:hint="eastAsia" w:ascii="宋体" w:hAnsi="宋体" w:cs="宋体"/>
                <w:kern w:val="0"/>
                <w:sz w:val="13"/>
                <w:szCs w:val="18"/>
              </w:rPr>
              <w:t>至火炬系统，确有困难而采取就地放空时，其排气管口高</w:t>
            </w:r>
            <w:r>
              <w:rPr>
                <w:rFonts w:ascii="宋体" w:hAnsi="宋体" w:cs="宋体"/>
                <w:kern w:val="0"/>
                <w:sz w:val="13"/>
                <w:szCs w:val="18"/>
              </w:rPr>
              <w:t xml:space="preserve"> </w:t>
            </w:r>
            <w:r>
              <w:rPr>
                <w:rFonts w:hint="eastAsia" w:ascii="宋体" w:hAnsi="宋体" w:cs="宋体"/>
                <w:kern w:val="0"/>
                <w:sz w:val="13"/>
                <w:szCs w:val="18"/>
              </w:rPr>
              <w:t>度应高出</w:t>
            </w:r>
            <w:r>
              <w:rPr>
                <w:rFonts w:ascii="宋体" w:hAnsi="宋体" w:cs="宋体"/>
                <w:kern w:val="0"/>
                <w:sz w:val="13"/>
                <w:szCs w:val="18"/>
              </w:rPr>
              <w:t xml:space="preserve"> </w:t>
            </w:r>
            <w:r>
              <w:rPr>
                <w:rFonts w:ascii="宋体" w:hAnsi="宋体" w:cs="Arial"/>
                <w:kern w:val="0"/>
                <w:sz w:val="13"/>
                <w:szCs w:val="18"/>
              </w:rPr>
              <w:t xml:space="preserve">8m </w:t>
            </w:r>
            <w:r>
              <w:rPr>
                <w:rFonts w:hint="eastAsia" w:ascii="宋体" w:hAnsi="宋体" w:cs="宋体"/>
                <w:kern w:val="0"/>
                <w:sz w:val="13"/>
                <w:szCs w:val="18"/>
              </w:rPr>
              <w:t>范围内储罐罐顶平台</w:t>
            </w:r>
            <w:r>
              <w:rPr>
                <w:rFonts w:ascii="宋体" w:hAnsi="宋体" w:cs="宋体"/>
                <w:kern w:val="0"/>
                <w:sz w:val="13"/>
                <w:szCs w:val="18"/>
              </w:rPr>
              <w:t xml:space="preserve"> </w:t>
            </w:r>
            <w:r>
              <w:rPr>
                <w:rFonts w:ascii="宋体" w:hAnsi="宋体" w:cs="Arial"/>
                <w:kern w:val="0"/>
                <w:sz w:val="13"/>
                <w:szCs w:val="18"/>
              </w:rPr>
              <w:t xml:space="preserve">3m </w:t>
            </w:r>
            <w:r>
              <w:rPr>
                <w:rFonts w:hint="eastAsia" w:ascii="宋体" w:hAnsi="宋体" w:cs="宋体"/>
                <w:kern w:val="0"/>
                <w:sz w:val="13"/>
                <w:szCs w:val="18"/>
              </w:rPr>
              <w:t>以上。</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GB50160 </w:t>
            </w:r>
            <w:r>
              <w:rPr>
                <w:rFonts w:hint="eastAsia" w:ascii="宋体" w:hAnsi="宋体" w:cs="宋体"/>
                <w:kern w:val="0"/>
                <w:sz w:val="13"/>
                <w:szCs w:val="18"/>
              </w:rPr>
              <w:t>第</w:t>
            </w:r>
            <w:r>
              <w:rPr>
                <w:rFonts w:ascii="宋体" w:hAnsi="宋体" w:cs="宋体"/>
                <w:kern w:val="0"/>
                <w:sz w:val="13"/>
                <w:szCs w:val="18"/>
              </w:rPr>
              <w:t xml:space="preserve"> 6.3.13</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r>
              <w:rPr>
                <w:rFonts w:ascii="宋体" w:hAnsi="宋体" w:cs="Arial"/>
                <w:kern w:val="0"/>
                <w:sz w:val="13"/>
                <w:szCs w:val="18"/>
              </w:rPr>
              <w:t>14</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全压力式液化烃球罐应采取防止液化烃泄漏的注水措施。</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GB501608</w:t>
            </w:r>
            <w:r>
              <w:rPr>
                <w:rFonts w:hint="eastAsia" w:ascii="宋体" w:hAnsi="宋体" w:cs="宋体"/>
                <w:kern w:val="0"/>
                <w:sz w:val="13"/>
                <w:szCs w:val="18"/>
              </w:rPr>
              <w:t>第</w:t>
            </w:r>
            <w:r>
              <w:rPr>
                <w:rFonts w:ascii="宋体" w:hAnsi="宋体" w:cs="宋体"/>
                <w:kern w:val="0"/>
                <w:sz w:val="13"/>
                <w:szCs w:val="18"/>
              </w:rPr>
              <w:t>6.3.16</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r>
              <w:rPr>
                <w:rFonts w:ascii="宋体" w:hAnsi="宋体" w:cs="Arial"/>
                <w:kern w:val="0"/>
                <w:sz w:val="13"/>
                <w:szCs w:val="18"/>
              </w:rPr>
              <w:t>15</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全压力式液化烃储罐宜采用有防冻措施的二次脱水系统，</w:t>
            </w:r>
            <w:r>
              <w:rPr>
                <w:rFonts w:ascii="宋体" w:hAnsi="宋体" w:cs="宋体"/>
                <w:kern w:val="0"/>
                <w:sz w:val="13"/>
                <w:szCs w:val="18"/>
              </w:rPr>
              <w:t xml:space="preserve"> </w:t>
            </w:r>
            <w:r>
              <w:rPr>
                <w:rFonts w:hint="eastAsia" w:ascii="宋体" w:hAnsi="宋体" w:cs="宋体"/>
                <w:kern w:val="0"/>
                <w:sz w:val="13"/>
                <w:szCs w:val="18"/>
              </w:rPr>
              <w:t>储罐根部宜设紧急切断阀。</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GB50160 </w:t>
            </w:r>
            <w:r>
              <w:rPr>
                <w:rFonts w:hint="eastAsia" w:ascii="宋体" w:hAnsi="宋体" w:cs="宋体"/>
                <w:kern w:val="0"/>
                <w:sz w:val="13"/>
                <w:szCs w:val="18"/>
              </w:rPr>
              <w:t>第</w:t>
            </w:r>
            <w:r>
              <w:rPr>
                <w:rFonts w:ascii="宋体" w:hAnsi="宋体" w:cs="宋体"/>
                <w:kern w:val="0"/>
                <w:sz w:val="13"/>
                <w:szCs w:val="18"/>
              </w:rPr>
              <w:t xml:space="preserve"> 6.3.14</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r>
              <w:rPr>
                <w:rFonts w:ascii="宋体" w:hAnsi="宋体" w:cs="Arial"/>
                <w:kern w:val="0"/>
                <w:sz w:val="13"/>
                <w:szCs w:val="18"/>
              </w:rPr>
              <w:t>16</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全压力式天然气凝液储罐及液化石油气储罐进、出口阀门</w:t>
            </w:r>
            <w:r>
              <w:rPr>
                <w:rFonts w:ascii="宋体" w:hAnsi="宋体" w:cs="宋体"/>
                <w:kern w:val="0"/>
                <w:sz w:val="13"/>
                <w:szCs w:val="18"/>
              </w:rPr>
              <w:t xml:space="preserve"> </w:t>
            </w:r>
            <w:r>
              <w:rPr>
                <w:rFonts w:hint="eastAsia" w:ascii="宋体" w:hAnsi="宋体" w:cs="宋体"/>
                <w:kern w:val="0"/>
                <w:sz w:val="13"/>
                <w:szCs w:val="18"/>
              </w:rPr>
              <w:t>及管件的压力等级不应低于</w:t>
            </w:r>
            <w:r>
              <w:rPr>
                <w:rFonts w:ascii="宋体" w:hAnsi="宋体" w:cs="宋体"/>
                <w:kern w:val="0"/>
                <w:sz w:val="13"/>
                <w:szCs w:val="18"/>
              </w:rPr>
              <w:t xml:space="preserve"> </w:t>
            </w:r>
            <w:r>
              <w:rPr>
                <w:rFonts w:ascii="宋体" w:hAnsi="宋体" w:cs="Arial"/>
                <w:kern w:val="0"/>
                <w:sz w:val="13"/>
                <w:szCs w:val="18"/>
              </w:rPr>
              <w:t>2.5MPa</w:t>
            </w:r>
            <w:r>
              <w:rPr>
                <w:rFonts w:hint="eastAsia" w:ascii="宋体" w:hAnsi="宋体" w:cs="宋体"/>
                <w:kern w:val="0"/>
                <w:sz w:val="13"/>
                <w:szCs w:val="18"/>
              </w:rPr>
              <w:t>，其垫片应采用缠绕式</w:t>
            </w:r>
            <w:r>
              <w:rPr>
                <w:rFonts w:ascii="宋体" w:hAnsi="宋体" w:cs="宋体"/>
                <w:kern w:val="0"/>
                <w:sz w:val="13"/>
                <w:szCs w:val="18"/>
              </w:rPr>
              <w:t xml:space="preserve"> </w:t>
            </w:r>
            <w:r>
              <w:rPr>
                <w:rFonts w:hint="eastAsia" w:ascii="宋体" w:hAnsi="宋体" w:cs="宋体"/>
                <w:kern w:val="0"/>
                <w:sz w:val="13"/>
                <w:szCs w:val="18"/>
              </w:rPr>
              <w:t>垫片。阀门压盖的密封材料应采用难燃材施料。</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GB50160 </w:t>
            </w:r>
            <w:r>
              <w:rPr>
                <w:rFonts w:hint="eastAsia" w:ascii="宋体" w:hAnsi="宋体" w:cs="宋体"/>
                <w:kern w:val="0"/>
                <w:sz w:val="13"/>
                <w:szCs w:val="18"/>
              </w:rPr>
              <w:t>第</w:t>
            </w:r>
            <w:r>
              <w:rPr>
                <w:rFonts w:ascii="宋体" w:hAnsi="宋体" w:cs="宋体"/>
                <w:kern w:val="0"/>
                <w:sz w:val="13"/>
                <w:szCs w:val="18"/>
              </w:rPr>
              <w:t xml:space="preserve"> 6.3.16</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三、可燃液体、液化烃的装卸设施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可燃液体的铁路装卸设施应符合下列规定：</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装卸栈台两端和沿栈台每隔</w:t>
            </w:r>
            <w:r>
              <w:rPr>
                <w:rFonts w:ascii="宋体" w:hAnsi="宋体" w:cs="Arial"/>
                <w:kern w:val="0"/>
                <w:sz w:val="13"/>
                <w:szCs w:val="18"/>
              </w:rPr>
              <w:t>60m</w:t>
            </w:r>
            <w:r>
              <w:rPr>
                <w:rFonts w:hint="eastAsia" w:ascii="宋体" w:hAnsi="宋体" w:cs="宋体"/>
                <w:kern w:val="0"/>
                <w:sz w:val="13"/>
                <w:szCs w:val="18"/>
              </w:rPr>
              <w:t>左右应设梯子；</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甲</w:t>
            </w:r>
            <w:r>
              <w:rPr>
                <w:rFonts w:ascii="宋体" w:hAnsi="宋体" w:cs="Arial"/>
                <w:kern w:val="0"/>
                <w:sz w:val="13"/>
                <w:szCs w:val="18"/>
              </w:rPr>
              <w:t>B</w:t>
            </w:r>
            <w:r>
              <w:rPr>
                <w:rFonts w:hint="eastAsia" w:ascii="宋体" w:hAnsi="宋体" w:cs="宋体"/>
                <w:kern w:val="0"/>
                <w:sz w:val="13"/>
                <w:szCs w:val="18"/>
              </w:rPr>
              <w:t>、乙、丙</w:t>
            </w:r>
            <w:r>
              <w:rPr>
                <w:rFonts w:ascii="宋体" w:hAnsi="宋体" w:cs="Arial"/>
                <w:kern w:val="0"/>
                <w:sz w:val="13"/>
                <w:szCs w:val="18"/>
              </w:rPr>
              <w:t>A</w:t>
            </w:r>
            <w:r>
              <w:rPr>
                <w:rFonts w:hint="eastAsia" w:ascii="宋体" w:hAnsi="宋体" w:cs="宋体"/>
                <w:kern w:val="0"/>
                <w:sz w:val="13"/>
                <w:szCs w:val="18"/>
              </w:rPr>
              <w:t>类的液体严禁采用沟槽卸车系统；</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顶部敞口装车的甲</w:t>
            </w:r>
            <w:r>
              <w:rPr>
                <w:rFonts w:ascii="宋体" w:hAnsi="宋体" w:cs="Arial"/>
                <w:kern w:val="0"/>
                <w:sz w:val="13"/>
                <w:szCs w:val="18"/>
              </w:rPr>
              <w:t>B</w:t>
            </w:r>
            <w:r>
              <w:rPr>
                <w:rFonts w:hint="eastAsia" w:ascii="宋体" w:hAnsi="宋体" w:cs="宋体"/>
                <w:kern w:val="0"/>
                <w:sz w:val="13"/>
                <w:szCs w:val="18"/>
              </w:rPr>
              <w:t>、乙、丙</w:t>
            </w:r>
            <w:r>
              <w:rPr>
                <w:rFonts w:ascii="宋体" w:hAnsi="宋体" w:cs="Arial"/>
                <w:kern w:val="0"/>
                <w:sz w:val="13"/>
                <w:szCs w:val="18"/>
              </w:rPr>
              <w:t>A</w:t>
            </w:r>
            <w:r>
              <w:rPr>
                <w:rFonts w:hint="eastAsia" w:ascii="宋体" w:hAnsi="宋体" w:cs="宋体"/>
                <w:kern w:val="0"/>
                <w:sz w:val="13"/>
                <w:szCs w:val="18"/>
              </w:rPr>
              <w:t>类的液体应采用液下装车鹤管；</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在距装车栈台边缘</w:t>
            </w:r>
            <w:r>
              <w:rPr>
                <w:rFonts w:ascii="宋体" w:hAnsi="宋体" w:cs="Arial"/>
                <w:kern w:val="0"/>
                <w:sz w:val="13"/>
                <w:szCs w:val="18"/>
              </w:rPr>
              <w:t>10m</w:t>
            </w:r>
            <w:r>
              <w:rPr>
                <w:rFonts w:hint="eastAsia" w:ascii="宋体" w:hAnsi="宋体" w:cs="宋体"/>
                <w:kern w:val="0"/>
                <w:sz w:val="13"/>
                <w:szCs w:val="18"/>
              </w:rPr>
              <w:t>以外的可燃液体（润滑油除外）输入管道上应设便于操作的紧急切断阀；</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丙</w:t>
            </w:r>
            <w:r>
              <w:rPr>
                <w:rFonts w:ascii="宋体" w:hAnsi="宋体" w:cs="Arial"/>
                <w:kern w:val="0"/>
                <w:sz w:val="13"/>
                <w:szCs w:val="18"/>
              </w:rPr>
              <w:t>B</w:t>
            </w:r>
            <w:r>
              <w:rPr>
                <w:rFonts w:hint="eastAsia" w:ascii="宋体" w:hAnsi="宋体" w:cs="宋体"/>
                <w:kern w:val="0"/>
                <w:sz w:val="13"/>
                <w:szCs w:val="18"/>
              </w:rPr>
              <w:t>类液体装卸栈台宜单独设置；</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零位罐至罐车装卸线不应小于</w:t>
            </w:r>
            <w:r>
              <w:rPr>
                <w:rFonts w:ascii="宋体" w:hAnsi="宋体" w:cs="Arial"/>
                <w:kern w:val="0"/>
                <w:sz w:val="13"/>
                <w:szCs w:val="18"/>
              </w:rPr>
              <w:t>6m</w:t>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ascii="宋体" w:hAnsi="宋体" w:cs="Arial"/>
                <w:kern w:val="0"/>
                <w:sz w:val="13"/>
                <w:szCs w:val="18"/>
              </w:rPr>
              <w:t>7.</w:t>
            </w:r>
            <w:r>
              <w:rPr>
                <w:rFonts w:hint="eastAsia" w:ascii="宋体" w:hAnsi="宋体" w:cs="宋体"/>
                <w:kern w:val="0"/>
                <w:sz w:val="13"/>
                <w:szCs w:val="18"/>
              </w:rPr>
              <w:t>甲</w:t>
            </w:r>
            <w:r>
              <w:rPr>
                <w:rFonts w:ascii="宋体" w:hAnsi="宋体" w:cs="Arial"/>
                <w:kern w:val="0"/>
                <w:sz w:val="13"/>
                <w:szCs w:val="18"/>
              </w:rPr>
              <w:t>B</w:t>
            </w:r>
            <w:r>
              <w:rPr>
                <w:rFonts w:hint="eastAsia" w:ascii="宋体" w:hAnsi="宋体" w:cs="宋体"/>
                <w:kern w:val="0"/>
                <w:sz w:val="13"/>
                <w:szCs w:val="18"/>
              </w:rPr>
              <w:t>、乙</w:t>
            </w:r>
            <w:r>
              <w:rPr>
                <w:rFonts w:ascii="宋体" w:hAnsi="宋体" w:cs="Arial"/>
                <w:kern w:val="0"/>
                <w:sz w:val="13"/>
                <w:szCs w:val="18"/>
              </w:rPr>
              <w:t>A</w:t>
            </w:r>
            <w:r>
              <w:rPr>
                <w:rFonts w:hint="eastAsia" w:ascii="宋体" w:hAnsi="宋体" w:cs="宋体"/>
                <w:kern w:val="0"/>
                <w:sz w:val="13"/>
                <w:szCs w:val="18"/>
              </w:rPr>
              <w:t>类液体装卸鹤管与集中布置的泵的距离不应小于</w:t>
            </w:r>
            <w:r>
              <w:rPr>
                <w:rFonts w:ascii="宋体" w:hAnsi="宋体" w:cs="Arial"/>
                <w:kern w:val="0"/>
                <w:sz w:val="13"/>
                <w:szCs w:val="18"/>
              </w:rPr>
              <w:t>8m</w:t>
            </w:r>
            <w:r>
              <w:rPr>
                <w:rFonts w:hint="eastAsia" w:ascii="宋体" w:hAnsi="宋体" w:cs="宋体"/>
                <w:kern w:val="0"/>
                <w:sz w:val="13"/>
                <w:szCs w:val="18"/>
              </w:rPr>
              <w:t>；</w:t>
            </w:r>
          </w:p>
          <w:p>
            <w:pPr>
              <w:autoSpaceDE w:val="0"/>
              <w:autoSpaceDN w:val="0"/>
              <w:adjustRightInd w:val="0"/>
              <w:jc w:val="left"/>
              <w:rPr>
                <w:rFonts w:ascii="宋体" w:hAnsi="宋体"/>
                <w:kern w:val="0"/>
                <w:sz w:val="13"/>
                <w:szCs w:val="18"/>
              </w:rPr>
            </w:pPr>
            <w:r>
              <w:rPr>
                <w:rFonts w:ascii="宋体" w:hAnsi="宋体" w:cs="Arial"/>
                <w:kern w:val="0"/>
                <w:sz w:val="13"/>
                <w:szCs w:val="18"/>
              </w:rPr>
              <w:t>8.</w:t>
            </w:r>
            <w:r>
              <w:rPr>
                <w:rFonts w:hint="eastAsia" w:ascii="宋体" w:hAnsi="宋体" w:cs="宋体"/>
                <w:kern w:val="0"/>
                <w:sz w:val="13"/>
                <w:szCs w:val="18"/>
              </w:rPr>
              <w:t>同一铁路装卸线一侧两个装卸栈台相邻鹤位之间的距离不应小于</w:t>
            </w:r>
            <w:r>
              <w:rPr>
                <w:rFonts w:ascii="宋体" w:hAnsi="宋体" w:cs="Arial"/>
                <w:kern w:val="0"/>
                <w:sz w:val="13"/>
                <w:szCs w:val="18"/>
              </w:rPr>
              <w:t>24m</w:t>
            </w:r>
            <w:r>
              <w:rPr>
                <w:rFonts w:hint="eastAsia" w:ascii="宋体" w:hAnsi="宋体" w:cs="宋体"/>
                <w:kern w:val="0"/>
                <w:sz w:val="13"/>
                <w:szCs w:val="18"/>
              </w:rPr>
              <w:t>。</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w:t>
            </w:r>
            <w:r>
              <w:rPr>
                <w:rFonts w:ascii="宋体" w:hAnsi="宋体" w:cs="Arial"/>
                <w:kern w:val="0"/>
                <w:sz w:val="13"/>
                <w:szCs w:val="18"/>
              </w:rPr>
              <w:t xml:space="preserve">GB50160 </w:t>
            </w:r>
            <w:r>
              <w:rPr>
                <w:rFonts w:hint="eastAsia" w:ascii="宋体" w:hAnsi="宋体" w:cs="宋体"/>
                <w:kern w:val="0"/>
                <w:sz w:val="13"/>
                <w:szCs w:val="18"/>
              </w:rPr>
              <w:t>第</w:t>
            </w:r>
            <w:r>
              <w:rPr>
                <w:rFonts w:ascii="宋体" w:hAnsi="宋体" w:cs="Arial"/>
                <w:kern w:val="0"/>
                <w:sz w:val="13"/>
                <w:szCs w:val="18"/>
              </w:rPr>
              <w:t>6.4.1</w:t>
            </w:r>
            <w:r>
              <w:rPr>
                <w:rFonts w:hint="eastAsia" w:ascii="宋体" w:hAnsi="宋体" w:cs="宋体"/>
                <w:kern w:val="0"/>
                <w:sz w:val="13"/>
                <w:szCs w:val="18"/>
              </w:rPr>
              <w:t>条</w:t>
            </w:r>
          </w:p>
        </w:tc>
        <w:tc>
          <w:tcPr>
            <w:tcW w:w="1167" w:type="dxa"/>
            <w:vMerge w:val="restart"/>
          </w:tcPr>
          <w:p>
            <w:pPr>
              <w:autoSpaceDE w:val="0"/>
              <w:autoSpaceDN w:val="0"/>
              <w:adjustRightInd w:val="0"/>
              <w:jc w:val="left"/>
              <w:rPr>
                <w:rFonts w:ascii="宋体" w:hAnsi="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tabs>
                <w:tab w:val="left" w:pos="4020"/>
              </w:tabs>
              <w:autoSpaceDE w:val="0"/>
              <w:autoSpaceDN w:val="0"/>
              <w:adjustRightInd w:val="0"/>
              <w:rPr>
                <w:rFonts w:ascii="宋体" w:hAnsi="宋体" w:cs="宋体"/>
                <w:kern w:val="0"/>
                <w:sz w:val="13"/>
                <w:szCs w:val="18"/>
              </w:rPr>
            </w:pPr>
            <w:r>
              <w:rPr>
                <w:rFonts w:hint="eastAsia" w:ascii="宋体" w:hAnsi="宋体" w:cs="宋体"/>
                <w:kern w:val="0"/>
                <w:sz w:val="13"/>
                <w:szCs w:val="18"/>
              </w:rPr>
              <w:t>可燃液体的汽车装卸站应符合下列规定：</w:t>
            </w:r>
          </w:p>
          <w:p>
            <w:pPr>
              <w:autoSpaceDE w:val="0"/>
              <w:autoSpaceDN w:val="0"/>
              <w:adjustRightInd w:val="0"/>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装卸站的进、出口宜分开设置；当进、出口合用时，站内应设回车场；</w:t>
            </w:r>
          </w:p>
          <w:p>
            <w:pPr>
              <w:autoSpaceDE w:val="0"/>
              <w:autoSpaceDN w:val="0"/>
              <w:adjustRightInd w:val="0"/>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装卸车场应采用现浇混凝土地面；</w:t>
            </w:r>
          </w:p>
          <w:p>
            <w:pPr>
              <w:autoSpaceDE w:val="0"/>
              <w:autoSpaceDN w:val="0"/>
              <w:adjustRightInd w:val="0"/>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装卸车鹤位与缓冲罐之间的距离不应小于</w:t>
            </w:r>
            <w:r>
              <w:rPr>
                <w:rFonts w:ascii="宋体" w:hAnsi="宋体" w:cs="Arial"/>
                <w:kern w:val="0"/>
                <w:sz w:val="13"/>
                <w:szCs w:val="18"/>
              </w:rPr>
              <w:t>5m</w:t>
            </w:r>
            <w:r>
              <w:rPr>
                <w:rFonts w:hint="eastAsia" w:ascii="宋体" w:hAnsi="宋体" w:cs="宋体"/>
                <w:kern w:val="0"/>
                <w:sz w:val="13"/>
                <w:szCs w:val="18"/>
              </w:rPr>
              <w:t>，高架罐之间的距离不应小于</w:t>
            </w:r>
            <w:r>
              <w:rPr>
                <w:rFonts w:ascii="宋体" w:hAnsi="宋体" w:cs="Arial"/>
                <w:kern w:val="0"/>
                <w:sz w:val="13"/>
                <w:szCs w:val="18"/>
              </w:rPr>
              <w:t>0.6m</w:t>
            </w:r>
            <w:r>
              <w:rPr>
                <w:rFonts w:hint="eastAsia" w:ascii="宋体" w:hAnsi="宋体" w:cs="宋体"/>
                <w:kern w:val="0"/>
                <w:sz w:val="13"/>
                <w:szCs w:val="18"/>
              </w:rPr>
              <w:t>；</w:t>
            </w:r>
          </w:p>
          <w:p>
            <w:pPr>
              <w:autoSpaceDE w:val="0"/>
              <w:autoSpaceDN w:val="0"/>
              <w:adjustRightInd w:val="0"/>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甲</w:t>
            </w:r>
            <w:r>
              <w:rPr>
                <w:rFonts w:ascii="宋体" w:hAnsi="宋体" w:cs="Arial"/>
                <w:kern w:val="0"/>
                <w:sz w:val="13"/>
                <w:szCs w:val="18"/>
              </w:rPr>
              <w:t>B</w:t>
            </w:r>
            <w:r>
              <w:rPr>
                <w:rFonts w:hint="eastAsia" w:ascii="宋体" w:hAnsi="宋体" w:cs="宋体"/>
                <w:kern w:val="0"/>
                <w:sz w:val="13"/>
                <w:szCs w:val="18"/>
              </w:rPr>
              <w:t>、乙</w:t>
            </w:r>
            <w:r>
              <w:rPr>
                <w:rFonts w:ascii="宋体" w:hAnsi="宋体" w:cs="Arial"/>
                <w:kern w:val="0"/>
                <w:sz w:val="13"/>
                <w:szCs w:val="18"/>
              </w:rPr>
              <w:t>A</w:t>
            </w:r>
            <w:r>
              <w:rPr>
                <w:rFonts w:hint="eastAsia" w:ascii="宋体" w:hAnsi="宋体" w:cs="宋体"/>
                <w:kern w:val="0"/>
                <w:sz w:val="13"/>
                <w:szCs w:val="18"/>
              </w:rPr>
              <w:t>类液体装卸车鹤位与集中布置的泵的距离不应小于</w:t>
            </w:r>
            <w:r>
              <w:rPr>
                <w:rFonts w:ascii="宋体" w:hAnsi="宋体" w:cs="Arial"/>
                <w:kern w:val="0"/>
                <w:sz w:val="13"/>
                <w:szCs w:val="18"/>
              </w:rPr>
              <w:t>8m</w:t>
            </w:r>
            <w:r>
              <w:rPr>
                <w:rFonts w:hint="eastAsia" w:ascii="宋体" w:hAnsi="宋体" w:cs="宋体"/>
                <w:kern w:val="0"/>
                <w:sz w:val="13"/>
                <w:szCs w:val="18"/>
              </w:rPr>
              <w:t>；</w:t>
            </w:r>
          </w:p>
          <w:p>
            <w:pPr>
              <w:autoSpaceDE w:val="0"/>
              <w:autoSpaceDN w:val="0"/>
              <w:adjustRightInd w:val="0"/>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站内无缓冲罐时，在距装卸车鹤位</w:t>
            </w:r>
            <w:r>
              <w:rPr>
                <w:rFonts w:ascii="宋体" w:hAnsi="宋体" w:cs="Arial"/>
                <w:kern w:val="0"/>
                <w:sz w:val="13"/>
                <w:szCs w:val="18"/>
              </w:rPr>
              <w:t>10m</w:t>
            </w:r>
            <w:r>
              <w:rPr>
                <w:rFonts w:hint="eastAsia" w:ascii="宋体" w:hAnsi="宋体" w:cs="宋体"/>
                <w:kern w:val="0"/>
                <w:sz w:val="13"/>
                <w:szCs w:val="18"/>
              </w:rPr>
              <w:t>以外的装卸管道上应设便于操作的紧急切断阀；</w:t>
            </w:r>
          </w:p>
          <w:p>
            <w:pPr>
              <w:autoSpaceDE w:val="0"/>
              <w:autoSpaceDN w:val="0"/>
              <w:adjustRightInd w:val="0"/>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甲</w:t>
            </w:r>
            <w:r>
              <w:rPr>
                <w:rFonts w:ascii="宋体" w:hAnsi="宋体" w:cs="Arial"/>
                <w:kern w:val="0"/>
                <w:sz w:val="13"/>
                <w:szCs w:val="18"/>
              </w:rPr>
              <w:t>B</w:t>
            </w:r>
            <w:r>
              <w:rPr>
                <w:rFonts w:hint="eastAsia" w:ascii="宋体" w:hAnsi="宋体" w:cs="宋体"/>
                <w:kern w:val="0"/>
                <w:sz w:val="13"/>
                <w:szCs w:val="18"/>
              </w:rPr>
              <w:t>、乙、丙</w:t>
            </w:r>
            <w:r>
              <w:rPr>
                <w:rFonts w:ascii="宋体" w:hAnsi="宋体" w:cs="Arial"/>
                <w:kern w:val="0"/>
                <w:sz w:val="13"/>
                <w:szCs w:val="18"/>
              </w:rPr>
              <w:t>A</w:t>
            </w:r>
            <w:r>
              <w:rPr>
                <w:rFonts w:hint="eastAsia" w:ascii="宋体" w:hAnsi="宋体" w:cs="宋体"/>
                <w:kern w:val="0"/>
                <w:sz w:val="13"/>
                <w:szCs w:val="18"/>
              </w:rPr>
              <w:t>类液体的装卸车应采用液下装卸车鹤管；</w:t>
            </w:r>
          </w:p>
          <w:p>
            <w:pPr>
              <w:autoSpaceDE w:val="0"/>
              <w:autoSpaceDN w:val="0"/>
              <w:adjustRightInd w:val="0"/>
              <w:rPr>
                <w:rFonts w:ascii="宋体" w:hAnsi="宋体" w:cs="宋体"/>
                <w:kern w:val="0"/>
                <w:sz w:val="13"/>
                <w:szCs w:val="18"/>
              </w:rPr>
            </w:pPr>
            <w:r>
              <w:rPr>
                <w:rFonts w:ascii="宋体" w:hAnsi="宋体" w:cs="Arial"/>
                <w:kern w:val="0"/>
                <w:sz w:val="13"/>
                <w:szCs w:val="18"/>
              </w:rPr>
              <w:t>7.</w:t>
            </w:r>
            <w:r>
              <w:rPr>
                <w:rFonts w:hint="eastAsia" w:ascii="宋体" w:hAnsi="宋体" w:cs="宋体"/>
                <w:kern w:val="0"/>
                <w:sz w:val="13"/>
                <w:szCs w:val="18"/>
              </w:rPr>
              <w:t>甲</w:t>
            </w:r>
            <w:r>
              <w:rPr>
                <w:rFonts w:ascii="宋体" w:hAnsi="宋体" w:cs="Arial"/>
                <w:kern w:val="0"/>
                <w:sz w:val="13"/>
                <w:szCs w:val="18"/>
              </w:rPr>
              <w:t>B</w:t>
            </w:r>
            <w:r>
              <w:rPr>
                <w:rFonts w:hint="eastAsia" w:ascii="宋体" w:hAnsi="宋体" w:cs="宋体"/>
                <w:kern w:val="0"/>
                <w:sz w:val="13"/>
                <w:szCs w:val="18"/>
              </w:rPr>
              <w:t>、乙、丙</w:t>
            </w:r>
            <w:r>
              <w:rPr>
                <w:rFonts w:ascii="宋体" w:hAnsi="宋体" w:cs="Arial"/>
                <w:kern w:val="0"/>
                <w:sz w:val="13"/>
                <w:szCs w:val="18"/>
              </w:rPr>
              <w:t>A</w:t>
            </w:r>
            <w:r>
              <w:rPr>
                <w:rFonts w:hint="eastAsia" w:ascii="宋体" w:hAnsi="宋体" w:cs="宋体"/>
                <w:kern w:val="0"/>
                <w:sz w:val="13"/>
                <w:szCs w:val="18"/>
              </w:rPr>
              <w:t>类液体与其他类液体的两个装卸车栈台相邻鹤位之间的距离不应小于</w:t>
            </w:r>
            <w:r>
              <w:rPr>
                <w:rFonts w:ascii="宋体" w:hAnsi="宋体" w:cs="Arial"/>
                <w:kern w:val="0"/>
                <w:sz w:val="13"/>
                <w:szCs w:val="18"/>
              </w:rPr>
              <w:t>8m</w:t>
            </w:r>
            <w:r>
              <w:rPr>
                <w:rFonts w:hint="eastAsia" w:ascii="宋体" w:hAnsi="宋体" w:cs="宋体"/>
                <w:kern w:val="0"/>
                <w:sz w:val="13"/>
                <w:szCs w:val="18"/>
              </w:rPr>
              <w:t>；</w:t>
            </w:r>
          </w:p>
          <w:p>
            <w:pPr>
              <w:autoSpaceDE w:val="0"/>
              <w:autoSpaceDN w:val="0"/>
              <w:adjustRightInd w:val="0"/>
              <w:rPr>
                <w:rFonts w:ascii="宋体" w:hAnsi="宋体"/>
                <w:kern w:val="0"/>
                <w:sz w:val="13"/>
                <w:szCs w:val="18"/>
              </w:rPr>
            </w:pPr>
            <w:r>
              <w:rPr>
                <w:rFonts w:ascii="宋体" w:hAnsi="宋体" w:cs="Arial"/>
                <w:kern w:val="0"/>
                <w:sz w:val="13"/>
                <w:szCs w:val="18"/>
              </w:rPr>
              <w:t>8.</w:t>
            </w:r>
            <w:r>
              <w:rPr>
                <w:rFonts w:hint="eastAsia" w:ascii="宋体" w:hAnsi="宋体" w:cs="宋体"/>
                <w:kern w:val="0"/>
                <w:sz w:val="13"/>
                <w:szCs w:val="18"/>
              </w:rPr>
              <w:t>装卸车鹤位之间的距离不应小于</w:t>
            </w:r>
            <w:r>
              <w:rPr>
                <w:rFonts w:ascii="宋体" w:hAnsi="宋体" w:cs="Arial"/>
                <w:kern w:val="0"/>
                <w:sz w:val="13"/>
                <w:szCs w:val="18"/>
              </w:rPr>
              <w:t>4m</w:t>
            </w:r>
            <w:r>
              <w:rPr>
                <w:rFonts w:hint="eastAsia" w:ascii="宋体" w:hAnsi="宋体" w:cs="宋体"/>
                <w:kern w:val="0"/>
                <w:sz w:val="13"/>
                <w:szCs w:val="18"/>
              </w:rPr>
              <w:t>；双侧装卸车栈台相邻鹤位之间或同一鹤位相邻鹤管之间的距离应满足鹤管正常操作和检修的要求。</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w:t>
            </w:r>
            <w:r>
              <w:rPr>
                <w:rFonts w:ascii="宋体" w:hAnsi="宋体" w:cs="Arial"/>
                <w:kern w:val="0"/>
                <w:sz w:val="13"/>
                <w:szCs w:val="18"/>
              </w:rPr>
              <w:t xml:space="preserve">GB50160 </w:t>
            </w:r>
            <w:r>
              <w:rPr>
                <w:rFonts w:hint="eastAsia" w:ascii="宋体" w:hAnsi="宋体" w:cs="宋体"/>
                <w:kern w:val="0"/>
                <w:sz w:val="13"/>
                <w:szCs w:val="18"/>
              </w:rPr>
              <w:t>第</w:t>
            </w:r>
            <w:r>
              <w:rPr>
                <w:rFonts w:ascii="宋体" w:hAnsi="宋体" w:cs="Arial"/>
                <w:kern w:val="0"/>
                <w:sz w:val="13"/>
                <w:szCs w:val="18"/>
              </w:rPr>
              <w:t>6.4.</w:t>
            </w:r>
            <w:r>
              <w:rPr>
                <w:rFonts w:hint="eastAsia" w:ascii="宋体" w:hAnsi="宋体" w:cs="Arial"/>
                <w:kern w:val="0"/>
                <w:sz w:val="13"/>
                <w:szCs w:val="18"/>
              </w:rPr>
              <w:t>2</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液化烃铁路和汽车的装卸设施应符合下列规定：</w:t>
            </w:r>
          </w:p>
          <w:p>
            <w:pPr>
              <w:autoSpaceDE w:val="0"/>
              <w:autoSpaceDN w:val="0"/>
              <w:adjustRightInd w:val="0"/>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液化烃严禁就地排放；</w:t>
            </w:r>
          </w:p>
          <w:p>
            <w:pPr>
              <w:autoSpaceDE w:val="0"/>
              <w:autoSpaceDN w:val="0"/>
              <w:adjustRightInd w:val="0"/>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低温液化烃装卸鹤位应单独设置；</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铁路装卸栈台宜单独设置，当不同时作业时，可与可燃液体铁路装卸共台设置；</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同一铁路装卸线一侧两个装卸栈台相邻鹤位之间的距离不应小于</w:t>
            </w:r>
            <w:r>
              <w:rPr>
                <w:rFonts w:ascii="宋体" w:hAnsi="宋体" w:cs="Arial"/>
                <w:kern w:val="0"/>
                <w:sz w:val="13"/>
                <w:szCs w:val="18"/>
              </w:rPr>
              <w:t>24m</w:t>
            </w:r>
            <w:r>
              <w:rPr>
                <w:rFonts w:hint="eastAsia" w:ascii="宋体" w:hAnsi="宋体" w:cs="宋体"/>
                <w:kern w:val="0"/>
                <w:sz w:val="13"/>
                <w:szCs w:val="18"/>
              </w:rPr>
              <w:t>；</w:t>
            </w:r>
          </w:p>
          <w:p>
            <w:pPr>
              <w:autoSpaceDE w:val="0"/>
              <w:autoSpaceDN w:val="0"/>
              <w:adjustRightInd w:val="0"/>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铁路装卸栈台两端和沿栈台每隔</w:t>
            </w:r>
            <w:r>
              <w:rPr>
                <w:rFonts w:ascii="宋体" w:hAnsi="宋体" w:cs="Arial"/>
                <w:kern w:val="0"/>
                <w:sz w:val="13"/>
                <w:szCs w:val="18"/>
              </w:rPr>
              <w:t>60m</w:t>
            </w:r>
            <w:r>
              <w:rPr>
                <w:rFonts w:hint="eastAsia" w:ascii="宋体" w:hAnsi="宋体" w:cs="宋体"/>
                <w:kern w:val="0"/>
                <w:sz w:val="13"/>
                <w:szCs w:val="18"/>
              </w:rPr>
              <w:t>左右应设梯子；</w:t>
            </w:r>
          </w:p>
          <w:p>
            <w:pPr>
              <w:autoSpaceDE w:val="0"/>
              <w:autoSpaceDN w:val="0"/>
              <w:adjustRightInd w:val="0"/>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汽车装卸车鹤位之间的距离不应小于</w:t>
            </w:r>
            <w:r>
              <w:rPr>
                <w:rFonts w:ascii="宋体" w:hAnsi="宋体" w:cs="Arial"/>
                <w:kern w:val="0"/>
                <w:sz w:val="13"/>
                <w:szCs w:val="18"/>
              </w:rPr>
              <w:t>4m</w:t>
            </w:r>
            <w:r>
              <w:rPr>
                <w:rFonts w:hint="eastAsia" w:ascii="宋体" w:hAnsi="宋体" w:cs="宋体"/>
                <w:kern w:val="0"/>
                <w:sz w:val="13"/>
                <w:szCs w:val="18"/>
              </w:rPr>
              <w:t>；双侧装卸车栈台相邻鹤位之间或同一鹤位相邻鹤管之间的距离应满足鹤管正常操作和检修的要求，液化烃汽车装卸栈台与可燃</w:t>
            </w:r>
            <w:r>
              <w:rPr>
                <w:rFonts w:ascii="宋体" w:hAnsi="宋体" w:cs="宋体"/>
                <w:kern w:val="0"/>
                <w:sz w:val="13"/>
                <w:szCs w:val="18"/>
              </w:rPr>
              <w:t xml:space="preserve"> </w:t>
            </w:r>
            <w:r>
              <w:rPr>
                <w:rFonts w:hint="eastAsia" w:ascii="宋体" w:hAnsi="宋体" w:cs="宋体"/>
                <w:kern w:val="0"/>
                <w:sz w:val="13"/>
                <w:szCs w:val="18"/>
              </w:rPr>
              <w:t>液体汽车装卸栈台相邻鹤位之间的距离不应小于</w:t>
            </w:r>
            <w:r>
              <w:rPr>
                <w:rFonts w:ascii="宋体" w:hAnsi="宋体" w:cs="Arial"/>
                <w:kern w:val="0"/>
                <w:sz w:val="13"/>
                <w:szCs w:val="18"/>
              </w:rPr>
              <w:t>8m</w:t>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ascii="宋体" w:hAnsi="宋体" w:cs="Arial"/>
                <w:kern w:val="0"/>
                <w:sz w:val="13"/>
                <w:szCs w:val="18"/>
              </w:rPr>
              <w:t>7.</w:t>
            </w:r>
            <w:r>
              <w:rPr>
                <w:rFonts w:hint="eastAsia" w:ascii="宋体" w:hAnsi="宋体" w:cs="宋体"/>
                <w:kern w:val="0"/>
                <w:sz w:val="13"/>
                <w:szCs w:val="18"/>
              </w:rPr>
              <w:t>在距装卸车鹤位</w:t>
            </w:r>
            <w:r>
              <w:rPr>
                <w:rFonts w:ascii="宋体" w:hAnsi="宋体" w:cs="Arial"/>
                <w:kern w:val="0"/>
                <w:sz w:val="13"/>
                <w:szCs w:val="18"/>
              </w:rPr>
              <w:t>10m</w:t>
            </w:r>
            <w:r>
              <w:rPr>
                <w:rFonts w:hint="eastAsia" w:ascii="宋体" w:hAnsi="宋体" w:cs="宋体"/>
                <w:kern w:val="0"/>
                <w:sz w:val="13"/>
                <w:szCs w:val="18"/>
              </w:rPr>
              <w:t>以外的装卸管道上应设便于操作的紧急切断阀；</w:t>
            </w:r>
          </w:p>
          <w:p>
            <w:pPr>
              <w:autoSpaceDE w:val="0"/>
              <w:autoSpaceDN w:val="0"/>
              <w:adjustRightInd w:val="0"/>
              <w:rPr>
                <w:rFonts w:ascii="宋体" w:hAnsi="宋体" w:cs="宋体"/>
                <w:kern w:val="0"/>
                <w:sz w:val="13"/>
                <w:szCs w:val="18"/>
              </w:rPr>
            </w:pPr>
            <w:r>
              <w:rPr>
                <w:rFonts w:ascii="宋体" w:hAnsi="宋体" w:cs="Arial"/>
                <w:kern w:val="0"/>
                <w:sz w:val="13"/>
                <w:szCs w:val="18"/>
              </w:rPr>
              <w:t>8.</w:t>
            </w:r>
            <w:r>
              <w:rPr>
                <w:rFonts w:hint="eastAsia" w:ascii="宋体" w:hAnsi="宋体" w:cs="宋体"/>
                <w:kern w:val="0"/>
                <w:sz w:val="13"/>
                <w:szCs w:val="18"/>
              </w:rPr>
              <w:t>汽车装卸车场应采用现浇混凝土地面；</w:t>
            </w:r>
          </w:p>
          <w:p>
            <w:pPr>
              <w:autoSpaceDE w:val="0"/>
              <w:autoSpaceDN w:val="0"/>
              <w:adjustRightInd w:val="0"/>
              <w:rPr>
                <w:rFonts w:ascii="宋体" w:hAnsi="宋体"/>
                <w:kern w:val="0"/>
                <w:sz w:val="13"/>
                <w:szCs w:val="18"/>
              </w:rPr>
            </w:pPr>
            <w:r>
              <w:rPr>
                <w:rFonts w:ascii="宋体" w:hAnsi="宋体" w:cs="Arial"/>
                <w:kern w:val="0"/>
                <w:sz w:val="13"/>
                <w:szCs w:val="18"/>
              </w:rPr>
              <w:t>9.</w:t>
            </w:r>
            <w:r>
              <w:rPr>
                <w:rFonts w:hint="eastAsia" w:ascii="宋体" w:hAnsi="宋体" w:cs="宋体"/>
                <w:kern w:val="0"/>
                <w:sz w:val="13"/>
                <w:szCs w:val="18"/>
              </w:rPr>
              <w:t>装卸车鹤位与集中布置的泵的距离不应小于</w:t>
            </w:r>
            <w:r>
              <w:rPr>
                <w:rFonts w:ascii="宋体" w:hAnsi="宋体" w:cs="Arial"/>
                <w:kern w:val="0"/>
                <w:sz w:val="13"/>
                <w:szCs w:val="18"/>
              </w:rPr>
              <w:t>10m</w:t>
            </w:r>
            <w:r>
              <w:rPr>
                <w:rFonts w:hint="eastAsia" w:ascii="宋体" w:hAnsi="宋体" w:cs="宋体"/>
                <w:kern w:val="0"/>
                <w:sz w:val="13"/>
                <w:szCs w:val="18"/>
              </w:rPr>
              <w:t>。</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w:t>
            </w:r>
            <w:r>
              <w:rPr>
                <w:rFonts w:ascii="宋体" w:hAnsi="宋体" w:cs="Arial"/>
                <w:kern w:val="0"/>
                <w:sz w:val="13"/>
                <w:szCs w:val="18"/>
              </w:rPr>
              <w:t xml:space="preserve">GB50160 </w:t>
            </w:r>
            <w:r>
              <w:rPr>
                <w:rFonts w:hint="eastAsia" w:ascii="宋体" w:hAnsi="宋体" w:cs="宋体"/>
                <w:kern w:val="0"/>
                <w:sz w:val="13"/>
                <w:szCs w:val="18"/>
              </w:rPr>
              <w:t>第</w:t>
            </w:r>
            <w:r>
              <w:rPr>
                <w:rFonts w:ascii="宋体" w:hAnsi="宋体" w:cs="Arial"/>
                <w:kern w:val="0"/>
                <w:sz w:val="13"/>
                <w:szCs w:val="18"/>
              </w:rPr>
              <w:t>6.4.</w:t>
            </w:r>
            <w:r>
              <w:rPr>
                <w:rFonts w:hint="eastAsia" w:ascii="宋体" w:hAnsi="宋体" w:cs="Arial"/>
                <w:kern w:val="0"/>
                <w:sz w:val="13"/>
                <w:szCs w:val="18"/>
              </w:rPr>
              <w:t>3</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液化石油气的灌装站应符合下列规定：</w:t>
            </w:r>
          </w:p>
          <w:p>
            <w:pPr>
              <w:autoSpaceDE w:val="0"/>
              <w:autoSpaceDN w:val="0"/>
              <w:adjustRightInd w:val="0"/>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液化石油气的灌瓶间和储瓶库宜为敞开式或半敞开式</w:t>
            </w:r>
            <w:r>
              <w:rPr>
                <w:rFonts w:ascii="宋体" w:hAnsi="宋体" w:cs="宋体"/>
                <w:kern w:val="0"/>
                <w:sz w:val="13"/>
                <w:szCs w:val="18"/>
              </w:rPr>
              <w:t xml:space="preserve"> </w:t>
            </w:r>
            <w:r>
              <w:rPr>
                <w:rFonts w:hint="eastAsia" w:ascii="宋体" w:hAnsi="宋体" w:cs="宋体"/>
                <w:kern w:val="0"/>
                <w:sz w:val="13"/>
                <w:szCs w:val="18"/>
              </w:rPr>
              <w:t>建筑物，半敞开式建筑物下部应采取防止油气积聚的措施；</w:t>
            </w:r>
          </w:p>
          <w:p>
            <w:pPr>
              <w:autoSpaceDE w:val="0"/>
              <w:autoSpaceDN w:val="0"/>
              <w:adjustRightInd w:val="0"/>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液化石油气的残液应密闭回收，严禁就地排放；</w:t>
            </w:r>
          </w:p>
          <w:p>
            <w:pPr>
              <w:autoSpaceDE w:val="0"/>
              <w:autoSpaceDN w:val="0"/>
              <w:adjustRightInd w:val="0"/>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灌装站应设不燃烧材料隔离墙。如采用实体围墙，其下部应设通风口；</w:t>
            </w:r>
          </w:p>
          <w:p>
            <w:pPr>
              <w:autoSpaceDE w:val="0"/>
              <w:autoSpaceDN w:val="0"/>
              <w:adjustRightInd w:val="0"/>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灌瓶间和储瓶库的室内应采用不发生火花的地面，室内地面应高于室外地坪，其高差不应小于</w:t>
            </w:r>
            <w:r>
              <w:rPr>
                <w:rFonts w:ascii="宋体" w:hAnsi="宋体" w:cs="Arial"/>
                <w:kern w:val="0"/>
                <w:sz w:val="13"/>
                <w:szCs w:val="18"/>
              </w:rPr>
              <w:t>0.6m</w:t>
            </w:r>
            <w:r>
              <w:rPr>
                <w:rFonts w:hint="eastAsia" w:ascii="宋体" w:hAnsi="宋体" w:cs="宋体"/>
                <w:kern w:val="0"/>
                <w:sz w:val="13"/>
                <w:szCs w:val="18"/>
              </w:rPr>
              <w:t>；</w:t>
            </w:r>
          </w:p>
          <w:p>
            <w:pPr>
              <w:autoSpaceDE w:val="0"/>
              <w:autoSpaceDN w:val="0"/>
              <w:adjustRightInd w:val="0"/>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液化石油气缓冲罐与灌瓶间的距离不应小于</w:t>
            </w:r>
            <w:r>
              <w:rPr>
                <w:rFonts w:ascii="宋体" w:hAnsi="宋体" w:cs="Arial"/>
                <w:kern w:val="0"/>
                <w:sz w:val="13"/>
                <w:szCs w:val="18"/>
              </w:rPr>
              <w:t>10m</w:t>
            </w:r>
            <w:r>
              <w:rPr>
                <w:rFonts w:hint="eastAsia" w:ascii="宋体" w:hAnsi="宋体" w:cs="宋体"/>
                <w:kern w:val="0"/>
                <w:sz w:val="13"/>
                <w:szCs w:val="18"/>
              </w:rPr>
              <w:t>；</w:t>
            </w:r>
          </w:p>
          <w:p>
            <w:pPr>
              <w:autoSpaceDE w:val="0"/>
              <w:autoSpaceDN w:val="0"/>
              <w:adjustRightInd w:val="0"/>
              <w:jc w:val="left"/>
              <w:rPr>
                <w:rFonts w:ascii="宋体" w:hAnsi="宋体"/>
                <w:kern w:val="0"/>
                <w:sz w:val="13"/>
                <w:szCs w:val="18"/>
              </w:rPr>
            </w:pPr>
            <w:r>
              <w:rPr>
                <w:rFonts w:ascii="宋体" w:hAnsi="宋体" w:cs="Arial"/>
                <w:kern w:val="0"/>
                <w:sz w:val="13"/>
                <w:szCs w:val="18"/>
              </w:rPr>
              <w:t>6.</w:t>
            </w:r>
            <w:r>
              <w:rPr>
                <w:rFonts w:hint="eastAsia" w:ascii="宋体" w:hAnsi="宋体" w:cs="宋体"/>
                <w:kern w:val="0"/>
                <w:sz w:val="13"/>
                <w:szCs w:val="18"/>
              </w:rPr>
              <w:t>灌装站内应设有宽度不小于</w:t>
            </w:r>
            <w:r>
              <w:rPr>
                <w:rFonts w:ascii="宋体" w:hAnsi="宋体" w:cs="Arial"/>
                <w:kern w:val="0"/>
                <w:sz w:val="13"/>
                <w:szCs w:val="18"/>
              </w:rPr>
              <w:t>4m</w:t>
            </w:r>
            <w:r>
              <w:rPr>
                <w:rFonts w:hint="eastAsia" w:ascii="宋体" w:hAnsi="宋体" w:cs="宋体"/>
                <w:kern w:val="0"/>
                <w:sz w:val="13"/>
                <w:szCs w:val="18"/>
              </w:rPr>
              <w:t>的环形消防车道，车道内缘转弯半径不宜小于</w:t>
            </w:r>
            <w:r>
              <w:rPr>
                <w:rFonts w:ascii="宋体" w:hAnsi="宋体" w:cs="Arial"/>
                <w:kern w:val="0"/>
                <w:sz w:val="13"/>
                <w:szCs w:val="18"/>
              </w:rPr>
              <w:t>6m</w:t>
            </w:r>
            <w:r>
              <w:rPr>
                <w:rFonts w:hint="eastAsia" w:ascii="宋体" w:hAnsi="宋体" w:cs="宋体"/>
                <w:kern w:val="0"/>
                <w:sz w:val="13"/>
                <w:szCs w:val="18"/>
              </w:rPr>
              <w:t>。</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w:t>
            </w:r>
            <w:r>
              <w:rPr>
                <w:rFonts w:ascii="宋体" w:hAnsi="宋体" w:cs="Arial"/>
                <w:kern w:val="0"/>
                <w:sz w:val="13"/>
                <w:szCs w:val="18"/>
              </w:rPr>
              <w:t xml:space="preserve">GB50160 </w:t>
            </w:r>
            <w:r>
              <w:rPr>
                <w:rFonts w:hint="eastAsia" w:ascii="宋体" w:hAnsi="宋体" w:cs="宋体"/>
                <w:kern w:val="0"/>
                <w:sz w:val="13"/>
                <w:szCs w:val="18"/>
              </w:rPr>
              <w:t>第</w:t>
            </w:r>
            <w:r>
              <w:rPr>
                <w:rFonts w:ascii="宋体" w:hAnsi="宋体" w:cs="Arial"/>
                <w:kern w:val="0"/>
                <w:sz w:val="13"/>
                <w:szCs w:val="18"/>
              </w:rPr>
              <w:t>6.4.</w:t>
            </w:r>
            <w:r>
              <w:rPr>
                <w:rFonts w:hint="eastAsia" w:ascii="宋体" w:hAnsi="宋体" w:cs="Arial"/>
                <w:kern w:val="0"/>
                <w:sz w:val="13"/>
                <w:szCs w:val="18"/>
              </w:rPr>
              <w:t>4</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四、危险化学品仓库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化学品和危险品库区的防火间距应满足国家相关标准规</w:t>
            </w:r>
            <w:r>
              <w:rPr>
                <w:rFonts w:ascii="宋体" w:hAnsi="宋体" w:cs="宋体"/>
                <w:kern w:val="0"/>
                <w:sz w:val="13"/>
                <w:szCs w:val="18"/>
              </w:rPr>
              <w:t xml:space="preserve"> </w:t>
            </w:r>
            <w:r>
              <w:rPr>
                <w:rFonts w:hint="eastAsia" w:ascii="宋体" w:hAnsi="宋体" w:cs="宋体"/>
                <w:kern w:val="0"/>
                <w:sz w:val="13"/>
                <w:szCs w:val="18"/>
              </w:rPr>
              <w:t>要求。</w:t>
            </w:r>
          </w:p>
        </w:tc>
        <w:tc>
          <w:tcPr>
            <w:tcW w:w="2714" w:type="dxa"/>
          </w:tcPr>
          <w:p>
            <w:pPr>
              <w:autoSpaceDE w:val="0"/>
              <w:autoSpaceDN w:val="0"/>
              <w:adjustRightInd w:val="0"/>
              <w:jc w:val="left"/>
              <w:rPr>
                <w:rFonts w:ascii="宋体" w:hAnsi="宋体"/>
                <w:kern w:val="0"/>
                <w:sz w:val="13"/>
                <w:szCs w:val="18"/>
              </w:rPr>
            </w:pPr>
          </w:p>
        </w:tc>
        <w:tc>
          <w:tcPr>
            <w:tcW w:w="1167" w:type="dxa"/>
            <w:vMerge w:val="restart"/>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仓库的安全出口设置应满足《建筑设计防火规范》</w:t>
            </w:r>
            <w:r>
              <w:rPr>
                <w:rFonts w:ascii="宋体" w:hAnsi="宋体" w:cs="Arial"/>
                <w:kern w:val="0"/>
                <w:sz w:val="13"/>
                <w:szCs w:val="18"/>
              </w:rPr>
              <w:t>GB50016</w:t>
            </w:r>
            <w:r>
              <w:rPr>
                <w:rFonts w:hint="eastAsia" w:ascii="宋体" w:hAnsi="宋体" w:cs="宋体"/>
                <w:kern w:val="0"/>
                <w:sz w:val="13"/>
                <w:szCs w:val="18"/>
              </w:rPr>
              <w:t>的有关规定。</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有爆炸危险的甲、乙类库房泄压设施应满足</w:t>
            </w:r>
            <w:r>
              <w:rPr>
                <w:rFonts w:ascii="宋体" w:hAnsi="宋体" w:cs="Arial"/>
                <w:kern w:val="0"/>
                <w:sz w:val="13"/>
                <w:szCs w:val="18"/>
              </w:rPr>
              <w:t xml:space="preserve">GB50016 </w:t>
            </w:r>
            <w:r>
              <w:rPr>
                <w:rFonts w:hint="eastAsia" w:ascii="宋体" w:hAnsi="宋体" w:cs="宋体"/>
                <w:kern w:val="0"/>
                <w:sz w:val="13"/>
                <w:szCs w:val="18"/>
              </w:rPr>
              <w:t>的规定。</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仓库内严禁设置员工宿舍。甲、乙类仓库内严禁设置办公室、休息室等，并不应贴邻建造。在丙、丁类仓库内设置的办公室、休息室，应采用耐火极限不低于</w:t>
            </w:r>
            <w:r>
              <w:rPr>
                <w:rFonts w:ascii="宋体" w:hAnsi="宋体" w:cs="宋体"/>
                <w:kern w:val="0"/>
                <w:sz w:val="13"/>
                <w:szCs w:val="18"/>
              </w:rPr>
              <w:t xml:space="preserve"> </w:t>
            </w:r>
            <w:r>
              <w:rPr>
                <w:rFonts w:ascii="宋体" w:hAnsi="宋体" w:cs="Arial"/>
                <w:kern w:val="0"/>
                <w:sz w:val="13"/>
                <w:szCs w:val="18"/>
              </w:rPr>
              <w:t xml:space="preserve">2.50h </w:t>
            </w:r>
            <w:r>
              <w:rPr>
                <w:rFonts w:hint="eastAsia" w:ascii="宋体" w:hAnsi="宋体" w:cs="宋体"/>
                <w:kern w:val="0"/>
                <w:sz w:val="13"/>
                <w:szCs w:val="18"/>
              </w:rPr>
              <w:t>的不燃烧隔墙和不低于</w:t>
            </w:r>
            <w:r>
              <w:rPr>
                <w:rFonts w:ascii="宋体" w:hAnsi="宋体" w:cs="Arial"/>
                <w:kern w:val="0"/>
                <w:sz w:val="13"/>
                <w:szCs w:val="18"/>
              </w:rPr>
              <w:t xml:space="preserve">1.00h </w:t>
            </w:r>
            <w:r>
              <w:rPr>
                <w:rFonts w:hint="eastAsia" w:ascii="宋体" w:hAnsi="宋体" w:cs="宋体"/>
                <w:kern w:val="0"/>
                <w:sz w:val="13"/>
                <w:szCs w:val="18"/>
              </w:rPr>
              <w:t>的楼板与库房隔开，并应设置独立的安全出口。如隔墙需开设相互连通的门时，应采用乙级防火门。</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w:t>
            </w:r>
            <w:r>
              <w:rPr>
                <w:rFonts w:ascii="宋体" w:hAnsi="宋体" w:cs="Arial"/>
                <w:kern w:val="0"/>
                <w:sz w:val="13"/>
                <w:szCs w:val="18"/>
              </w:rPr>
              <w:t xml:space="preserve">GB50160 </w:t>
            </w:r>
            <w:r>
              <w:rPr>
                <w:rFonts w:hint="eastAsia" w:ascii="宋体" w:hAnsi="宋体" w:cs="宋体"/>
                <w:kern w:val="0"/>
                <w:sz w:val="13"/>
                <w:szCs w:val="18"/>
              </w:rPr>
              <w:t>第</w:t>
            </w:r>
            <w:r>
              <w:rPr>
                <w:rFonts w:hint="eastAsia" w:ascii="宋体" w:hAnsi="宋体" w:cs="Arial"/>
                <w:kern w:val="0"/>
                <w:sz w:val="13"/>
                <w:szCs w:val="18"/>
              </w:rPr>
              <w:t>3</w:t>
            </w:r>
            <w:r>
              <w:rPr>
                <w:rFonts w:ascii="宋体" w:hAnsi="宋体" w:cs="Arial"/>
                <w:kern w:val="0"/>
                <w:sz w:val="13"/>
                <w:szCs w:val="18"/>
              </w:rPr>
              <w:t>.</w:t>
            </w:r>
            <w:r>
              <w:rPr>
                <w:rFonts w:hint="eastAsia" w:ascii="宋体" w:hAnsi="宋体" w:cs="Arial"/>
                <w:kern w:val="0"/>
                <w:sz w:val="13"/>
                <w:szCs w:val="18"/>
              </w:rPr>
              <w:t>3</w:t>
            </w:r>
            <w:r>
              <w:rPr>
                <w:rFonts w:ascii="宋体" w:hAnsi="宋体" w:cs="Arial"/>
                <w:kern w:val="0"/>
                <w:sz w:val="13"/>
                <w:szCs w:val="18"/>
              </w:rPr>
              <w:t>.</w:t>
            </w:r>
            <w:r>
              <w:rPr>
                <w:rFonts w:hint="eastAsia" w:ascii="宋体" w:hAnsi="宋体" w:cs="Arial"/>
                <w:kern w:val="0"/>
                <w:sz w:val="13"/>
                <w:szCs w:val="18"/>
              </w:rPr>
              <w:t>15</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危险化学品应按化学物理特性分类储存，当物料性质不允许相互接触时，应用实体墙隔开，并各设出入口。各种危险化学品储存应满足《常用化学危险品贮存通则》</w:t>
            </w:r>
            <w:r>
              <w:rPr>
                <w:rFonts w:ascii="宋体" w:hAnsi="宋体" w:cs="Arial"/>
                <w:kern w:val="0"/>
                <w:sz w:val="13"/>
                <w:szCs w:val="18"/>
              </w:rPr>
              <w:t xml:space="preserve">GB15603 </w:t>
            </w:r>
            <w:r>
              <w:rPr>
                <w:rFonts w:hint="eastAsia" w:ascii="宋体" w:hAnsi="宋体" w:cs="宋体"/>
                <w:kern w:val="0"/>
                <w:sz w:val="13"/>
                <w:szCs w:val="18"/>
              </w:rPr>
              <w:t>的规定。</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压缩气体和液化气体必须与爆炸物品、氧化剂、易燃物品、</w:t>
            </w:r>
            <w:r>
              <w:rPr>
                <w:rFonts w:ascii="宋体" w:hAnsi="宋体" w:cs="宋体"/>
                <w:kern w:val="0"/>
                <w:sz w:val="13"/>
                <w:szCs w:val="18"/>
              </w:rPr>
              <w:t xml:space="preserve"> </w:t>
            </w:r>
            <w:r>
              <w:rPr>
                <w:rFonts w:hint="eastAsia" w:ascii="宋体" w:hAnsi="宋体" w:cs="宋体"/>
                <w:kern w:val="0"/>
                <w:sz w:val="13"/>
                <w:szCs w:val="18"/>
              </w:rPr>
              <w:t>自燃物品、腐蚀性物品隔离贮存。易燃气体不得与助燃气</w:t>
            </w:r>
            <w:r>
              <w:rPr>
                <w:rFonts w:ascii="宋体" w:hAnsi="宋体" w:cs="宋体"/>
                <w:kern w:val="0"/>
                <w:sz w:val="13"/>
                <w:szCs w:val="18"/>
              </w:rPr>
              <w:t xml:space="preserve"> </w:t>
            </w:r>
            <w:r>
              <w:rPr>
                <w:rFonts w:hint="eastAsia" w:ascii="宋体" w:hAnsi="宋体" w:cs="宋体"/>
                <w:kern w:val="0"/>
                <w:sz w:val="13"/>
                <w:szCs w:val="18"/>
              </w:rPr>
              <w:t>体、剧毒气体同贮；氧气不得与油脂混合贮存。</w:t>
            </w:r>
          </w:p>
        </w:tc>
        <w:tc>
          <w:tcPr>
            <w:tcW w:w="271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《常用化学危险品贮存通则》</w:t>
            </w:r>
            <w:r>
              <w:rPr>
                <w:rFonts w:ascii="宋体" w:hAnsi="宋体" w:cs="Arial"/>
                <w:kern w:val="0"/>
                <w:sz w:val="13"/>
                <w:szCs w:val="18"/>
              </w:rPr>
              <w:t>GB15603-1995</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6.6</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易燃液体、遇湿易燃物品、易燃固体不得与氧化剂混合贮</w:t>
            </w:r>
            <w:r>
              <w:rPr>
                <w:rFonts w:ascii="宋体" w:hAnsi="宋体" w:cs="宋体"/>
                <w:kern w:val="0"/>
                <w:sz w:val="13"/>
                <w:szCs w:val="18"/>
              </w:rPr>
              <w:t xml:space="preserve"> </w:t>
            </w:r>
            <w:r>
              <w:rPr>
                <w:rFonts w:hint="eastAsia" w:ascii="宋体" w:hAnsi="宋体" w:cs="宋体"/>
                <w:kern w:val="0"/>
                <w:sz w:val="13"/>
                <w:szCs w:val="18"/>
              </w:rPr>
              <w:t>存，具有还原性氧化剂应单独存放。</w:t>
            </w:r>
          </w:p>
        </w:tc>
        <w:tc>
          <w:tcPr>
            <w:tcW w:w="271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《常用化学危险品贮存通则》</w:t>
            </w:r>
            <w:r>
              <w:rPr>
                <w:rFonts w:ascii="宋体" w:hAnsi="宋体" w:cs="Arial"/>
                <w:kern w:val="0"/>
                <w:sz w:val="13"/>
                <w:szCs w:val="18"/>
              </w:rPr>
              <w:t>GB15603-1995</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6.6</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有毒物品应贮存在阴凉、通风、干燥的场所，不要露天存</w:t>
            </w:r>
            <w:r>
              <w:rPr>
                <w:rFonts w:ascii="宋体" w:hAnsi="宋体" w:cs="宋体"/>
                <w:kern w:val="0"/>
                <w:sz w:val="13"/>
                <w:szCs w:val="18"/>
              </w:rPr>
              <w:t xml:space="preserve"> </w:t>
            </w:r>
            <w:r>
              <w:rPr>
                <w:rFonts w:hint="eastAsia" w:ascii="宋体" w:hAnsi="宋体" w:cs="宋体"/>
                <w:kern w:val="0"/>
                <w:sz w:val="13"/>
                <w:szCs w:val="18"/>
              </w:rPr>
              <w:t>放，不要接近酸类物质。</w:t>
            </w:r>
          </w:p>
        </w:tc>
        <w:tc>
          <w:tcPr>
            <w:tcW w:w="271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《常用化学危险品贮存通则》</w:t>
            </w:r>
            <w:r>
              <w:rPr>
                <w:rFonts w:ascii="宋体" w:hAnsi="宋体" w:cs="Arial"/>
                <w:kern w:val="0"/>
                <w:sz w:val="13"/>
                <w:szCs w:val="18"/>
              </w:rPr>
              <w:t>GB15603-1995</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6.</w:t>
            </w:r>
            <w:r>
              <w:rPr>
                <w:rFonts w:hint="eastAsia" w:ascii="宋体" w:hAnsi="宋体" w:cs="Arial"/>
                <w:kern w:val="0"/>
                <w:sz w:val="13"/>
                <w:szCs w:val="18"/>
              </w:rPr>
              <w:t>8</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9</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低、中闪点液体、一级易燃固体、自燃物品、压缩气体和液化气体类宜储藏于一级耐火建筑的库房内。遇湿易燃物品、氧化剂和有机过氧化物可储藏于一、二级耐火建筑的库房内。二级易燃固体、高闪点液体可储藏于耐火等级</w:t>
            </w:r>
            <w:r>
              <w:rPr>
                <w:rFonts w:ascii="宋体" w:hAnsi="宋体" w:cs="宋体"/>
                <w:kern w:val="0"/>
                <w:sz w:val="13"/>
                <w:szCs w:val="18"/>
              </w:rPr>
              <w:t xml:space="preserve"> </w:t>
            </w:r>
            <w:r>
              <w:rPr>
                <w:rFonts w:hint="eastAsia" w:ascii="宋体" w:hAnsi="宋体" w:cs="宋体"/>
                <w:kern w:val="0"/>
                <w:sz w:val="13"/>
                <w:szCs w:val="18"/>
              </w:rPr>
              <w:t>不低于三级的库房内。</w:t>
            </w:r>
          </w:p>
        </w:tc>
        <w:tc>
          <w:tcPr>
            <w:tcW w:w="2714" w:type="dxa"/>
          </w:tcPr>
          <w:p>
            <w:pPr>
              <w:tabs>
                <w:tab w:val="left" w:pos="2617"/>
              </w:tabs>
              <w:autoSpaceDE w:val="0"/>
              <w:autoSpaceDN w:val="0"/>
              <w:adjustRightInd w:val="0"/>
              <w:rPr>
                <w:rFonts w:ascii="宋体" w:hAnsi="宋体"/>
                <w:kern w:val="0"/>
                <w:sz w:val="13"/>
                <w:szCs w:val="18"/>
              </w:rPr>
            </w:pPr>
            <w:r>
              <w:rPr>
                <w:rFonts w:hint="eastAsia" w:ascii="宋体" w:hAnsi="宋体" w:cs="宋体"/>
                <w:kern w:val="0"/>
                <w:sz w:val="13"/>
                <w:szCs w:val="18"/>
              </w:rPr>
              <w:t>《易燃易爆性商品储藏养护技术条件》</w:t>
            </w:r>
            <w:r>
              <w:rPr>
                <w:rFonts w:ascii="宋体" w:hAnsi="宋体" w:cs="Arial"/>
                <w:kern w:val="0"/>
                <w:sz w:val="13"/>
                <w:szCs w:val="18"/>
              </w:rPr>
              <w:t>GB17914-1999</w:t>
            </w:r>
            <w:r>
              <w:rPr>
                <w:rFonts w:hint="eastAsia" w:ascii="宋体" w:hAnsi="宋体" w:cs="宋体"/>
                <w:kern w:val="0"/>
                <w:sz w:val="13"/>
                <w:szCs w:val="18"/>
              </w:rPr>
              <w:t>第</w:t>
            </w:r>
            <w:r>
              <w:rPr>
                <w:rFonts w:ascii="宋体" w:hAnsi="宋体" w:cs="Arial"/>
                <w:kern w:val="0"/>
                <w:sz w:val="13"/>
                <w:szCs w:val="18"/>
              </w:rPr>
              <w:t xml:space="preserve">3.2.1 </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r>
              <w:rPr>
                <w:rFonts w:ascii="宋体" w:hAnsi="宋体" w:cs="Arial"/>
                <w:kern w:val="0"/>
                <w:sz w:val="13"/>
                <w:szCs w:val="18"/>
              </w:rPr>
              <w:t>10</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易燃气体、不燃气体和有毒气体分别专库储藏。易燃液体均可同库储藏；但甲醇、乙醇、丙酮等应专库贮存。遇湿易燃物品专库储藏。</w:t>
            </w:r>
          </w:p>
        </w:tc>
        <w:tc>
          <w:tcPr>
            <w:tcW w:w="2714" w:type="dxa"/>
          </w:tcPr>
          <w:p>
            <w:pPr>
              <w:tabs>
                <w:tab w:val="left" w:pos="2484"/>
              </w:tabs>
              <w:autoSpaceDE w:val="0"/>
              <w:autoSpaceDN w:val="0"/>
              <w:adjustRightInd w:val="0"/>
              <w:rPr>
                <w:rFonts w:ascii="宋体" w:hAnsi="宋体"/>
                <w:kern w:val="0"/>
                <w:sz w:val="13"/>
                <w:szCs w:val="18"/>
              </w:rPr>
            </w:pPr>
            <w:r>
              <w:rPr>
                <w:rFonts w:hint="eastAsia" w:ascii="宋体" w:hAnsi="宋体" w:cs="宋体"/>
                <w:kern w:val="0"/>
                <w:sz w:val="13"/>
                <w:szCs w:val="18"/>
              </w:rPr>
              <w:t>《易燃易爆性商品储藏养护技术条件》</w:t>
            </w:r>
            <w:r>
              <w:rPr>
                <w:rFonts w:ascii="宋体" w:hAnsi="宋体" w:cs="Arial"/>
                <w:kern w:val="0"/>
                <w:sz w:val="13"/>
                <w:szCs w:val="18"/>
              </w:rPr>
              <w:t>GB17914-1999</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3.3.2</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r>
              <w:rPr>
                <w:rFonts w:ascii="宋体" w:hAnsi="宋体" w:cs="Arial"/>
                <w:kern w:val="0"/>
                <w:sz w:val="13"/>
                <w:szCs w:val="18"/>
              </w:rPr>
              <w:t>11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剧毒品应专库贮存或存放在彼此间隔的单间内，需安装防盗报警器，库门装双锁。</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《毒害性性商品储藏养护技术条件》</w:t>
            </w:r>
            <w:r>
              <w:rPr>
                <w:rFonts w:ascii="宋体" w:hAnsi="宋体" w:cs="Arial"/>
                <w:kern w:val="0"/>
                <w:sz w:val="13"/>
                <w:szCs w:val="18"/>
              </w:rPr>
              <w:t>GB17916-1999</w:t>
            </w:r>
            <w:r>
              <w:rPr>
                <w:rFonts w:hint="eastAsia" w:ascii="宋体" w:hAnsi="宋体" w:cs="宋体"/>
                <w:kern w:val="0"/>
                <w:sz w:val="13"/>
                <w:szCs w:val="18"/>
              </w:rPr>
              <w:t>第</w:t>
            </w:r>
            <w:r>
              <w:rPr>
                <w:rFonts w:ascii="宋体" w:hAnsi="宋体" w:cs="Arial"/>
                <w:kern w:val="0"/>
                <w:sz w:val="13"/>
                <w:szCs w:val="18"/>
              </w:rPr>
              <w:t>3.2.4</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r>
              <w:rPr>
                <w:rFonts w:ascii="宋体" w:hAnsi="宋体" w:cs="Arial"/>
                <w:kern w:val="0"/>
                <w:sz w:val="13"/>
                <w:szCs w:val="18"/>
              </w:rPr>
              <w:t>12</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氯气生产、使用、贮存等厂房结构，应充分利用自然通风</w:t>
            </w:r>
            <w:r>
              <w:rPr>
                <w:rFonts w:ascii="宋体" w:hAnsi="宋体" w:cs="宋体"/>
                <w:kern w:val="0"/>
                <w:sz w:val="13"/>
                <w:szCs w:val="18"/>
              </w:rPr>
              <w:t xml:space="preserve"> </w:t>
            </w:r>
            <w:r>
              <w:rPr>
                <w:rFonts w:hint="eastAsia" w:ascii="宋体" w:hAnsi="宋体" w:cs="宋体"/>
                <w:kern w:val="0"/>
                <w:sz w:val="13"/>
                <w:szCs w:val="18"/>
              </w:rPr>
              <w:t>条件换气，在环境、气候条件允许下，可采用半敞开式结</w:t>
            </w:r>
            <w:r>
              <w:rPr>
                <w:rFonts w:ascii="宋体" w:hAnsi="宋体" w:cs="宋体"/>
                <w:kern w:val="0"/>
                <w:sz w:val="13"/>
                <w:szCs w:val="18"/>
              </w:rPr>
              <w:t xml:space="preserve"> </w:t>
            </w:r>
            <w:r>
              <w:rPr>
                <w:rFonts w:hint="eastAsia" w:ascii="宋体" w:hAnsi="宋体" w:cs="宋体"/>
                <w:kern w:val="0"/>
                <w:sz w:val="13"/>
                <w:szCs w:val="18"/>
              </w:rPr>
              <w:t>构；不能采用自然通风的场所，应采用机械通风，但不宜</w:t>
            </w:r>
            <w:r>
              <w:rPr>
                <w:rFonts w:ascii="宋体" w:hAnsi="宋体" w:cs="宋体"/>
                <w:kern w:val="0"/>
                <w:sz w:val="13"/>
                <w:szCs w:val="18"/>
              </w:rPr>
              <w:t xml:space="preserve"> </w:t>
            </w:r>
            <w:r>
              <w:rPr>
                <w:rFonts w:hint="eastAsia" w:ascii="宋体" w:hAnsi="宋体" w:cs="宋体"/>
                <w:kern w:val="0"/>
                <w:sz w:val="13"/>
                <w:szCs w:val="18"/>
              </w:rPr>
              <w:t>使用循环风。</w:t>
            </w:r>
          </w:p>
        </w:tc>
        <w:tc>
          <w:tcPr>
            <w:tcW w:w="2714" w:type="dxa"/>
          </w:tcPr>
          <w:p>
            <w:pPr>
              <w:autoSpaceDE w:val="0"/>
              <w:autoSpaceDN w:val="0"/>
              <w:adjustRightInd w:val="0"/>
              <w:jc w:val="left"/>
              <w:rPr>
                <w:rFonts w:ascii="宋体" w:hAnsi="宋体" w:cs="Arial"/>
                <w:kern w:val="0"/>
                <w:sz w:val="13"/>
                <w:szCs w:val="18"/>
              </w:rPr>
            </w:pPr>
            <w:r>
              <w:rPr>
                <w:rFonts w:hint="eastAsia" w:ascii="宋体" w:hAnsi="宋体" w:cs="宋体"/>
                <w:kern w:val="0"/>
                <w:sz w:val="13"/>
                <w:szCs w:val="18"/>
              </w:rPr>
              <w:t>《氯气安全规程》</w:t>
            </w:r>
            <w:r>
              <w:rPr>
                <w:rFonts w:ascii="宋体" w:hAnsi="宋体" w:cs="Arial"/>
                <w:kern w:val="0"/>
                <w:sz w:val="13"/>
                <w:szCs w:val="18"/>
              </w:rPr>
              <w:t>GB11984-89</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4.7</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r>
              <w:rPr>
                <w:rFonts w:ascii="宋体" w:hAnsi="宋体" w:cs="Arial"/>
                <w:kern w:val="0"/>
                <w:sz w:val="13"/>
                <w:szCs w:val="18"/>
              </w:rPr>
              <w:t>13</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生产、使用和储存氯气的作业场所，是否采取了以下安全措施：</w:t>
            </w:r>
          </w:p>
          <w:p>
            <w:pPr>
              <w:autoSpaceDE w:val="0"/>
              <w:autoSpaceDN w:val="0"/>
              <w:adjustRightInd w:val="0"/>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设有醒目的警示标志和警示说明；</w:t>
            </w:r>
          </w:p>
          <w:p>
            <w:pPr>
              <w:autoSpaceDE w:val="0"/>
              <w:autoSpaceDN w:val="0"/>
              <w:adjustRightInd w:val="0"/>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场所内是否按</w:t>
            </w:r>
            <w:r>
              <w:rPr>
                <w:rFonts w:ascii="宋体" w:hAnsi="宋体" w:cs="Arial"/>
                <w:kern w:val="0"/>
                <w:sz w:val="13"/>
                <w:szCs w:val="18"/>
              </w:rPr>
              <w:t>GB 11984</w:t>
            </w:r>
            <w:r>
              <w:rPr>
                <w:rFonts w:hint="eastAsia" w:ascii="宋体" w:hAnsi="宋体" w:cs="宋体"/>
                <w:kern w:val="0"/>
                <w:sz w:val="13"/>
                <w:szCs w:val="18"/>
              </w:rPr>
              <w:t>的要求配备足够的防毒面具、正</w:t>
            </w:r>
            <w:r>
              <w:rPr>
                <w:rFonts w:ascii="宋体" w:hAnsi="宋体" w:cs="宋体"/>
                <w:kern w:val="0"/>
                <w:sz w:val="13"/>
                <w:szCs w:val="18"/>
              </w:rPr>
              <w:t xml:space="preserve"> </w:t>
            </w:r>
            <w:r>
              <w:rPr>
                <w:rFonts w:hint="eastAsia" w:ascii="宋体" w:hAnsi="宋体" w:cs="宋体"/>
                <w:kern w:val="0"/>
                <w:sz w:val="13"/>
                <w:szCs w:val="18"/>
              </w:rPr>
              <w:t>压式空气呼吸器和防化服等专用防护用品，同时配置自救、</w:t>
            </w:r>
            <w:r>
              <w:rPr>
                <w:rFonts w:ascii="宋体" w:hAnsi="宋体" w:cs="宋体"/>
                <w:kern w:val="0"/>
                <w:sz w:val="13"/>
                <w:szCs w:val="18"/>
              </w:rPr>
              <w:t xml:space="preserve"> </w:t>
            </w:r>
            <w:r>
              <w:rPr>
                <w:rFonts w:hint="eastAsia" w:ascii="宋体" w:hAnsi="宋体" w:cs="宋体"/>
                <w:kern w:val="0"/>
                <w:sz w:val="13"/>
                <w:szCs w:val="18"/>
              </w:rPr>
              <w:t>急救药品等；</w:t>
            </w:r>
          </w:p>
          <w:p>
            <w:pPr>
              <w:autoSpaceDE w:val="0"/>
              <w:autoSpaceDN w:val="0"/>
              <w:adjustRightInd w:val="0"/>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配置洗眼、冲淋等个体防护设备；</w:t>
            </w:r>
          </w:p>
          <w:p>
            <w:pPr>
              <w:autoSpaceDE w:val="0"/>
              <w:autoSpaceDN w:val="0"/>
              <w:adjustRightInd w:val="0"/>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装置高处显眼位置设置风向标；</w:t>
            </w:r>
          </w:p>
          <w:p>
            <w:pPr>
              <w:autoSpaceDE w:val="0"/>
              <w:autoSpaceDN w:val="0"/>
              <w:adjustRightInd w:val="0"/>
              <w:rPr>
                <w:rFonts w:ascii="宋体" w:hAnsi="宋体"/>
                <w:kern w:val="0"/>
                <w:sz w:val="13"/>
                <w:szCs w:val="18"/>
              </w:rPr>
            </w:pPr>
            <w:r>
              <w:rPr>
                <w:rFonts w:ascii="宋体" w:hAnsi="宋体" w:cs="Arial"/>
                <w:kern w:val="0"/>
                <w:sz w:val="13"/>
                <w:szCs w:val="18"/>
              </w:rPr>
              <w:t>5.</w:t>
            </w:r>
            <w:r>
              <w:rPr>
                <w:rFonts w:hint="eastAsia" w:ascii="宋体" w:hAnsi="宋体" w:cs="宋体"/>
                <w:kern w:val="0"/>
                <w:sz w:val="13"/>
                <w:szCs w:val="18"/>
              </w:rPr>
              <w:t>液氯钢瓶存放处，应设中和吸收装置</w:t>
            </w:r>
            <w:r>
              <w:rPr>
                <w:rFonts w:ascii="宋体" w:hAnsi="宋体" w:cs="Arial"/>
                <w:kern w:val="0"/>
                <w:sz w:val="13"/>
                <w:szCs w:val="18"/>
              </w:rPr>
              <w:t>,</w:t>
            </w:r>
            <w:r>
              <w:rPr>
                <w:rFonts w:hint="eastAsia" w:ascii="宋体" w:hAnsi="宋体" w:cs="宋体"/>
                <w:kern w:val="0"/>
                <w:sz w:val="13"/>
                <w:szCs w:val="18"/>
              </w:rPr>
              <w:t>真空吸收等事故处理的设施和工具。</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r>
              <w:rPr>
                <w:rFonts w:ascii="宋体" w:hAnsi="宋体" w:cs="Arial"/>
                <w:kern w:val="0"/>
                <w:sz w:val="13"/>
                <w:szCs w:val="18"/>
              </w:rPr>
              <w:t>14</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甲、乙、丙类液体仓库应设置防止液体流散的设施。遇湿会发生燃烧爆炸的物品仓库应设置防止水浸渍的措施。</w:t>
            </w:r>
          </w:p>
        </w:tc>
        <w:tc>
          <w:tcPr>
            <w:tcW w:w="271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《建筑设计防火规范》</w:t>
            </w:r>
          </w:p>
          <w:p>
            <w:pPr>
              <w:autoSpaceDE w:val="0"/>
              <w:autoSpaceDN w:val="0"/>
              <w:adjustRightInd w:val="0"/>
              <w:jc w:val="left"/>
              <w:rPr>
                <w:rFonts w:ascii="宋体" w:hAnsi="宋体"/>
                <w:kern w:val="0"/>
                <w:sz w:val="13"/>
                <w:szCs w:val="18"/>
              </w:rPr>
            </w:pPr>
            <w:r>
              <w:rPr>
                <w:rFonts w:ascii="宋体" w:hAnsi="宋体" w:cs="Arial"/>
                <w:kern w:val="0"/>
                <w:sz w:val="13"/>
                <w:szCs w:val="18"/>
              </w:rPr>
              <w:t>GB 50016-2006</w:t>
            </w:r>
            <w:r>
              <w:rPr>
                <w:rFonts w:hint="eastAsia" w:ascii="宋体" w:hAnsi="宋体" w:cs="Arial"/>
                <w:kern w:val="0"/>
                <w:sz w:val="13"/>
                <w:szCs w:val="18"/>
              </w:rPr>
              <w:t xml:space="preserve"> </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3.6.11</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r>
              <w:rPr>
                <w:rFonts w:ascii="宋体" w:hAnsi="宋体" w:cs="Arial"/>
                <w:kern w:val="0"/>
                <w:sz w:val="13"/>
                <w:szCs w:val="18"/>
              </w:rPr>
              <w:t>15</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化工企业合成纤维、合成树脂及塑料等产品的高架仓库是否满足下列规定：</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仓库的耐火等级不应低于二级；</w:t>
            </w:r>
          </w:p>
          <w:p>
            <w:pPr>
              <w:autoSpaceDE w:val="0"/>
              <w:autoSpaceDN w:val="0"/>
              <w:adjustRightInd w:val="0"/>
              <w:jc w:val="left"/>
              <w:rPr>
                <w:rFonts w:ascii="宋体" w:hAnsi="宋体"/>
                <w:kern w:val="0"/>
                <w:sz w:val="13"/>
                <w:szCs w:val="18"/>
              </w:rPr>
            </w:pPr>
            <w:r>
              <w:rPr>
                <w:rFonts w:ascii="宋体" w:hAnsi="宋体" w:cs="Arial"/>
                <w:kern w:val="0"/>
                <w:sz w:val="13"/>
                <w:szCs w:val="18"/>
              </w:rPr>
              <w:t>2.</w:t>
            </w:r>
            <w:r>
              <w:rPr>
                <w:rFonts w:hint="eastAsia" w:ascii="宋体" w:hAnsi="宋体" w:cs="宋体"/>
                <w:kern w:val="0"/>
                <w:sz w:val="13"/>
                <w:szCs w:val="18"/>
              </w:rPr>
              <w:t>货架应采用不燃烧材料。</w:t>
            </w:r>
          </w:p>
        </w:tc>
        <w:tc>
          <w:tcPr>
            <w:tcW w:w="271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《石油化工企业设计防火规范》</w:t>
            </w:r>
          </w:p>
          <w:p>
            <w:pPr>
              <w:autoSpaceDE w:val="0"/>
              <w:autoSpaceDN w:val="0"/>
              <w:adjustRightInd w:val="0"/>
              <w:jc w:val="left"/>
              <w:rPr>
                <w:rFonts w:ascii="宋体" w:hAnsi="宋体"/>
                <w:kern w:val="0"/>
                <w:sz w:val="13"/>
                <w:szCs w:val="18"/>
              </w:rPr>
            </w:pPr>
            <w:r>
              <w:rPr>
                <w:rFonts w:ascii="宋体" w:hAnsi="宋体" w:cs="Arial"/>
                <w:kern w:val="0"/>
                <w:sz w:val="13"/>
                <w:szCs w:val="18"/>
              </w:rPr>
              <w:t>GB50160-2008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6.6.3</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r>
              <w:rPr>
                <w:rFonts w:ascii="宋体" w:hAnsi="宋体" w:cs="Arial"/>
                <w:kern w:val="0"/>
                <w:sz w:val="13"/>
                <w:szCs w:val="18"/>
              </w:rPr>
              <w:t>16</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化工企业袋装硝酸铵仓库是否满足下列规定：</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仓库的耐火等级不应低于二级；</w:t>
            </w:r>
          </w:p>
          <w:p>
            <w:pPr>
              <w:autoSpaceDE w:val="0"/>
              <w:autoSpaceDN w:val="0"/>
              <w:adjustRightInd w:val="0"/>
              <w:jc w:val="left"/>
              <w:rPr>
                <w:rFonts w:ascii="宋体" w:hAnsi="宋体"/>
                <w:kern w:val="0"/>
                <w:sz w:val="13"/>
                <w:szCs w:val="18"/>
              </w:rPr>
            </w:pPr>
            <w:r>
              <w:rPr>
                <w:rFonts w:ascii="宋体" w:hAnsi="宋体" w:cs="Arial"/>
                <w:kern w:val="0"/>
                <w:sz w:val="13"/>
                <w:szCs w:val="18"/>
              </w:rPr>
              <w:t>2.</w:t>
            </w:r>
            <w:r>
              <w:rPr>
                <w:rFonts w:hint="eastAsia" w:ascii="宋体" w:hAnsi="宋体" w:cs="宋体"/>
                <w:kern w:val="0"/>
                <w:sz w:val="13"/>
                <w:szCs w:val="18"/>
              </w:rPr>
              <w:t>仓库内严禁存放其他物品。</w:t>
            </w:r>
          </w:p>
        </w:tc>
        <w:tc>
          <w:tcPr>
            <w:tcW w:w="2714" w:type="dxa"/>
          </w:tcPr>
          <w:p>
            <w:pPr>
              <w:tabs>
                <w:tab w:val="left" w:pos="2484"/>
              </w:tabs>
              <w:autoSpaceDE w:val="0"/>
              <w:autoSpaceDN w:val="0"/>
              <w:adjustRightInd w:val="0"/>
              <w:rPr>
                <w:rFonts w:ascii="宋体" w:hAnsi="宋体"/>
                <w:kern w:val="0"/>
                <w:sz w:val="13"/>
                <w:szCs w:val="18"/>
              </w:rPr>
            </w:pPr>
            <w:r>
              <w:rPr>
                <w:rFonts w:hint="eastAsia" w:ascii="宋体" w:hAnsi="宋体" w:cs="宋体"/>
                <w:kern w:val="0"/>
                <w:sz w:val="13"/>
                <w:szCs w:val="18"/>
              </w:rPr>
              <w:t>《石油化工企业设计防火规范》</w:t>
            </w:r>
            <w:r>
              <w:rPr>
                <w:rFonts w:ascii="宋体" w:hAnsi="宋体" w:cs="Arial"/>
                <w:kern w:val="0"/>
                <w:sz w:val="13"/>
                <w:szCs w:val="18"/>
              </w:rPr>
              <w:t>GB50160-2008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6.6.5</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五、储运系统的安全运行状况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vMerge w:val="restart"/>
            <w:tcMar>
              <w:left w:w="28" w:type="dxa"/>
              <w:right w:w="28" w:type="dxa"/>
            </w:tcMar>
          </w:tcPr>
          <w:p>
            <w:pPr>
              <w:rPr>
                <w:rFonts w:ascii="宋体" w:hAnsi="宋体" w:cs="宋体"/>
                <w:kern w:val="0"/>
                <w:sz w:val="13"/>
                <w:szCs w:val="18"/>
              </w:rPr>
            </w:pPr>
          </w:p>
          <w:p>
            <w:pPr>
              <w:rPr>
                <w:rFonts w:ascii="宋体" w:hAnsi="宋体" w:cs="宋体"/>
                <w:kern w:val="0"/>
                <w:sz w:val="13"/>
                <w:szCs w:val="18"/>
              </w:rPr>
            </w:pPr>
          </w:p>
          <w:p>
            <w:pPr>
              <w:ind w:firstLine="130" w:firstLineChars="100"/>
              <w:rPr>
                <w:rFonts w:ascii="宋体" w:hAnsi="宋体" w:cs="宋体"/>
                <w:kern w:val="0"/>
                <w:sz w:val="13"/>
                <w:szCs w:val="18"/>
              </w:rPr>
            </w:pPr>
            <w:r>
              <w:rPr>
                <w:rFonts w:hint="eastAsia" w:ascii="宋体" w:hAnsi="宋体" w:cs="宋体"/>
                <w:kern w:val="0"/>
                <w:sz w:val="13"/>
                <w:szCs w:val="18"/>
              </w:rPr>
              <w:t>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储罐附件如呼吸阀、安全阀、阻火器等齐全完好；</w:t>
            </w:r>
          </w:p>
        </w:tc>
        <w:tc>
          <w:tcPr>
            <w:tcW w:w="2714" w:type="dxa"/>
          </w:tcPr>
          <w:p>
            <w:pPr>
              <w:autoSpaceDE w:val="0"/>
              <w:autoSpaceDN w:val="0"/>
              <w:adjustRightInd w:val="0"/>
              <w:jc w:val="left"/>
              <w:rPr>
                <w:rFonts w:ascii="宋体" w:hAnsi="宋体"/>
                <w:kern w:val="0"/>
                <w:sz w:val="13"/>
                <w:szCs w:val="18"/>
              </w:rPr>
            </w:pPr>
          </w:p>
        </w:tc>
        <w:tc>
          <w:tcPr>
            <w:tcW w:w="1167" w:type="dxa"/>
          </w:tcPr>
          <w:p>
            <w:pPr>
              <w:autoSpaceDE w:val="0"/>
              <w:autoSpaceDN w:val="0"/>
              <w:adjustRightInd w:val="0"/>
              <w:jc w:val="left"/>
              <w:rPr>
                <w:rFonts w:ascii="宋体" w:hAnsi="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vMerge w:val="continue"/>
            <w:tcMar>
              <w:left w:w="28" w:type="dxa"/>
              <w:right w:w="28" w:type="dxa"/>
            </w:tcMar>
          </w:tcPr>
          <w:p>
            <w:pPr>
              <w:rPr>
                <w:rFonts w:ascii="宋体" w:hAnsi="宋体" w:cs="宋体"/>
                <w:kern w:val="0"/>
                <w:sz w:val="13"/>
                <w:szCs w:val="18"/>
              </w:rPr>
            </w:pPr>
          </w:p>
        </w:tc>
        <w:tc>
          <w:tcPr>
            <w:tcW w:w="4234" w:type="dxa"/>
          </w:tcPr>
          <w:p>
            <w:pPr>
              <w:rPr>
                <w:rFonts w:ascii="宋体" w:hAnsi="宋体" w:cs="宋体"/>
                <w:kern w:val="0"/>
                <w:sz w:val="13"/>
                <w:szCs w:val="18"/>
              </w:rPr>
            </w:pPr>
            <w:r>
              <w:rPr>
                <w:rFonts w:hint="eastAsia" w:ascii="宋体" w:hAnsi="宋体" w:cs="宋体"/>
                <w:kern w:val="0"/>
                <w:sz w:val="13"/>
                <w:szCs w:val="18"/>
              </w:rPr>
              <w:t>通风管、加热盘管不堵不漏；升降管灵活</w:t>
            </w:r>
            <w:r>
              <w:rPr>
                <w:rFonts w:ascii="宋体" w:hAnsi="宋体" w:cs="Arial"/>
                <w:kern w:val="0"/>
                <w:sz w:val="13"/>
                <w:szCs w:val="18"/>
              </w:rPr>
              <w:t>;</w:t>
            </w:r>
            <w:r>
              <w:rPr>
                <w:rFonts w:hint="eastAsia" w:ascii="宋体" w:hAnsi="宋体" w:cs="宋体"/>
                <w:kern w:val="0"/>
                <w:sz w:val="13"/>
                <w:szCs w:val="18"/>
              </w:rPr>
              <w:t>排污阀畅通</w:t>
            </w:r>
            <w:r>
              <w:rPr>
                <w:rFonts w:ascii="宋体" w:hAnsi="宋体" w:cs="Arial"/>
                <w:kern w:val="0"/>
                <w:sz w:val="13"/>
                <w:szCs w:val="18"/>
              </w:rPr>
              <w:t>;</w:t>
            </w:r>
            <w:r>
              <w:rPr>
                <w:rFonts w:hint="eastAsia" w:ascii="宋体" w:hAnsi="宋体" w:cs="宋体"/>
                <w:kern w:val="0"/>
                <w:sz w:val="13"/>
                <w:szCs w:val="18"/>
              </w:rPr>
              <w:t>扶梯牢固</w:t>
            </w:r>
            <w:r>
              <w:rPr>
                <w:rFonts w:hint="eastAsia" w:ascii="宋体" w:hAnsi="宋体" w:cs="Arial"/>
                <w:kern w:val="0"/>
                <w:sz w:val="13"/>
                <w:szCs w:val="18"/>
              </w:rPr>
              <w:t>；</w:t>
            </w:r>
            <w:r>
              <w:rPr>
                <w:rFonts w:hint="eastAsia" w:ascii="宋体" w:hAnsi="宋体" w:cs="宋体"/>
                <w:kern w:val="0"/>
                <w:sz w:val="13"/>
                <w:szCs w:val="18"/>
              </w:rPr>
              <w:t>静电消除、接地装置有效；储罐进出口阀门和人孔无渗漏；浮盘、浮梯运行正常，无卡阻</w:t>
            </w:r>
            <w:r>
              <w:rPr>
                <w:rFonts w:hint="eastAsia" w:ascii="宋体" w:hAnsi="宋体" w:cs="Arial"/>
                <w:kern w:val="0"/>
                <w:sz w:val="13"/>
                <w:szCs w:val="18"/>
              </w:rPr>
              <w:t>；</w:t>
            </w:r>
            <w:r>
              <w:rPr>
                <w:rFonts w:hint="eastAsia" w:ascii="宋体" w:hAnsi="宋体" w:cs="宋体"/>
                <w:kern w:val="0"/>
                <w:sz w:val="13"/>
                <w:szCs w:val="18"/>
              </w:rPr>
              <w:t>浮盘，浮仓无渗漏；浮盘无积油、排水管畅通。</w:t>
            </w:r>
          </w:p>
        </w:tc>
        <w:tc>
          <w:tcPr>
            <w:tcW w:w="2714" w:type="dxa"/>
          </w:tcPr>
          <w:p>
            <w:pPr>
              <w:rPr>
                <w:rFonts w:ascii="宋体" w:hAnsi="宋体" w:cs="宋体"/>
                <w:kern w:val="0"/>
                <w:sz w:val="13"/>
                <w:szCs w:val="18"/>
              </w:rPr>
            </w:pPr>
          </w:p>
        </w:tc>
        <w:tc>
          <w:tcPr>
            <w:tcW w:w="1167" w:type="dxa"/>
            <w:vMerge w:val="restart"/>
          </w:tcPr>
          <w:p>
            <w:pPr>
              <w:rPr>
                <w:rFonts w:ascii="宋体" w:hAnsi="宋体" w:cs="宋体"/>
                <w:kern w:val="0"/>
                <w:sz w:val="13"/>
                <w:szCs w:val="18"/>
              </w:rPr>
            </w:pPr>
            <w:r>
              <w:rPr>
                <w:rFonts w:hint="eastAsia" w:ascii="宋体" w:hAnsi="宋体" w:cs="宋体"/>
                <w:kern w:val="0"/>
                <w:sz w:val="13"/>
                <w:szCs w:val="18"/>
              </w:rPr>
              <w:t>1次/班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储罐按规范要求设置防腐措施。</w:t>
            </w:r>
            <w:r>
              <w:rPr>
                <w:rFonts w:ascii="宋体" w:hAnsi="宋体" w:cs="宋体"/>
                <w:kern w:val="0"/>
                <w:sz w:val="13"/>
                <w:szCs w:val="18"/>
              </w:rPr>
              <w:t xml:space="preserve"> </w:t>
            </w:r>
            <w:r>
              <w:rPr>
                <w:rFonts w:hint="eastAsia" w:ascii="宋体" w:hAnsi="宋体" w:cs="宋体"/>
                <w:kern w:val="0"/>
                <w:sz w:val="13"/>
                <w:szCs w:val="18"/>
              </w:rPr>
              <w:t>罐体无严重变形，无渗漏，无严重腐蚀。</w:t>
            </w:r>
          </w:p>
        </w:tc>
        <w:tc>
          <w:tcPr>
            <w:tcW w:w="2714" w:type="dxa"/>
          </w:tcPr>
          <w:p>
            <w:pPr>
              <w:autoSpaceDE w:val="0"/>
              <w:autoSpaceDN w:val="0"/>
              <w:adjustRightInd w:val="0"/>
              <w:ind w:left="52" w:hanging="52" w:hangingChars="40"/>
              <w:rPr>
                <w:rFonts w:ascii="宋体" w:hAnsi="宋体"/>
                <w:kern w:val="0"/>
                <w:sz w:val="13"/>
                <w:szCs w:val="18"/>
              </w:rPr>
            </w:pPr>
            <w:r>
              <w:rPr>
                <w:rFonts w:hint="eastAsia" w:ascii="宋体" w:hAnsi="宋体" w:cs="宋体"/>
                <w:kern w:val="0"/>
                <w:sz w:val="13"/>
                <w:szCs w:val="18"/>
              </w:rPr>
              <w:t>《钢质石油储罐防腐蚀工程技术规范》</w:t>
            </w:r>
            <w:r>
              <w:rPr>
                <w:rFonts w:ascii="宋体" w:hAnsi="宋体" w:cs="Arial"/>
                <w:kern w:val="0"/>
                <w:sz w:val="13"/>
                <w:szCs w:val="18"/>
              </w:rPr>
              <w:t>GB50393-2008</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罐区环境应满足：</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罐区无脏、乱、差、锈、漏，无杂草等易燃物；</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消防道路畅通无阻，消防设施齐全完好；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水封井及排水闸完好可靠；</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照明设施齐全，符合安全防爆规定；</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喷淋冷却设施齐全好用，切水系统可靠好用；</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有氮封系统的，氮封系统正常投用、完好；</w:t>
            </w:r>
          </w:p>
          <w:p>
            <w:pPr>
              <w:autoSpaceDE w:val="0"/>
              <w:autoSpaceDN w:val="0"/>
              <w:adjustRightInd w:val="0"/>
              <w:jc w:val="left"/>
              <w:rPr>
                <w:rFonts w:ascii="宋体" w:hAnsi="宋体"/>
                <w:kern w:val="0"/>
                <w:sz w:val="13"/>
                <w:szCs w:val="18"/>
              </w:rPr>
            </w:pPr>
            <w:r>
              <w:rPr>
                <w:rFonts w:ascii="宋体" w:hAnsi="宋体" w:cs="Arial"/>
                <w:kern w:val="0"/>
                <w:sz w:val="13"/>
                <w:szCs w:val="18"/>
              </w:rPr>
              <w:t>7.</w:t>
            </w:r>
            <w:r>
              <w:rPr>
                <w:rFonts w:hint="eastAsia" w:ascii="宋体" w:hAnsi="宋体" w:cs="宋体"/>
                <w:kern w:val="0"/>
                <w:sz w:val="13"/>
                <w:szCs w:val="18"/>
              </w:rPr>
              <w:t>防雷、防静电设施外观良好。</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六、汽车、铁路装卸设施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可燃液体、液化烃装卸设施：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流速应符合防静电规范要求；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甲类、乙</w:t>
            </w:r>
            <w:r>
              <w:rPr>
                <w:rFonts w:ascii="宋体" w:hAnsi="宋体" w:cs="宋体"/>
                <w:kern w:val="0"/>
                <w:sz w:val="13"/>
                <w:szCs w:val="18"/>
              </w:rPr>
              <w:t xml:space="preserve"> </w:t>
            </w:r>
            <w:r>
              <w:rPr>
                <w:rFonts w:ascii="宋体" w:hAnsi="宋体" w:cs="Arial"/>
                <w:kern w:val="0"/>
                <w:sz w:val="13"/>
                <w:szCs w:val="18"/>
              </w:rPr>
              <w:t xml:space="preserve">A </w:t>
            </w:r>
            <w:r>
              <w:rPr>
                <w:rFonts w:hint="eastAsia" w:ascii="宋体" w:hAnsi="宋体" w:cs="宋体"/>
                <w:kern w:val="0"/>
                <w:sz w:val="13"/>
                <w:szCs w:val="18"/>
              </w:rPr>
              <w:t>类液体为密闭装车；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汽车、火车和船装卸应有静电接地安全装置；</w:t>
            </w:r>
          </w:p>
          <w:p>
            <w:pPr>
              <w:autoSpaceDE w:val="0"/>
              <w:autoSpaceDN w:val="0"/>
              <w:adjustRightInd w:val="0"/>
              <w:jc w:val="left"/>
              <w:rPr>
                <w:rFonts w:ascii="宋体" w:hAnsi="宋体"/>
                <w:kern w:val="0"/>
                <w:sz w:val="13"/>
                <w:szCs w:val="18"/>
              </w:rPr>
            </w:pPr>
            <w:r>
              <w:rPr>
                <w:rFonts w:ascii="宋体" w:hAnsi="宋体" w:cs="Arial"/>
                <w:kern w:val="0"/>
                <w:sz w:val="13"/>
                <w:szCs w:val="18"/>
              </w:rPr>
              <w:t>4.</w:t>
            </w:r>
            <w:r>
              <w:rPr>
                <w:rFonts w:hint="eastAsia" w:ascii="宋体" w:hAnsi="宋体" w:cs="宋体"/>
                <w:kern w:val="0"/>
                <w:sz w:val="13"/>
                <w:szCs w:val="18"/>
              </w:rPr>
              <w:t>装车时采用液下装车。</w:t>
            </w:r>
          </w:p>
        </w:tc>
        <w:tc>
          <w:tcPr>
            <w:tcW w:w="2714" w:type="dxa"/>
          </w:tcPr>
          <w:p>
            <w:pPr>
              <w:autoSpaceDE w:val="0"/>
              <w:autoSpaceDN w:val="0"/>
              <w:adjustRightInd w:val="0"/>
              <w:jc w:val="left"/>
              <w:rPr>
                <w:rFonts w:ascii="宋体" w:hAnsi="宋体"/>
                <w:kern w:val="0"/>
                <w:sz w:val="13"/>
                <w:szCs w:val="18"/>
              </w:rPr>
            </w:pPr>
          </w:p>
        </w:tc>
        <w:tc>
          <w:tcPr>
            <w:tcW w:w="1167" w:type="dxa"/>
          </w:tcPr>
          <w:p>
            <w:pPr>
              <w:autoSpaceDE w:val="0"/>
              <w:autoSpaceDN w:val="0"/>
              <w:adjustRightInd w:val="0"/>
              <w:jc w:val="left"/>
              <w:rPr>
                <w:rFonts w:ascii="宋体" w:hAnsi="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hint="eastAsia" w:ascii="宋体" w:hAnsi="宋体" w:cs="Arial"/>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铁路装卸站台应满足：</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装卸栈台的金属管架接地装置必须完好、牢固，装卸车线路及整个调车作业区采用轨道绝缘线路；</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栈桥照明灯具、导线、信号联络装置等完好，无断落、破损和短路现象。配电要符合防爆要求；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装油鹤管、管道槽罐必须跨接或接地；</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消防设施齐全，消防器材的配置符合规定；</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安全护栏和防滑设施良好；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轻油罐车进出栈桥加隔离车；</w:t>
            </w:r>
          </w:p>
          <w:p>
            <w:pPr>
              <w:autoSpaceDE w:val="0"/>
              <w:autoSpaceDN w:val="0"/>
              <w:adjustRightInd w:val="0"/>
              <w:jc w:val="left"/>
              <w:rPr>
                <w:rFonts w:ascii="宋体" w:hAnsi="宋体"/>
                <w:kern w:val="0"/>
                <w:sz w:val="13"/>
                <w:szCs w:val="18"/>
              </w:rPr>
            </w:pPr>
            <w:r>
              <w:rPr>
                <w:rFonts w:ascii="宋体" w:hAnsi="宋体" w:cs="Arial"/>
                <w:kern w:val="0"/>
                <w:sz w:val="13"/>
                <w:szCs w:val="18"/>
              </w:rPr>
              <w:t>7.</w:t>
            </w:r>
            <w:r>
              <w:rPr>
                <w:rFonts w:hint="eastAsia" w:ascii="宋体" w:hAnsi="宋体" w:cs="宋体"/>
                <w:kern w:val="0"/>
                <w:sz w:val="13"/>
                <w:szCs w:val="18"/>
              </w:rPr>
              <w:t>劳保着装、工具等符合安全规定。</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《石油化工液体物料铁路装卸车设施设计规范》</w:t>
            </w:r>
            <w:r>
              <w:rPr>
                <w:rFonts w:ascii="宋体" w:hAnsi="宋体" w:cs="宋体"/>
                <w:kern w:val="0"/>
                <w:sz w:val="13"/>
                <w:szCs w:val="18"/>
              </w:rPr>
              <w:t>SH/T3107-2007</w:t>
            </w:r>
          </w:p>
        </w:tc>
        <w:tc>
          <w:tcPr>
            <w:tcW w:w="1167" w:type="dxa"/>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汽车装卸站台应满足：</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汽车装卸栈台场地分设出、入口，并设置停车场；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液化气装车栈台与灌瓶站分开；</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装卸栈台与汽车槽罐静电接地良好；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装运危险品的汽车必须“三证”（驾驶证、危险品准运证、危险品押运证）齐全；</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汽车安装阻火器；</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液化气槽车定位后必须熄火。充装完毕，确认管线与接头断开后，方能开车；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消防设施齐全；</w:t>
            </w:r>
          </w:p>
          <w:p>
            <w:pPr>
              <w:autoSpaceDE w:val="0"/>
              <w:autoSpaceDN w:val="0"/>
              <w:adjustRightInd w:val="0"/>
              <w:jc w:val="left"/>
              <w:rPr>
                <w:rFonts w:ascii="宋体" w:hAnsi="宋体"/>
                <w:kern w:val="0"/>
                <w:sz w:val="13"/>
                <w:szCs w:val="18"/>
              </w:rPr>
            </w:pPr>
            <w:r>
              <w:rPr>
                <w:rFonts w:ascii="宋体" w:hAnsi="宋体" w:cs="Arial"/>
                <w:kern w:val="0"/>
                <w:sz w:val="13"/>
                <w:szCs w:val="18"/>
              </w:rPr>
              <w:t>5.</w:t>
            </w:r>
            <w:r>
              <w:rPr>
                <w:rFonts w:hint="eastAsia" w:ascii="宋体" w:hAnsi="宋体" w:cs="宋体"/>
                <w:kern w:val="0"/>
                <w:sz w:val="13"/>
                <w:szCs w:val="18"/>
              </w:rPr>
              <w:t>劳保着装、工具符合安全要求。</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《汽车危险货物运输、装卸作业规程》</w:t>
            </w:r>
            <w:r>
              <w:rPr>
                <w:rFonts w:ascii="宋体" w:hAnsi="宋体" w:cs="Arial"/>
                <w:kern w:val="0"/>
                <w:sz w:val="13"/>
                <w:szCs w:val="18"/>
              </w:rPr>
              <w:t>JT618-2004</w:t>
            </w:r>
          </w:p>
        </w:tc>
        <w:tc>
          <w:tcPr>
            <w:tcW w:w="1167"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液化石油气、液氨或液氯等的实瓶不应露天堆放。</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w:t>
            </w:r>
            <w:r>
              <w:rPr>
                <w:rFonts w:ascii="宋体" w:hAnsi="宋体" w:cs="Arial"/>
                <w:kern w:val="0"/>
                <w:sz w:val="13"/>
                <w:szCs w:val="18"/>
              </w:rPr>
              <w:t xml:space="preserve">GB50160-2008 </w:t>
            </w:r>
            <w:r>
              <w:rPr>
                <w:rFonts w:hint="eastAsia" w:ascii="宋体" w:hAnsi="宋体" w:cs="宋体"/>
                <w:kern w:val="0"/>
                <w:sz w:val="13"/>
                <w:szCs w:val="18"/>
              </w:rPr>
              <w:t>第</w:t>
            </w:r>
            <w:r>
              <w:rPr>
                <w:rFonts w:ascii="宋体" w:hAnsi="宋体" w:cs="Arial"/>
                <w:kern w:val="0"/>
                <w:sz w:val="13"/>
                <w:szCs w:val="18"/>
              </w:rPr>
              <w:t>6.5.5</w:t>
            </w:r>
            <w:r>
              <w:rPr>
                <w:rFonts w:hint="eastAsia" w:ascii="宋体" w:hAnsi="宋体" w:cs="宋体"/>
                <w:kern w:val="0"/>
                <w:sz w:val="13"/>
                <w:szCs w:val="18"/>
              </w:rPr>
              <w:t>条</w:t>
            </w:r>
          </w:p>
        </w:tc>
        <w:tc>
          <w:tcPr>
            <w:tcW w:w="1167" w:type="dxa"/>
          </w:tcPr>
          <w:p>
            <w:pPr>
              <w:rPr>
                <w:rFonts w:ascii="宋体" w:hAnsi="宋体" w:cs="宋体"/>
                <w:kern w:val="0"/>
                <w:sz w:val="13"/>
                <w:szCs w:val="18"/>
              </w:rPr>
            </w:pPr>
          </w:p>
        </w:tc>
      </w:tr>
    </w:tbl>
    <w:p>
      <w:pPr>
        <w:rPr>
          <w:sz w:val="16"/>
        </w:rPr>
      </w:pPr>
    </w:p>
    <w:p>
      <w:pPr>
        <w:pStyle w:val="3"/>
        <w:rPr>
          <w:rFonts w:hint="default"/>
          <w:sz w:val="21"/>
          <w:szCs w:val="28"/>
        </w:rPr>
      </w:pPr>
      <w:bookmarkStart w:id="129" w:name="_Toc11921491"/>
      <w:r>
        <w:rPr>
          <w:sz w:val="21"/>
          <w:szCs w:val="28"/>
        </w:rPr>
        <w:t>9 公用工程隐患排查表</w:t>
      </w:r>
      <w:bookmarkEnd w:id="129"/>
    </w:p>
    <w:tbl>
      <w:tblPr>
        <w:tblStyle w:val="11"/>
        <w:tblW w:w="858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4236"/>
        <w:gridCol w:w="2715"/>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67"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36"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15"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3"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一、一般规定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公用工程管道与可燃气体、液化烃和可燃液体的管道或设备连接时应符合下列规定：</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连续使用的公用工程管道上应设止回阀，并在其根部设切断阀；</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在间歇使用的公用工程管道上应设止回阀和一道切断阀或设两道切断阀，并在两切断阀间设检查阀；</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仅在设备停用时使用的公用工程管道应设盲板或断开。</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 xml:space="preserve"> </w:t>
            </w:r>
            <w:r>
              <w:rPr>
                <w:rFonts w:hint="eastAsia" w:ascii="宋体" w:hAnsi="宋体" w:cs="宋体"/>
                <w:kern w:val="0"/>
                <w:sz w:val="13"/>
                <w:szCs w:val="18"/>
              </w:rPr>
              <w:t>石油化工企业设计防火规范》</w:t>
            </w:r>
          </w:p>
          <w:p>
            <w:pPr>
              <w:autoSpaceDE w:val="0"/>
              <w:autoSpaceDN w:val="0"/>
              <w:adjustRightInd w:val="0"/>
              <w:jc w:val="left"/>
              <w:rPr>
                <w:rFonts w:ascii="宋体" w:hAnsi="宋体"/>
                <w:kern w:val="0"/>
                <w:sz w:val="13"/>
                <w:szCs w:val="18"/>
              </w:rPr>
            </w:pPr>
            <w:r>
              <w:rPr>
                <w:rFonts w:ascii="宋体" w:hAnsi="宋体" w:cs="宋体"/>
                <w:kern w:val="0"/>
                <w:sz w:val="13"/>
                <w:szCs w:val="18"/>
              </w:rPr>
              <w:t>GB50160-2008</w:t>
            </w:r>
            <w:r>
              <w:rPr>
                <w:rFonts w:hint="eastAsia" w:ascii="宋体" w:hAnsi="宋体" w:cs="宋体"/>
                <w:kern w:val="0"/>
                <w:sz w:val="13"/>
                <w:szCs w:val="18"/>
              </w:rPr>
              <w:t xml:space="preserve"> 第</w:t>
            </w:r>
            <w:r>
              <w:rPr>
                <w:rFonts w:ascii="宋体" w:hAnsi="宋体" w:cs="宋体"/>
                <w:kern w:val="0"/>
                <w:sz w:val="13"/>
                <w:szCs w:val="18"/>
              </w:rPr>
              <w:t xml:space="preserve"> 7.2.7</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hint="eastAsia" w:ascii="宋体" w:hAnsi="宋体" w:cs="宋体"/>
                <w:kern w:val="0"/>
                <w:sz w:val="13"/>
                <w:szCs w:val="18"/>
              </w:rPr>
              <w:t>1次/季度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新鲜水、蒸汽、压缩空气、药剂、污油等输送管道进</w:t>
            </w:r>
            <w:r>
              <w:rPr>
                <w:rFonts w:ascii="宋体" w:hAnsi="宋体" w:cs="Arial"/>
                <w:kern w:val="0"/>
                <w:sz w:val="13"/>
                <w:szCs w:val="18"/>
              </w:rPr>
              <w:t>(</w:t>
            </w:r>
            <w:r>
              <w:rPr>
                <w:rFonts w:hint="eastAsia" w:ascii="宋体" w:hAnsi="宋体" w:cs="宋体"/>
                <w:kern w:val="0"/>
                <w:sz w:val="13"/>
                <w:szCs w:val="18"/>
              </w:rPr>
              <w:t>出</w:t>
            </w:r>
            <w:r>
              <w:rPr>
                <w:rFonts w:ascii="宋体" w:hAnsi="宋体" w:cs="Arial"/>
                <w:kern w:val="0"/>
                <w:sz w:val="13"/>
                <w:szCs w:val="18"/>
              </w:rPr>
              <w:t>)</w:t>
            </w:r>
            <w:r>
              <w:rPr>
                <w:rFonts w:hint="eastAsia" w:ascii="宋体" w:hAnsi="宋体" w:cs="宋体"/>
                <w:kern w:val="0"/>
                <w:sz w:val="13"/>
                <w:szCs w:val="18"/>
              </w:rPr>
              <w:t>口应设置流量、压力和温度等测量仪表</w:t>
            </w:r>
            <w:r>
              <w:rPr>
                <w:rFonts w:ascii="宋体" w:hAnsi="宋体" w:cs="Arial"/>
                <w:kern w:val="0"/>
                <w:sz w:val="13"/>
                <w:szCs w:val="18"/>
              </w:rPr>
              <w:t>.</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《石油化工污水处理设计规范》</w:t>
            </w:r>
            <w:r>
              <w:rPr>
                <w:rFonts w:ascii="宋体" w:hAnsi="宋体" w:cs="宋体"/>
                <w:kern w:val="0"/>
                <w:sz w:val="13"/>
                <w:szCs w:val="18"/>
              </w:rPr>
              <w:t>SH3095-2000</w:t>
            </w:r>
            <w:r>
              <w:rPr>
                <w:rFonts w:hint="eastAsia" w:ascii="宋体" w:hAnsi="宋体" w:cs="宋体"/>
                <w:kern w:val="0"/>
                <w:sz w:val="13"/>
                <w:szCs w:val="18"/>
              </w:rPr>
              <w:t>第</w:t>
            </w:r>
            <w:r>
              <w:rPr>
                <w:rFonts w:ascii="宋体" w:hAnsi="宋体" w:cs="宋体"/>
                <w:kern w:val="0"/>
                <w:sz w:val="13"/>
                <w:szCs w:val="18"/>
              </w:rPr>
              <w:t xml:space="preserve"> 7.5.2</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二、给排水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企业供水水源、循环水系统的能力必须满足企业需求，并留有一定余量。输水系统、循环水系统的设置应满足相关标准</w:t>
            </w:r>
            <w:r>
              <w:rPr>
                <w:rFonts w:ascii="宋体" w:hAnsi="宋体" w:cs="宋体"/>
                <w:kern w:val="0"/>
                <w:sz w:val="13"/>
                <w:szCs w:val="18"/>
              </w:rPr>
              <w:t xml:space="preserve"> </w:t>
            </w:r>
            <w:r>
              <w:rPr>
                <w:rFonts w:hint="eastAsia" w:ascii="宋体" w:hAnsi="宋体" w:cs="宋体"/>
                <w:kern w:val="0"/>
                <w:sz w:val="13"/>
                <w:szCs w:val="18"/>
              </w:rPr>
              <w:t>规范的规定。如《石油化工企业给水排水系统设计规范》</w:t>
            </w:r>
            <w:r>
              <w:rPr>
                <w:rFonts w:ascii="宋体" w:hAnsi="宋体" w:cs="宋体"/>
                <w:kern w:val="0"/>
                <w:sz w:val="13"/>
                <w:szCs w:val="18"/>
              </w:rPr>
              <w:t>SH</w:t>
            </w:r>
            <w:r>
              <w:rPr>
                <w:rFonts w:hint="eastAsia" w:ascii="宋体" w:hAnsi="宋体" w:cs="宋体"/>
                <w:kern w:val="0"/>
                <w:sz w:val="13"/>
                <w:szCs w:val="18"/>
              </w:rPr>
              <w:t>3015-2003和《石油化工企业循环水场设计规范</w:t>
            </w:r>
            <w:r>
              <w:rPr>
                <w:rFonts w:ascii="宋体" w:hAnsi="宋体" w:cs="宋体"/>
                <w:kern w:val="0"/>
                <w:sz w:val="13"/>
                <w:szCs w:val="18"/>
              </w:rPr>
              <w:t xml:space="preserve"> </w:t>
            </w:r>
            <w:r>
              <w:rPr>
                <w:rFonts w:hint="eastAsia" w:ascii="宋体" w:hAnsi="宋体" w:cs="宋体"/>
                <w:kern w:val="0"/>
                <w:sz w:val="13"/>
                <w:szCs w:val="18"/>
              </w:rPr>
              <w:t>》</w:t>
            </w:r>
            <w:r>
              <w:rPr>
                <w:rFonts w:ascii="宋体" w:hAnsi="宋体" w:cs="宋体"/>
                <w:kern w:val="0"/>
                <w:sz w:val="13"/>
                <w:szCs w:val="18"/>
              </w:rPr>
              <w:t>SH3016-90</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循环水场不应靠近加热炉、焦炭塔等热源体和空压站吸入口，不得设在污水处理场、化学品堆场、散装库以及煤焦、灰渣、粉尘等的露天堆场附近；</w:t>
            </w:r>
          </w:p>
          <w:p>
            <w:pPr>
              <w:autoSpaceDE w:val="0"/>
              <w:autoSpaceDN w:val="0"/>
              <w:adjustRightInd w:val="0"/>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机械通风冷却塔与生产装置边界线或独立的明火设备的净距不应小于</w:t>
            </w:r>
            <w:r>
              <w:rPr>
                <w:rFonts w:ascii="宋体" w:hAnsi="宋体" w:cs="宋体"/>
                <w:kern w:val="0"/>
                <w:sz w:val="13"/>
                <w:szCs w:val="18"/>
              </w:rPr>
              <w:t>30</w:t>
            </w:r>
            <w:r>
              <w:rPr>
                <w:rFonts w:hint="eastAsia" w:ascii="宋体" w:hAnsi="宋体" w:cs="宋体"/>
                <w:kern w:val="0"/>
                <w:sz w:val="13"/>
                <w:szCs w:val="18"/>
              </w:rPr>
              <w:t>米；</w:t>
            </w:r>
          </w:p>
          <w:p>
            <w:pPr>
              <w:autoSpaceDE w:val="0"/>
              <w:autoSpaceDN w:val="0"/>
              <w:adjustRightInd w:val="0"/>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加氯间和氯瓶间应与其他工作间隔开，氯瓶间必须设直接通向室外的外开门；氯瓶和加氯机不应靠近采暖设备；应设每小时换气</w:t>
            </w:r>
            <w:r>
              <w:rPr>
                <w:rFonts w:ascii="宋体" w:hAnsi="宋体" w:cs="宋体"/>
                <w:kern w:val="0"/>
                <w:sz w:val="13"/>
                <w:szCs w:val="18"/>
              </w:rPr>
              <w:t xml:space="preserve"> 8-12 </w:t>
            </w:r>
            <w:r>
              <w:rPr>
                <w:rFonts w:hint="eastAsia" w:ascii="宋体" w:hAnsi="宋体" w:cs="宋体"/>
                <w:kern w:val="0"/>
                <w:sz w:val="13"/>
                <w:szCs w:val="18"/>
              </w:rPr>
              <w:t>次的通风设备。通风孔应设在外墙下方；</w:t>
            </w:r>
          </w:p>
          <w:p>
            <w:pPr>
              <w:autoSpaceDE w:val="0"/>
              <w:autoSpaceDN w:val="0"/>
              <w:adjustRightInd w:val="0"/>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室内建筑装修、电气设备、仪表及灯具应防腐，照明和通风设备的开关应设在室外；应在加氯间附近设防毒面具、抢救器材和工具箱。</w:t>
            </w:r>
          </w:p>
        </w:tc>
        <w:tc>
          <w:tcPr>
            <w:tcW w:w="2715" w:type="dxa"/>
          </w:tcPr>
          <w:p>
            <w:pPr>
              <w:autoSpaceDE w:val="0"/>
              <w:autoSpaceDN w:val="0"/>
              <w:adjustRightInd w:val="0"/>
              <w:jc w:val="left"/>
              <w:rPr>
                <w:rFonts w:ascii="宋体" w:hAnsi="宋体"/>
                <w:kern w:val="0"/>
                <w:sz w:val="13"/>
                <w:szCs w:val="18"/>
              </w:rPr>
            </w:pPr>
          </w:p>
        </w:tc>
        <w:tc>
          <w:tcPr>
            <w:tcW w:w="1163" w:type="dxa"/>
          </w:tcPr>
          <w:p>
            <w:pPr>
              <w:autoSpaceDE w:val="0"/>
              <w:autoSpaceDN w:val="0"/>
              <w:adjustRightInd w:val="0"/>
              <w:jc w:val="left"/>
              <w:rPr>
                <w:rFonts w:ascii="宋体" w:hAnsi="宋体" w:cs="Arial"/>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ind w:firstLine="195" w:firstLineChars="150"/>
              <w:rPr>
                <w:rFonts w:ascii="宋体" w:hAnsi="宋体" w:cs="宋体"/>
                <w:kern w:val="0"/>
                <w:sz w:val="13"/>
                <w:szCs w:val="18"/>
              </w:rPr>
            </w:pPr>
            <w:r>
              <w:rPr>
                <w:rFonts w:hint="eastAsia" w:ascii="宋体" w:hAnsi="宋体" w:cs="宋体"/>
                <w:kern w:val="0"/>
                <w:sz w:val="13"/>
                <w:szCs w:val="18"/>
              </w:rPr>
              <w:t>2</w:t>
            </w:r>
          </w:p>
        </w:tc>
        <w:tc>
          <w:tcPr>
            <w:tcW w:w="4236" w:type="dxa"/>
          </w:tcPr>
          <w:p>
            <w:pPr>
              <w:rPr>
                <w:rFonts w:ascii="宋体" w:hAnsi="宋体" w:cs="宋体"/>
                <w:kern w:val="0"/>
                <w:sz w:val="13"/>
                <w:szCs w:val="18"/>
              </w:rPr>
            </w:pPr>
            <w:r>
              <w:rPr>
                <w:rFonts w:hint="eastAsia" w:ascii="宋体" w:hAnsi="宋体" w:cs="宋体"/>
                <w:kern w:val="0"/>
                <w:sz w:val="13"/>
                <w:szCs w:val="18"/>
              </w:rPr>
              <w:t>污水系统按照环保部门的法律法规开展隐患排查</w:t>
            </w:r>
          </w:p>
        </w:tc>
        <w:tc>
          <w:tcPr>
            <w:tcW w:w="2715" w:type="dxa"/>
          </w:tcPr>
          <w:p>
            <w:pPr>
              <w:rPr>
                <w:rFonts w:ascii="宋体" w:hAnsi="宋体" w:cs="宋体"/>
                <w:kern w:val="0"/>
                <w:sz w:val="13"/>
                <w:szCs w:val="18"/>
              </w:rPr>
            </w:pPr>
          </w:p>
        </w:tc>
        <w:tc>
          <w:tcPr>
            <w:tcW w:w="1163"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三、供热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rPr>
                <w:rFonts w:ascii="宋体" w:hAnsi="宋体" w:cs="宋体"/>
                <w:kern w:val="0"/>
                <w:sz w:val="13"/>
                <w:szCs w:val="18"/>
              </w:rPr>
            </w:pPr>
          </w:p>
          <w:p>
            <w:pPr>
              <w:ind w:firstLine="195" w:firstLineChars="150"/>
              <w:rPr>
                <w:rFonts w:ascii="宋体" w:hAnsi="宋体" w:cs="宋体"/>
                <w:kern w:val="0"/>
                <w:sz w:val="13"/>
                <w:szCs w:val="18"/>
              </w:rPr>
            </w:pPr>
            <w:r>
              <w:rPr>
                <w:rFonts w:hint="eastAsia" w:ascii="宋体" w:hAnsi="宋体" w:cs="宋体"/>
                <w:kern w:val="0"/>
                <w:sz w:val="13"/>
                <w:szCs w:val="18"/>
              </w:rPr>
              <w:t>1</w:t>
            </w:r>
          </w:p>
        </w:tc>
        <w:tc>
          <w:tcPr>
            <w:tcW w:w="4236" w:type="dxa"/>
          </w:tcPr>
          <w:p>
            <w:pPr>
              <w:rPr>
                <w:rFonts w:ascii="宋体" w:hAnsi="宋体" w:cs="宋体"/>
                <w:kern w:val="0"/>
                <w:sz w:val="13"/>
                <w:szCs w:val="18"/>
              </w:rPr>
            </w:pPr>
            <w:r>
              <w:rPr>
                <w:rFonts w:hint="eastAsia" w:ascii="宋体" w:hAnsi="宋体" w:cs="宋体"/>
                <w:kern w:val="0"/>
                <w:sz w:val="13"/>
                <w:szCs w:val="18"/>
              </w:rPr>
              <w:t>供热系统的锅炉。压力容器、压力管道按照《压力管道安全技术监察规程》（</w:t>
            </w:r>
            <w:r>
              <w:rPr>
                <w:rFonts w:ascii="宋体" w:hAnsi="宋体" w:cs="Arial"/>
                <w:kern w:val="0"/>
                <w:sz w:val="13"/>
                <w:szCs w:val="18"/>
              </w:rPr>
              <w:t>TSG D0001-200</w:t>
            </w:r>
            <w:r>
              <w:rPr>
                <w:rFonts w:hint="eastAsia" w:ascii="宋体" w:hAnsi="宋体" w:cs="Arial"/>
                <w:kern w:val="0"/>
                <w:sz w:val="13"/>
                <w:szCs w:val="18"/>
              </w:rPr>
              <w:t>9）</w:t>
            </w:r>
            <w:r>
              <w:rPr>
                <w:rFonts w:hint="eastAsia" w:ascii="宋体" w:hAnsi="宋体" w:cs="宋体"/>
                <w:kern w:val="0"/>
                <w:sz w:val="13"/>
                <w:szCs w:val="18"/>
              </w:rPr>
              <w:t>、《特种设备安全监察条例》（国务院令第</w:t>
            </w:r>
            <w:r>
              <w:rPr>
                <w:rFonts w:ascii="宋体" w:hAnsi="宋体" w:cs="Arial"/>
                <w:kern w:val="0"/>
                <w:sz w:val="13"/>
                <w:szCs w:val="18"/>
              </w:rPr>
              <w:t>549</w:t>
            </w:r>
            <w:r>
              <w:rPr>
                <w:rFonts w:hint="eastAsia" w:ascii="宋体" w:hAnsi="宋体" w:cs="宋体"/>
                <w:kern w:val="0"/>
                <w:sz w:val="13"/>
                <w:szCs w:val="18"/>
              </w:rPr>
              <w:t>号）开展隐患排查</w:t>
            </w:r>
          </w:p>
        </w:tc>
        <w:tc>
          <w:tcPr>
            <w:tcW w:w="2715" w:type="dxa"/>
          </w:tcPr>
          <w:p>
            <w:pPr>
              <w:rPr>
                <w:rFonts w:ascii="宋体" w:hAnsi="宋体" w:cs="宋体"/>
                <w:kern w:val="0"/>
                <w:sz w:val="13"/>
                <w:szCs w:val="18"/>
              </w:rPr>
            </w:pPr>
          </w:p>
        </w:tc>
        <w:tc>
          <w:tcPr>
            <w:tcW w:w="1163"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hint="eastAsia" w:ascii="宋体" w:hAnsi="宋体" w:cs="Arial"/>
                <w:kern w:val="0"/>
                <w:sz w:val="13"/>
                <w:szCs w:val="18"/>
              </w:rPr>
              <w:t xml:space="preserve"> </w:t>
            </w:r>
            <w:r>
              <w:rPr>
                <w:rFonts w:ascii="宋体" w:hAnsi="宋体" w:cs="Arial"/>
                <w:kern w:val="0"/>
                <w:sz w:val="13"/>
                <w:szCs w:val="18"/>
              </w:rPr>
              <w:t>2</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高温蒸汽管道及低温管线应采取防护措施，可防止人员烫伤或冻伤；防护材料应为绝热材料。</w:t>
            </w:r>
          </w:p>
        </w:tc>
        <w:tc>
          <w:tcPr>
            <w:tcW w:w="2715" w:type="dxa"/>
          </w:tcPr>
          <w:p>
            <w:pPr>
              <w:rPr>
                <w:rFonts w:ascii="宋体" w:hAnsi="宋体" w:cs="宋体"/>
                <w:kern w:val="0"/>
                <w:sz w:val="13"/>
                <w:szCs w:val="18"/>
              </w:rPr>
            </w:pPr>
          </w:p>
        </w:tc>
        <w:tc>
          <w:tcPr>
            <w:tcW w:w="1163" w:type="dxa"/>
            <w:vMerge w:val="restart"/>
          </w:tcPr>
          <w:p>
            <w:pPr>
              <w:autoSpaceDE w:val="0"/>
              <w:autoSpaceDN w:val="0"/>
              <w:adjustRightInd w:val="0"/>
              <w:jc w:val="left"/>
              <w:rPr>
                <w:rFonts w:ascii="宋体" w:hAnsi="宋体" w:cs="Arial"/>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p>
          <w:p>
            <w:pPr>
              <w:rPr>
                <w:rFonts w:ascii="宋体" w:hAnsi="宋体" w:cs="宋体"/>
                <w:kern w:val="0"/>
                <w:sz w:val="13"/>
                <w:szCs w:val="18"/>
              </w:rPr>
            </w:pP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hint="eastAsia" w:ascii="宋体" w:hAnsi="宋体" w:cs="Arial"/>
                <w:kern w:val="0"/>
                <w:sz w:val="13"/>
                <w:szCs w:val="18"/>
              </w:rPr>
              <w:t xml:space="preserve"> </w:t>
            </w:r>
            <w:r>
              <w:rPr>
                <w:rFonts w:ascii="宋体" w:hAnsi="宋体" w:cs="Arial"/>
                <w:kern w:val="0"/>
                <w:sz w:val="13"/>
                <w:szCs w:val="18"/>
              </w:rPr>
              <w:t>3</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寒冷地区是否采用防冻、防凝措施，如：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所有水线、蒸汽线死角加导淋，保持微开长流水、长冒汽。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水线、蒸汽、凝结水保持微开长流水、长冒汽，所有水线</w:t>
            </w:r>
            <w:r>
              <w:rPr>
                <w:rFonts w:ascii="宋体" w:hAnsi="宋体" w:cs="宋体"/>
                <w:kern w:val="0"/>
                <w:sz w:val="13"/>
                <w:szCs w:val="18"/>
              </w:rPr>
              <w:t xml:space="preserve"> </w:t>
            </w:r>
            <w:r>
              <w:rPr>
                <w:rFonts w:hint="eastAsia" w:ascii="宋体" w:hAnsi="宋体" w:cs="宋体"/>
                <w:kern w:val="0"/>
                <w:sz w:val="13"/>
                <w:szCs w:val="18"/>
              </w:rPr>
              <w:t>阀门必须保温。</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水泵加伴热蒸汽，细小管线加伴热导线。</w:t>
            </w:r>
          </w:p>
        </w:tc>
        <w:tc>
          <w:tcPr>
            <w:tcW w:w="2715" w:type="dxa"/>
          </w:tcPr>
          <w:p>
            <w:pPr>
              <w:rPr>
                <w:rFonts w:ascii="宋体" w:hAnsi="宋体" w:cs="宋体"/>
                <w:kern w:val="0"/>
                <w:sz w:val="13"/>
                <w:szCs w:val="18"/>
              </w:rPr>
            </w:pP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四、空压站、空分装置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rPr>
                <w:rFonts w:ascii="宋体" w:hAnsi="宋体" w:cs="宋体"/>
                <w:kern w:val="0"/>
                <w:sz w:val="13"/>
                <w:szCs w:val="18"/>
              </w:rPr>
            </w:pP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空压站</w:t>
            </w:r>
            <w:r>
              <w:rPr>
                <w:rFonts w:ascii="宋体" w:hAnsi="宋体" w:cs="宋体"/>
                <w:kern w:val="0"/>
                <w:sz w:val="13"/>
                <w:szCs w:val="18"/>
              </w:rPr>
              <w:t xml:space="preserve"> </w:t>
            </w:r>
            <w:r>
              <w:rPr>
                <w:rFonts w:hint="eastAsia" w:ascii="宋体" w:hAnsi="宋体" w:cs="宋体"/>
                <w:kern w:val="0"/>
                <w:sz w:val="13"/>
                <w:szCs w:val="18"/>
              </w:rPr>
              <w:t>、空分装置按照《特种设备安全监察条例》、《压缩空气站设计规范》（</w:t>
            </w:r>
            <w:r>
              <w:rPr>
                <w:rFonts w:ascii="宋体" w:hAnsi="宋体" w:cs="宋体"/>
                <w:kern w:val="0"/>
                <w:sz w:val="13"/>
                <w:szCs w:val="18"/>
              </w:rPr>
              <w:t>GB50029-200</w:t>
            </w:r>
            <w:r>
              <w:rPr>
                <w:rFonts w:hint="eastAsia" w:ascii="宋体" w:hAnsi="宋体" w:cs="宋体"/>
                <w:kern w:val="0"/>
                <w:sz w:val="13"/>
                <w:szCs w:val="18"/>
              </w:rPr>
              <w:t>）、《氧气站设计规范》（</w:t>
            </w:r>
            <w:r>
              <w:rPr>
                <w:rFonts w:ascii="宋体" w:hAnsi="宋体" w:cs="宋体"/>
                <w:kern w:val="0"/>
                <w:sz w:val="13"/>
                <w:szCs w:val="18"/>
              </w:rPr>
              <w:t>GB50030-2007</w:t>
            </w:r>
            <w:r>
              <w:rPr>
                <w:rFonts w:hint="eastAsia" w:ascii="宋体" w:hAnsi="宋体" w:cs="宋体"/>
                <w:kern w:val="0"/>
                <w:sz w:val="13"/>
                <w:szCs w:val="18"/>
              </w:rPr>
              <w:t>）及《氧气及相关气体安全技术规程》（</w:t>
            </w:r>
            <w:r>
              <w:rPr>
                <w:rFonts w:ascii="宋体" w:hAnsi="宋体" w:cs="宋体"/>
                <w:kern w:val="0"/>
                <w:sz w:val="13"/>
                <w:szCs w:val="18"/>
              </w:rPr>
              <w:t>GB16912-97</w:t>
            </w:r>
            <w:r>
              <w:rPr>
                <w:rFonts w:hint="eastAsia" w:ascii="宋体" w:hAnsi="宋体" w:cs="宋体"/>
                <w:kern w:val="0"/>
                <w:sz w:val="13"/>
                <w:szCs w:val="18"/>
              </w:rPr>
              <w:t>）等相关规定开展隐患排查</w:t>
            </w:r>
          </w:p>
        </w:tc>
        <w:tc>
          <w:tcPr>
            <w:tcW w:w="2715" w:type="dxa"/>
          </w:tcPr>
          <w:p>
            <w:pPr>
              <w:rPr>
                <w:rFonts w:ascii="宋体" w:hAnsi="宋体" w:cs="宋体"/>
                <w:kern w:val="0"/>
                <w:sz w:val="13"/>
                <w:szCs w:val="18"/>
              </w:rPr>
            </w:pPr>
          </w:p>
        </w:tc>
        <w:tc>
          <w:tcPr>
            <w:tcW w:w="1163" w:type="dxa"/>
          </w:tcPr>
          <w:p>
            <w:pPr>
              <w:autoSpaceDE w:val="0"/>
              <w:autoSpaceDN w:val="0"/>
              <w:adjustRightInd w:val="0"/>
              <w:jc w:val="left"/>
              <w:rPr>
                <w:rFonts w:ascii="宋体" w:hAnsi="宋体" w:cs="Arial"/>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p>
          <w:p>
            <w:pPr>
              <w:rPr>
                <w:rFonts w:ascii="宋体" w:hAnsi="宋体" w:cs="宋体"/>
                <w:kern w:val="0"/>
                <w:sz w:val="13"/>
                <w:szCs w:val="18"/>
              </w:rPr>
            </w:pP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五、泄压排放和火炬系统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全厂性高架火炬的布置，应符合下列要求：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宜位于生产区、全厂性重要设施全年最小频率风向的上风侧，并应符合环保要求；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在符合人身与生产安全要求的前提下宜靠近火炬气的主</w:t>
            </w:r>
            <w:r>
              <w:rPr>
                <w:rFonts w:ascii="宋体" w:hAnsi="宋体" w:cs="宋体"/>
                <w:kern w:val="0"/>
                <w:sz w:val="13"/>
                <w:szCs w:val="18"/>
              </w:rPr>
              <w:t xml:space="preserve"> </w:t>
            </w:r>
            <w:r>
              <w:rPr>
                <w:rFonts w:hint="eastAsia" w:ascii="宋体" w:hAnsi="宋体" w:cs="宋体"/>
                <w:kern w:val="0"/>
                <w:sz w:val="13"/>
                <w:szCs w:val="18"/>
              </w:rPr>
              <w:t>要排放源；</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火炬的防护距离应符合</w:t>
            </w:r>
            <w:r>
              <w:rPr>
                <w:rFonts w:ascii="宋体" w:hAnsi="宋体" w:cs="Arial"/>
                <w:kern w:val="0"/>
                <w:sz w:val="13"/>
                <w:szCs w:val="18"/>
              </w:rPr>
              <w:t>GB50160</w:t>
            </w:r>
            <w:r>
              <w:rPr>
                <w:rFonts w:hint="eastAsia" w:ascii="宋体" w:hAnsi="宋体" w:cs="宋体"/>
                <w:kern w:val="0"/>
                <w:sz w:val="13"/>
                <w:szCs w:val="18"/>
              </w:rPr>
              <w:t>和</w:t>
            </w:r>
            <w:r>
              <w:rPr>
                <w:rFonts w:ascii="宋体" w:hAnsi="宋体" w:cs="Arial"/>
                <w:kern w:val="0"/>
                <w:sz w:val="13"/>
                <w:szCs w:val="18"/>
              </w:rPr>
              <w:t>SH3009</w:t>
            </w:r>
            <w:r>
              <w:rPr>
                <w:rFonts w:hint="eastAsia" w:ascii="宋体" w:hAnsi="宋体" w:cs="宋体"/>
                <w:kern w:val="0"/>
                <w:sz w:val="13"/>
                <w:szCs w:val="18"/>
              </w:rPr>
              <w:t>的规定。火炬的辐射热不应影响人身及设备的安全。</w:t>
            </w:r>
          </w:p>
        </w:tc>
        <w:tc>
          <w:tcPr>
            <w:tcW w:w="2715"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《石油化工企业厂区总平面布置设计规范》</w:t>
            </w:r>
            <w:r>
              <w:rPr>
                <w:rFonts w:ascii="宋体" w:hAnsi="宋体" w:cs="宋体"/>
                <w:kern w:val="0"/>
                <w:sz w:val="13"/>
                <w:szCs w:val="18"/>
              </w:rPr>
              <w:t>SH/T3053-2002</w:t>
            </w:r>
          </w:p>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《石油化工企业燃料气系统和可</w:t>
            </w:r>
            <w:r>
              <w:rPr>
                <w:rFonts w:ascii="宋体" w:hAnsi="宋体" w:cs="宋体"/>
                <w:kern w:val="0"/>
                <w:sz w:val="13"/>
                <w:szCs w:val="18"/>
              </w:rPr>
              <w:t xml:space="preserve"> </w:t>
            </w:r>
            <w:r>
              <w:rPr>
                <w:rFonts w:hint="eastAsia" w:ascii="宋体" w:hAnsi="宋体" w:cs="宋体"/>
                <w:kern w:val="0"/>
                <w:sz w:val="13"/>
                <w:szCs w:val="18"/>
              </w:rPr>
              <w:t>燃性气体排放系统设计规范》</w:t>
            </w:r>
            <w:r>
              <w:rPr>
                <w:rFonts w:ascii="宋体" w:hAnsi="宋体" w:cs="宋体"/>
                <w:kern w:val="0"/>
                <w:sz w:val="13"/>
                <w:szCs w:val="18"/>
              </w:rPr>
              <w:t>SH3009-2001</w:t>
            </w:r>
          </w:p>
        </w:tc>
        <w:tc>
          <w:tcPr>
            <w:tcW w:w="1163" w:type="dxa"/>
          </w:tcPr>
          <w:p>
            <w:pPr>
              <w:autoSpaceDE w:val="0"/>
              <w:autoSpaceDN w:val="0"/>
              <w:adjustRightInd w:val="0"/>
              <w:jc w:val="left"/>
              <w:rPr>
                <w:rFonts w:ascii="宋体" w:hAnsi="宋体" w:cs="Arial"/>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火炬系统设计应符合相关标准规范的规定。如：《石油化工企业燃料气系统和可燃性气体排放系统设计</w:t>
            </w:r>
            <w:r>
              <w:rPr>
                <w:rFonts w:ascii="宋体" w:hAnsi="宋体" w:cs="宋体"/>
                <w:kern w:val="0"/>
                <w:sz w:val="13"/>
                <w:szCs w:val="18"/>
              </w:rPr>
              <w:t xml:space="preserve"> </w:t>
            </w:r>
            <w:r>
              <w:rPr>
                <w:rFonts w:hint="eastAsia" w:ascii="宋体" w:hAnsi="宋体" w:cs="宋体"/>
                <w:kern w:val="0"/>
                <w:sz w:val="13"/>
                <w:szCs w:val="18"/>
              </w:rPr>
              <w:t>规范</w:t>
            </w:r>
            <w:r>
              <w:rPr>
                <w:rFonts w:ascii="宋体" w:hAnsi="宋体" w:cs="宋体"/>
                <w:kern w:val="0"/>
                <w:sz w:val="13"/>
                <w:szCs w:val="18"/>
              </w:rPr>
              <w:t xml:space="preserve"> </w:t>
            </w:r>
            <w:r>
              <w:rPr>
                <w:rFonts w:hint="eastAsia" w:ascii="宋体" w:hAnsi="宋体" w:cs="宋体"/>
                <w:kern w:val="0"/>
                <w:sz w:val="13"/>
                <w:szCs w:val="18"/>
              </w:rPr>
              <w:t>》</w:t>
            </w:r>
            <w:r>
              <w:rPr>
                <w:rFonts w:ascii="宋体" w:hAnsi="宋体" w:cs="宋体"/>
                <w:kern w:val="0"/>
                <w:sz w:val="13"/>
                <w:szCs w:val="18"/>
              </w:rPr>
              <w:t>SH3009-2001</w:t>
            </w:r>
            <w:r>
              <w:rPr>
                <w:rFonts w:hint="eastAsia" w:ascii="宋体" w:hAnsi="宋体" w:cs="宋体"/>
                <w:kern w:val="0"/>
                <w:sz w:val="13"/>
                <w:szCs w:val="18"/>
              </w:rPr>
              <w:t>《石油化工企业设计防火规范》</w:t>
            </w:r>
            <w:r>
              <w:rPr>
                <w:rFonts w:ascii="宋体" w:hAnsi="宋体" w:cs="宋体"/>
                <w:kern w:val="0"/>
                <w:sz w:val="13"/>
                <w:szCs w:val="18"/>
              </w:rPr>
              <w:t>GB 50160-2008</w:t>
            </w:r>
          </w:p>
          <w:p>
            <w:pPr>
              <w:autoSpaceDE w:val="0"/>
              <w:autoSpaceDN w:val="0"/>
              <w:adjustRightInd w:val="0"/>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液体、低热值可燃气体、含氧气或卤元素及其化合物的可燃气体、毒性为极度和高度危害的可燃气体、惰性气体、酸性气体及其他腐蚀性气体（如氨、环氧乙烷、硫化氢等）不得排入全厂性火炬系统，应设独立的排放系统或处理排放系统。</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可燃气体放空管道在接入火炬前，应设置分液和阻火等设备。严禁排入火炬的可燃气体携带可燃液体。</w:t>
            </w:r>
          </w:p>
          <w:p>
            <w:pPr>
              <w:autoSpaceDE w:val="0"/>
              <w:autoSpaceDN w:val="0"/>
              <w:adjustRightInd w:val="0"/>
              <w:rPr>
                <w:rFonts w:ascii="宋体" w:hAnsi="宋体"/>
                <w:kern w:val="0"/>
                <w:sz w:val="13"/>
                <w:szCs w:val="18"/>
              </w:rPr>
            </w:pPr>
            <w:r>
              <w:rPr>
                <w:rFonts w:ascii="宋体" w:hAnsi="宋体" w:cs="宋体"/>
                <w:kern w:val="0"/>
                <w:sz w:val="13"/>
                <w:szCs w:val="18"/>
              </w:rPr>
              <w:t>3.</w:t>
            </w:r>
            <w:r>
              <w:rPr>
                <w:rFonts w:hint="eastAsia" w:ascii="宋体" w:hAnsi="宋体" w:cs="宋体"/>
                <w:kern w:val="0"/>
                <w:sz w:val="13"/>
                <w:szCs w:val="18"/>
              </w:rPr>
              <w:t>可燃气体放空管道内的凝结液应密闭回收，不得随地排放。</w:t>
            </w:r>
          </w:p>
        </w:tc>
        <w:tc>
          <w:tcPr>
            <w:tcW w:w="2715" w:type="dxa"/>
          </w:tcPr>
          <w:p>
            <w:pPr>
              <w:rPr>
                <w:rFonts w:ascii="宋体" w:hAnsi="宋体" w:cs="宋体"/>
                <w:kern w:val="0"/>
                <w:sz w:val="13"/>
                <w:szCs w:val="18"/>
              </w:rPr>
            </w:pPr>
          </w:p>
        </w:tc>
        <w:tc>
          <w:tcPr>
            <w:tcW w:w="1163"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受工艺条件或介质特性所限，无法排入火炬或装置处理排放系统的可燃气体，当通过排气筒、放空管直接向大气排放时，排气筒、放空管的高度应满足《石油化工企业设计防火规范》</w:t>
            </w:r>
            <w:r>
              <w:rPr>
                <w:rFonts w:ascii="宋体" w:hAnsi="宋体" w:cs="宋体"/>
                <w:kern w:val="0"/>
                <w:sz w:val="13"/>
                <w:szCs w:val="18"/>
              </w:rPr>
              <w:t xml:space="preserve"> </w:t>
            </w:r>
            <w:r>
              <w:rPr>
                <w:rFonts w:ascii="宋体" w:hAnsi="宋体" w:cs="Arial"/>
                <w:kern w:val="0"/>
                <w:sz w:val="13"/>
                <w:szCs w:val="18"/>
              </w:rPr>
              <w:t xml:space="preserve">GB50160-2008 </w:t>
            </w:r>
            <w:r>
              <w:rPr>
                <w:rFonts w:hint="eastAsia" w:ascii="宋体" w:hAnsi="宋体" w:cs="宋体"/>
                <w:kern w:val="0"/>
                <w:sz w:val="13"/>
                <w:szCs w:val="18"/>
              </w:rPr>
              <w:t>的要求</w:t>
            </w:r>
          </w:p>
        </w:tc>
        <w:tc>
          <w:tcPr>
            <w:tcW w:w="2715" w:type="dxa"/>
          </w:tcPr>
          <w:p>
            <w:pPr>
              <w:rPr>
                <w:rFonts w:ascii="宋体" w:hAnsi="宋体" w:cs="宋体"/>
                <w:kern w:val="0"/>
                <w:sz w:val="13"/>
                <w:szCs w:val="18"/>
              </w:rPr>
            </w:pPr>
          </w:p>
        </w:tc>
        <w:tc>
          <w:tcPr>
            <w:tcW w:w="1163"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火炬应设常明灯和可靠的点火系统。</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GB50160-2008</w:t>
            </w:r>
            <w:r>
              <w:rPr>
                <w:rFonts w:hint="eastAsia" w:ascii="宋体" w:hAnsi="宋体" w:cs="宋体"/>
                <w:kern w:val="0"/>
                <w:sz w:val="13"/>
                <w:szCs w:val="18"/>
              </w:rPr>
              <w:t>第</w:t>
            </w:r>
            <w:r>
              <w:rPr>
                <w:rFonts w:ascii="宋体" w:hAnsi="宋体" w:cs="宋体"/>
                <w:kern w:val="0"/>
                <w:sz w:val="13"/>
                <w:szCs w:val="18"/>
              </w:rPr>
              <w:t xml:space="preserve"> 5.5.20</w:t>
            </w:r>
            <w:r>
              <w:rPr>
                <w:rFonts w:hint="eastAsia" w:ascii="宋体" w:hAnsi="宋体" w:cs="宋体"/>
                <w:kern w:val="0"/>
                <w:sz w:val="13"/>
                <w:szCs w:val="18"/>
              </w:rPr>
              <w:t>条</w:t>
            </w:r>
          </w:p>
        </w:tc>
        <w:tc>
          <w:tcPr>
            <w:tcW w:w="1163" w:type="dxa"/>
          </w:tcPr>
          <w:p>
            <w:pPr>
              <w:autoSpaceDE w:val="0"/>
              <w:autoSpaceDN w:val="0"/>
              <w:adjustRightInd w:val="0"/>
              <w:ind w:left="61" w:hanging="61" w:hangingChars="47"/>
              <w:jc w:val="center"/>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周</w:t>
            </w:r>
          </w:p>
        </w:tc>
      </w:tr>
    </w:tbl>
    <w:p>
      <w:pPr>
        <w:rPr>
          <w:sz w:val="16"/>
        </w:rPr>
      </w:pPr>
    </w:p>
    <w:p>
      <w:pPr>
        <w:rPr>
          <w:sz w:val="16"/>
        </w:rPr>
      </w:pPr>
    </w:p>
    <w:p>
      <w:pPr>
        <w:rPr>
          <w:sz w:val="16"/>
        </w:rPr>
      </w:pPr>
    </w:p>
    <w:p>
      <w:pPr>
        <w:rPr>
          <w:sz w:val="16"/>
        </w:rPr>
      </w:pPr>
    </w:p>
    <w:p>
      <w:pPr>
        <w:pStyle w:val="3"/>
        <w:rPr>
          <w:rFonts w:hint="default"/>
          <w:sz w:val="21"/>
          <w:szCs w:val="28"/>
        </w:rPr>
      </w:pPr>
      <w:bookmarkStart w:id="130" w:name="_Toc11921492"/>
      <w:r>
        <w:rPr>
          <w:sz w:val="21"/>
          <w:szCs w:val="28"/>
        </w:rPr>
        <w:t>10 消防系统隐患排查表</w:t>
      </w:r>
      <w:bookmarkEnd w:id="130"/>
    </w:p>
    <w:tbl>
      <w:tblPr>
        <w:tblStyle w:val="11"/>
        <w:tblW w:w="858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4236"/>
        <w:gridCol w:w="2715"/>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36"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15"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2"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68" w:type="dxa"/>
            <w:tcMar>
              <w:left w:w="28" w:type="dxa"/>
              <w:right w:w="28" w:type="dxa"/>
            </w:tcMar>
          </w:tcPr>
          <w:p>
            <w:pPr>
              <w:rPr>
                <w:rFonts w:ascii="宋体" w:hAnsi="宋体" w:cs="宋体"/>
                <w:kern w:val="0"/>
                <w:sz w:val="13"/>
                <w:szCs w:val="18"/>
              </w:rPr>
            </w:pPr>
          </w:p>
        </w:tc>
        <w:tc>
          <w:tcPr>
            <w:tcW w:w="4236" w:type="dxa"/>
          </w:tcPr>
          <w:p>
            <w:pPr>
              <w:rPr>
                <w:rFonts w:ascii="宋体" w:hAnsi="宋体" w:cs="宋体"/>
                <w:kern w:val="0"/>
                <w:sz w:val="13"/>
                <w:szCs w:val="18"/>
              </w:rPr>
            </w:pPr>
            <w:r>
              <w:rPr>
                <w:rFonts w:hint="eastAsia" w:ascii="宋体" w:hAnsi="宋体" w:cs="宋体"/>
                <w:kern w:val="0"/>
                <w:sz w:val="13"/>
                <w:szCs w:val="18"/>
              </w:rPr>
              <w:t>消防系统按照消防部门的法律法规开展隐患排查</w:t>
            </w:r>
          </w:p>
        </w:tc>
        <w:tc>
          <w:tcPr>
            <w:tcW w:w="2715" w:type="dxa"/>
          </w:tcPr>
          <w:p>
            <w:pPr>
              <w:rPr>
                <w:rFonts w:ascii="宋体" w:hAnsi="宋体" w:cs="宋体"/>
                <w:kern w:val="0"/>
                <w:sz w:val="13"/>
                <w:szCs w:val="18"/>
              </w:rPr>
            </w:pPr>
          </w:p>
        </w:tc>
        <w:tc>
          <w:tcPr>
            <w:tcW w:w="1162" w:type="dxa"/>
          </w:tcPr>
          <w:p>
            <w:pPr>
              <w:rPr>
                <w:rFonts w:ascii="宋体" w:hAnsi="宋体" w:cs="宋体"/>
                <w:kern w:val="0"/>
                <w:sz w:val="13"/>
                <w:szCs w:val="18"/>
              </w:rPr>
            </w:pPr>
          </w:p>
        </w:tc>
      </w:tr>
    </w:tbl>
    <w:p>
      <w:pPr>
        <w:ind w:firstLine="363" w:firstLineChars="227"/>
        <w:rPr>
          <w:kern w:val="0"/>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sectPr>
          <w:footerReference r:id="rId6" w:type="default"/>
          <w:pgSz w:w="11906" w:h="16838"/>
          <w:pgMar w:top="1440" w:right="1800" w:bottom="1440" w:left="1800" w:header="851" w:footer="992" w:gutter="0"/>
          <w:pgBorders w:offsetFrom="page">
            <w:top w:val="single" w:color="auto" w:sz="4" w:space="24"/>
            <w:left w:val="single" w:color="auto" w:sz="4" w:space="24"/>
            <w:bottom w:val="single" w:color="auto" w:sz="4" w:space="24"/>
            <w:right w:val="single" w:color="auto" w:sz="4" w:space="24"/>
          </w:pgBorders>
          <w:cols w:space="425" w:num="1"/>
          <w:docGrid w:type="lines" w:linePitch="312" w:charSpace="0"/>
        </w:sectPr>
      </w:pPr>
    </w:p>
    <w:p>
      <w:pPr>
        <w:pStyle w:val="3"/>
        <w:rPr>
          <w:rFonts w:hint="default"/>
          <w:sz w:val="21"/>
          <w:szCs w:val="28"/>
        </w:rPr>
      </w:pPr>
      <w:bookmarkStart w:id="131" w:name="_Toc11921493"/>
      <w:r>
        <w:rPr>
          <w:sz w:val="21"/>
          <w:szCs w:val="28"/>
        </w:rPr>
        <w:t>xx有限公司隐患检查登记台帐（附录A）</w:t>
      </w:r>
      <w:bookmarkEnd w:id="131"/>
    </w:p>
    <w:tbl>
      <w:tblPr>
        <w:tblStyle w:val="11"/>
        <w:tblW w:w="14060" w:type="dxa"/>
        <w:tblInd w:w="0" w:type="dxa"/>
        <w:tblLayout w:type="fixed"/>
        <w:tblCellMar>
          <w:top w:w="15" w:type="dxa"/>
          <w:left w:w="15" w:type="dxa"/>
          <w:bottom w:w="15" w:type="dxa"/>
          <w:right w:w="15" w:type="dxa"/>
        </w:tblCellMar>
      </w:tblPr>
      <w:tblGrid>
        <w:gridCol w:w="984"/>
        <w:gridCol w:w="774"/>
        <w:gridCol w:w="4028"/>
        <w:gridCol w:w="4738"/>
        <w:gridCol w:w="1417"/>
        <w:gridCol w:w="996"/>
        <w:gridCol w:w="1123"/>
      </w:tblGrid>
      <w:tr>
        <w:tblPrEx>
          <w:tblCellMar>
            <w:top w:w="15" w:type="dxa"/>
            <w:left w:w="15" w:type="dxa"/>
            <w:bottom w:w="15" w:type="dxa"/>
            <w:right w:w="15" w:type="dxa"/>
          </w:tblCellMar>
        </w:tblPrEx>
        <w:trPr>
          <w:trHeight w:val="1507"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Cs w:val="28"/>
              </w:rPr>
            </w:pPr>
            <w:r>
              <w:rPr>
                <w:rFonts w:hint="eastAsia" w:ascii="宋体" w:hAnsi="宋体" w:eastAsia="宋体" w:cs="宋体"/>
                <w:b/>
                <w:color w:val="000000"/>
                <w:kern w:val="0"/>
                <w:szCs w:val="28"/>
                <w:lang w:bidi="ar"/>
              </w:rPr>
              <w:t>车间</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Cs w:val="28"/>
              </w:rPr>
            </w:pPr>
            <w:r>
              <w:rPr>
                <w:rFonts w:hint="eastAsia" w:ascii="宋体" w:hAnsi="宋体" w:eastAsia="宋体" w:cs="宋体"/>
                <w:b/>
                <w:color w:val="000000"/>
                <w:kern w:val="0"/>
                <w:szCs w:val="28"/>
                <w:lang w:bidi="ar"/>
              </w:rPr>
              <w:t>序号</w:t>
            </w: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Cs w:val="28"/>
              </w:rPr>
            </w:pPr>
            <w:r>
              <w:rPr>
                <w:rFonts w:hint="eastAsia" w:ascii="宋体" w:hAnsi="宋体" w:eastAsia="宋体" w:cs="宋体"/>
                <w:b/>
                <w:color w:val="000000"/>
                <w:kern w:val="0"/>
                <w:szCs w:val="28"/>
                <w:lang w:bidi="ar"/>
              </w:rPr>
              <w:t>隐患内容</w:t>
            </w: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Cs w:val="28"/>
              </w:rPr>
            </w:pPr>
            <w:r>
              <w:rPr>
                <w:rFonts w:hint="eastAsia" w:ascii="宋体" w:hAnsi="宋体" w:eastAsia="宋体" w:cs="宋体"/>
                <w:b/>
                <w:color w:val="000000"/>
                <w:kern w:val="0"/>
                <w:szCs w:val="28"/>
                <w:lang w:bidi="ar"/>
              </w:rPr>
              <w:t>整改建议</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Cs w:val="28"/>
              </w:rPr>
            </w:pPr>
            <w:r>
              <w:rPr>
                <w:rFonts w:hint="eastAsia" w:ascii="宋体" w:hAnsi="宋体" w:eastAsia="宋体" w:cs="宋体"/>
                <w:b/>
                <w:color w:val="000000"/>
                <w:kern w:val="0"/>
                <w:szCs w:val="28"/>
                <w:lang w:bidi="ar"/>
              </w:rPr>
              <w:t>整改</w:t>
            </w:r>
            <w:r>
              <w:rPr>
                <w:rFonts w:hint="eastAsia" w:ascii="宋体" w:hAnsi="宋体" w:eastAsia="宋体" w:cs="宋体"/>
                <w:b/>
                <w:color w:val="000000"/>
                <w:kern w:val="0"/>
                <w:szCs w:val="28"/>
                <w:lang w:bidi="ar"/>
              </w:rPr>
              <w:br w:type="textWrapping"/>
            </w:r>
            <w:r>
              <w:rPr>
                <w:rFonts w:hint="eastAsia" w:ascii="宋体" w:hAnsi="宋体" w:eastAsia="宋体" w:cs="宋体"/>
                <w:b/>
                <w:color w:val="000000"/>
                <w:kern w:val="0"/>
                <w:szCs w:val="28"/>
                <w:lang w:bidi="ar"/>
              </w:rPr>
              <w:t>部门</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Cs w:val="28"/>
              </w:rPr>
            </w:pPr>
            <w:r>
              <w:rPr>
                <w:rFonts w:hint="eastAsia" w:ascii="宋体" w:hAnsi="宋体" w:eastAsia="宋体" w:cs="宋体"/>
                <w:b/>
                <w:color w:val="000000"/>
                <w:kern w:val="0"/>
                <w:szCs w:val="28"/>
                <w:lang w:bidi="ar"/>
              </w:rPr>
              <w:t>整改</w:t>
            </w:r>
            <w:r>
              <w:rPr>
                <w:rFonts w:hint="eastAsia" w:ascii="宋体" w:hAnsi="宋体" w:eastAsia="宋体" w:cs="宋体"/>
                <w:b/>
                <w:color w:val="000000"/>
                <w:kern w:val="0"/>
                <w:szCs w:val="28"/>
                <w:lang w:bidi="ar"/>
              </w:rPr>
              <w:br w:type="textWrapping"/>
            </w:r>
            <w:r>
              <w:rPr>
                <w:rFonts w:hint="eastAsia" w:ascii="宋体" w:hAnsi="宋体" w:eastAsia="宋体" w:cs="宋体"/>
                <w:b/>
                <w:color w:val="000000"/>
                <w:kern w:val="0"/>
                <w:szCs w:val="28"/>
                <w:lang w:bidi="ar"/>
              </w:rPr>
              <w:t>期限</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Cs w:val="28"/>
              </w:rPr>
            </w:pPr>
            <w:r>
              <w:rPr>
                <w:rFonts w:hint="eastAsia" w:ascii="宋体" w:hAnsi="宋体" w:eastAsia="宋体" w:cs="宋体"/>
                <w:b/>
                <w:color w:val="000000"/>
                <w:kern w:val="0"/>
                <w:szCs w:val="28"/>
                <w:lang w:bidi="ar"/>
              </w:rPr>
              <w:t>整改责任人</w:t>
            </w:r>
          </w:p>
        </w:tc>
      </w:tr>
      <w:tr>
        <w:tblPrEx>
          <w:tblCellMar>
            <w:top w:w="15" w:type="dxa"/>
            <w:left w:w="15" w:type="dxa"/>
            <w:bottom w:w="15" w:type="dxa"/>
            <w:right w:w="15" w:type="dxa"/>
          </w:tblCellMar>
        </w:tblPrEx>
        <w:trPr>
          <w:trHeight w:val="465" w:hRule="atLeast"/>
        </w:trPr>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65" w:hRule="atLeast"/>
        </w:trPr>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65" w:hRule="atLeast"/>
        </w:trPr>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65" w:hRule="atLeast"/>
        </w:trPr>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65" w:hRule="atLeast"/>
        </w:trPr>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65" w:hRule="atLeast"/>
        </w:trPr>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78" w:hRule="atLeast"/>
        </w:trPr>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7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7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7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7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bl>
    <w:p>
      <w:pPr>
        <w:pStyle w:val="3"/>
        <w:rPr>
          <w:rFonts w:hint="default"/>
          <w:sz w:val="21"/>
          <w:szCs w:val="28"/>
        </w:rPr>
      </w:pPr>
      <w:r>
        <w:rPr>
          <w:sz w:val="21"/>
          <w:szCs w:val="28"/>
        </w:rPr>
        <w:t xml:space="preserve"> </w:t>
      </w:r>
      <w:bookmarkStart w:id="132" w:name="_Toc11921494"/>
      <w:r>
        <w:rPr>
          <w:sz w:val="21"/>
          <w:szCs w:val="28"/>
        </w:rPr>
        <w:t>xx有限公司重大事故隐患整改台帐（附录B）</w:t>
      </w:r>
      <w:bookmarkEnd w:id="132"/>
    </w:p>
    <w:tbl>
      <w:tblPr>
        <w:tblStyle w:val="11"/>
        <w:tblW w:w="14183" w:type="dxa"/>
        <w:jc w:val="center"/>
        <w:tblLayout w:type="fixed"/>
        <w:tblCellMar>
          <w:top w:w="0" w:type="dxa"/>
          <w:left w:w="108" w:type="dxa"/>
          <w:bottom w:w="0" w:type="dxa"/>
          <w:right w:w="108" w:type="dxa"/>
        </w:tblCellMar>
      </w:tblPr>
      <w:tblGrid>
        <w:gridCol w:w="575"/>
        <w:gridCol w:w="850"/>
        <w:gridCol w:w="1155"/>
        <w:gridCol w:w="1135"/>
        <w:gridCol w:w="1135"/>
        <w:gridCol w:w="730"/>
        <w:gridCol w:w="1000"/>
        <w:gridCol w:w="1820"/>
        <w:gridCol w:w="1560"/>
        <w:gridCol w:w="1246"/>
        <w:gridCol w:w="709"/>
        <w:gridCol w:w="1255"/>
        <w:gridCol w:w="1013"/>
      </w:tblGrid>
      <w:tr>
        <w:tblPrEx>
          <w:tblCellMar>
            <w:top w:w="0" w:type="dxa"/>
            <w:left w:w="108" w:type="dxa"/>
            <w:bottom w:w="0" w:type="dxa"/>
            <w:right w:w="108" w:type="dxa"/>
          </w:tblCellMar>
        </w:tblPrEx>
        <w:trPr>
          <w:trHeight w:val="360" w:hRule="atLeast"/>
          <w:jc w:val="center"/>
        </w:trPr>
        <w:tc>
          <w:tcPr>
            <w:tcW w:w="14183" w:type="dxa"/>
            <w:gridSpan w:val="13"/>
            <w:tcBorders>
              <w:top w:val="nil"/>
              <w:left w:val="nil"/>
              <w:bottom w:val="single" w:color="auto" w:sz="4" w:space="0"/>
              <w:right w:val="nil"/>
            </w:tcBorders>
            <w:shd w:val="clear" w:color="auto" w:fill="auto"/>
            <w:vAlign w:val="bottom"/>
          </w:tcPr>
          <w:p>
            <w:pPr>
              <w:widowControl/>
              <w:jc w:val="left"/>
              <w:rPr>
                <w:kern w:val="0"/>
                <w:sz w:val="20"/>
              </w:rPr>
            </w:pPr>
            <w:r>
              <w:rPr>
                <w:rFonts w:hint="eastAsia"/>
                <w:color w:val="000000"/>
                <w:sz w:val="16"/>
              </w:rPr>
              <w:t>（受控记录号）</w:t>
            </w:r>
            <w:r>
              <w:rPr>
                <w:rFonts w:hint="eastAsia"/>
                <w:kern w:val="0"/>
                <w:sz w:val="20"/>
              </w:rPr>
              <w:t xml:space="preserve">                                                                                                </w:t>
            </w:r>
            <w:r>
              <w:rPr>
                <w:rFonts w:hint="eastAsia" w:ascii="宋体" w:hAnsi="宋体" w:cs="宋体"/>
                <w:kern w:val="0"/>
                <w:sz w:val="20"/>
              </w:rPr>
              <w:t>№：</w:t>
            </w:r>
          </w:p>
        </w:tc>
      </w:tr>
      <w:tr>
        <w:tblPrEx>
          <w:tblCellMar>
            <w:top w:w="0" w:type="dxa"/>
            <w:left w:w="108" w:type="dxa"/>
            <w:bottom w:w="0" w:type="dxa"/>
            <w:right w:w="108" w:type="dxa"/>
          </w:tblCellMar>
        </w:tblPrEx>
        <w:trPr>
          <w:trHeight w:val="735" w:hRule="atLeast"/>
          <w:jc w:val="center"/>
        </w:trPr>
        <w:tc>
          <w:tcPr>
            <w:tcW w:w="575"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序号</w:t>
            </w:r>
          </w:p>
        </w:tc>
        <w:tc>
          <w:tcPr>
            <w:tcW w:w="85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编号</w:t>
            </w:r>
          </w:p>
        </w:tc>
        <w:tc>
          <w:tcPr>
            <w:tcW w:w="1155"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隐患名称</w:t>
            </w:r>
          </w:p>
        </w:tc>
        <w:tc>
          <w:tcPr>
            <w:tcW w:w="1135"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所在部位</w:t>
            </w:r>
          </w:p>
        </w:tc>
        <w:tc>
          <w:tcPr>
            <w:tcW w:w="1135"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认定依据</w:t>
            </w:r>
          </w:p>
        </w:tc>
        <w:tc>
          <w:tcPr>
            <w:tcW w:w="73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认定时间</w:t>
            </w:r>
          </w:p>
        </w:tc>
        <w:tc>
          <w:tcPr>
            <w:tcW w:w="100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评审</w:t>
            </w:r>
          </w:p>
          <w:p>
            <w:pPr>
              <w:widowControl/>
              <w:jc w:val="center"/>
              <w:rPr>
                <w:rFonts w:ascii="宋体" w:hAnsi="宋体" w:cs="宋体"/>
                <w:kern w:val="0"/>
                <w:sz w:val="15"/>
                <w:szCs w:val="20"/>
              </w:rPr>
            </w:pPr>
            <w:r>
              <w:rPr>
                <w:rFonts w:hint="eastAsia" w:ascii="宋体" w:hAnsi="宋体" w:cs="宋体"/>
                <w:kern w:val="0"/>
                <w:sz w:val="15"/>
                <w:szCs w:val="20"/>
              </w:rPr>
              <w:t>结论</w:t>
            </w:r>
          </w:p>
        </w:tc>
        <w:tc>
          <w:tcPr>
            <w:tcW w:w="18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现有整改措施</w:t>
            </w:r>
          </w:p>
        </w:tc>
        <w:tc>
          <w:tcPr>
            <w:tcW w:w="15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改进措施</w:t>
            </w:r>
          </w:p>
        </w:tc>
        <w:tc>
          <w:tcPr>
            <w:tcW w:w="1246"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责任部门</w:t>
            </w:r>
            <w:r>
              <w:rPr>
                <w:kern w:val="0"/>
                <w:sz w:val="15"/>
                <w:szCs w:val="20"/>
              </w:rPr>
              <w:t>/</w:t>
            </w:r>
            <w:r>
              <w:rPr>
                <w:rFonts w:hint="eastAsia" w:ascii="宋体" w:hAnsi="宋体" w:cs="宋体"/>
                <w:kern w:val="0"/>
                <w:sz w:val="15"/>
                <w:szCs w:val="20"/>
              </w:rPr>
              <w:t>整改负责人</w:t>
            </w:r>
          </w:p>
        </w:tc>
        <w:tc>
          <w:tcPr>
            <w:tcW w:w="709"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完成</w:t>
            </w:r>
          </w:p>
          <w:p>
            <w:pPr>
              <w:widowControl/>
              <w:jc w:val="center"/>
              <w:rPr>
                <w:rFonts w:ascii="宋体" w:hAnsi="宋体" w:cs="宋体"/>
                <w:kern w:val="0"/>
                <w:sz w:val="15"/>
                <w:szCs w:val="20"/>
              </w:rPr>
            </w:pPr>
            <w:r>
              <w:rPr>
                <w:rFonts w:hint="eastAsia" w:ascii="宋体" w:hAnsi="宋体" w:cs="宋体"/>
                <w:kern w:val="0"/>
                <w:sz w:val="15"/>
                <w:szCs w:val="20"/>
              </w:rPr>
              <w:t>期限</w:t>
            </w:r>
          </w:p>
        </w:tc>
        <w:tc>
          <w:tcPr>
            <w:tcW w:w="125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书面报告上级部门时间</w:t>
            </w:r>
          </w:p>
        </w:tc>
        <w:tc>
          <w:tcPr>
            <w:tcW w:w="1013"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备注</w:t>
            </w:r>
          </w:p>
        </w:tc>
      </w:tr>
      <w:tr>
        <w:tblPrEx>
          <w:tblCellMar>
            <w:top w:w="0" w:type="dxa"/>
            <w:left w:w="108" w:type="dxa"/>
            <w:bottom w:w="0" w:type="dxa"/>
            <w:right w:w="108" w:type="dxa"/>
          </w:tblCellMar>
        </w:tblPrEx>
        <w:trPr>
          <w:trHeight w:val="360" w:hRule="atLeast"/>
          <w:jc w:val="center"/>
        </w:trPr>
        <w:tc>
          <w:tcPr>
            <w:tcW w:w="575"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285" w:hRule="atLeast"/>
          <w:jc w:val="center"/>
        </w:trPr>
        <w:tc>
          <w:tcPr>
            <w:tcW w:w="14183" w:type="dxa"/>
            <w:gridSpan w:val="13"/>
            <w:tcBorders>
              <w:top w:val="single" w:color="auto" w:sz="4" w:space="0"/>
              <w:left w:val="nil"/>
              <w:bottom w:val="nil"/>
              <w:right w:val="nil"/>
            </w:tcBorders>
            <w:shd w:val="clear" w:color="auto" w:fill="auto"/>
            <w:vAlign w:val="bottom"/>
          </w:tcPr>
          <w:p>
            <w:pPr>
              <w:widowControl/>
              <w:jc w:val="center"/>
              <w:rPr>
                <w:rFonts w:ascii="宋体" w:hAnsi="宋体" w:cs="宋体"/>
                <w:kern w:val="0"/>
                <w:sz w:val="20"/>
              </w:rPr>
            </w:pPr>
            <w:r>
              <w:rPr>
                <w:rFonts w:hint="eastAsia" w:ascii="宋体" w:hAnsi="宋体" w:cs="宋体"/>
                <w:kern w:val="0"/>
                <w:sz w:val="20"/>
              </w:rPr>
              <w:t>填表单位：                                                           填表人：</w:t>
            </w:r>
          </w:p>
        </w:tc>
      </w:tr>
    </w:tbl>
    <w:p>
      <w:pPr>
        <w:rPr>
          <w:sz w:val="16"/>
        </w:rPr>
        <w:sectPr>
          <w:pgSz w:w="16838" w:h="11906" w:orient="landscape"/>
          <w:pgMar w:top="1800" w:right="1440" w:bottom="1800" w:left="1440" w:header="851" w:footer="992" w:gutter="0"/>
          <w:pgBorders w:offsetFrom="page">
            <w:top w:val="single" w:color="auto" w:sz="4" w:space="24"/>
            <w:left w:val="single" w:color="auto" w:sz="4" w:space="24"/>
            <w:bottom w:val="single" w:color="auto" w:sz="4" w:space="24"/>
            <w:right w:val="single" w:color="auto" w:sz="4" w:space="24"/>
          </w:pgBorders>
          <w:cols w:space="425" w:num="1"/>
          <w:docGrid w:type="lines" w:linePitch="312" w:charSpace="0"/>
        </w:sectPr>
      </w:pPr>
    </w:p>
    <w:p>
      <w:pPr>
        <w:pStyle w:val="3"/>
        <w:rPr>
          <w:rFonts w:hint="default"/>
          <w:sz w:val="21"/>
          <w:szCs w:val="28"/>
        </w:rPr>
      </w:pPr>
      <w:r>
        <w:rPr>
          <w:sz w:val="21"/>
          <w:szCs w:val="28"/>
        </w:rPr>
        <w:t xml:space="preserve"> </w:t>
      </w:r>
      <w:bookmarkStart w:id="133" w:name="_Toc11921495"/>
      <w:r>
        <w:rPr>
          <w:sz w:val="21"/>
          <w:szCs w:val="28"/>
        </w:rPr>
        <w:t>xx有限公司事故隐患整改通知单（附录C）</w:t>
      </w:r>
      <w:bookmarkEnd w:id="133"/>
    </w:p>
    <w:p>
      <w:pPr>
        <w:jc w:val="center"/>
        <w:rPr>
          <w:rFonts w:ascii="黑体" w:eastAsia="黑体"/>
          <w:b/>
          <w:bCs/>
          <w:color w:val="FF0000"/>
          <w:sz w:val="22"/>
        </w:rPr>
      </w:pPr>
    </w:p>
    <w:tbl>
      <w:tblPr>
        <w:tblStyle w:val="12"/>
        <w:tblW w:w="9780" w:type="dxa"/>
        <w:tblInd w:w="-5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15"/>
        <w:gridCol w:w="1598"/>
        <w:gridCol w:w="1704"/>
        <w:gridCol w:w="1704"/>
        <w:gridCol w:w="41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2213" w:type="dxa"/>
            <w:gridSpan w:val="2"/>
          </w:tcPr>
          <w:p>
            <w:pPr>
              <w:rPr>
                <w:rFonts w:ascii="黑体" w:hAnsi="黑体" w:eastAsia="黑体" w:cs="黑体"/>
                <w:sz w:val="20"/>
              </w:rPr>
            </w:pPr>
            <w:r>
              <w:rPr>
                <w:rFonts w:hint="eastAsia" w:ascii="黑体" w:hAnsi="黑体" w:eastAsia="黑体" w:cs="黑体"/>
                <w:sz w:val="20"/>
              </w:rPr>
              <w:t>整改部门</w:t>
            </w:r>
          </w:p>
        </w:tc>
        <w:tc>
          <w:tcPr>
            <w:tcW w:w="1704" w:type="dxa"/>
          </w:tcPr>
          <w:p>
            <w:pPr>
              <w:jc w:val="center"/>
              <w:rPr>
                <w:rFonts w:ascii="黑体" w:hAnsi="黑体" w:eastAsia="黑体" w:cs="黑体"/>
                <w:sz w:val="20"/>
              </w:rPr>
            </w:pPr>
          </w:p>
        </w:tc>
        <w:tc>
          <w:tcPr>
            <w:tcW w:w="1704" w:type="dxa"/>
          </w:tcPr>
          <w:p>
            <w:pPr>
              <w:rPr>
                <w:rFonts w:ascii="黑体" w:hAnsi="黑体" w:eastAsia="黑体" w:cs="黑体"/>
                <w:sz w:val="20"/>
              </w:rPr>
            </w:pPr>
            <w:r>
              <w:rPr>
                <w:rFonts w:hint="eastAsia" w:ascii="黑体" w:hAnsi="黑体" w:eastAsia="黑体" w:cs="黑体"/>
                <w:sz w:val="20"/>
              </w:rPr>
              <w:t>整改责任人</w:t>
            </w:r>
          </w:p>
        </w:tc>
        <w:tc>
          <w:tcPr>
            <w:tcW w:w="4159" w:type="dxa"/>
          </w:tcPr>
          <w:p>
            <w:pPr>
              <w:rPr>
                <w:rFonts w:ascii="黑体" w:hAnsi="黑体" w:eastAsia="黑体" w:cs="黑体"/>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7" w:hRule="atLeast"/>
        </w:trPr>
        <w:tc>
          <w:tcPr>
            <w:tcW w:w="2213" w:type="dxa"/>
            <w:gridSpan w:val="2"/>
          </w:tcPr>
          <w:p>
            <w:pPr>
              <w:rPr>
                <w:rFonts w:ascii="黑体" w:hAnsi="黑体" w:eastAsia="黑体" w:cs="黑体"/>
                <w:sz w:val="20"/>
              </w:rPr>
            </w:pPr>
            <w:r>
              <w:rPr>
                <w:rFonts w:hint="eastAsia" w:ascii="黑体" w:hAnsi="黑体" w:eastAsia="黑体" w:cs="黑体"/>
                <w:sz w:val="20"/>
              </w:rPr>
              <w:t>检查时间</w:t>
            </w:r>
          </w:p>
        </w:tc>
        <w:tc>
          <w:tcPr>
            <w:tcW w:w="1704" w:type="dxa"/>
          </w:tcPr>
          <w:p>
            <w:pPr>
              <w:widowControl/>
              <w:jc w:val="left"/>
              <w:rPr>
                <w:rFonts w:ascii="黑体" w:hAnsi="黑体" w:eastAsia="黑体" w:cs="黑体"/>
                <w:sz w:val="20"/>
              </w:rPr>
            </w:pPr>
          </w:p>
        </w:tc>
        <w:tc>
          <w:tcPr>
            <w:tcW w:w="1704" w:type="dxa"/>
          </w:tcPr>
          <w:p>
            <w:pPr>
              <w:rPr>
                <w:rFonts w:ascii="黑体" w:hAnsi="黑体" w:eastAsia="黑体" w:cs="黑体"/>
                <w:sz w:val="20"/>
              </w:rPr>
            </w:pPr>
            <w:r>
              <w:rPr>
                <w:rFonts w:hint="eastAsia" w:ascii="黑体" w:hAnsi="黑体" w:eastAsia="黑体" w:cs="黑体"/>
                <w:sz w:val="20"/>
              </w:rPr>
              <w:t>检查人员</w:t>
            </w:r>
          </w:p>
        </w:tc>
        <w:tc>
          <w:tcPr>
            <w:tcW w:w="4159" w:type="dxa"/>
          </w:tcPr>
          <w:p>
            <w:pPr>
              <w:jc w:val="left"/>
              <w:rPr>
                <w:rFonts w:ascii="黑体" w:hAnsi="黑体" w:eastAsia="黑体" w:cs="黑体"/>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8" w:hRule="atLeast"/>
        </w:trPr>
        <w:tc>
          <w:tcPr>
            <w:tcW w:w="9780" w:type="dxa"/>
            <w:gridSpan w:val="5"/>
          </w:tcPr>
          <w:p>
            <w:pPr>
              <w:rPr>
                <w:rFonts w:ascii="黑体" w:hAnsi="黑体" w:eastAsia="黑体" w:cs="黑体"/>
                <w:sz w:val="20"/>
              </w:rPr>
            </w:pPr>
            <w:r>
              <w:rPr>
                <w:rFonts w:hint="eastAsia" w:ascii="黑体" w:hAnsi="黑体" w:eastAsia="黑体" w:cs="黑体"/>
                <w:sz w:val="20"/>
              </w:rPr>
              <w:t>隐患内容：</w:t>
            </w:r>
          </w:p>
          <w:p>
            <w:pPr>
              <w:rPr>
                <w:sz w:val="16"/>
              </w:rPr>
            </w:pPr>
          </w:p>
          <w:p>
            <w:pPr>
              <w:rPr>
                <w:sz w:val="16"/>
              </w:rPr>
            </w:pPr>
          </w:p>
          <w:p>
            <w:pPr>
              <w:rPr>
                <w:sz w:val="16"/>
              </w:rPr>
            </w:pPr>
          </w:p>
          <w:p>
            <w:pPr>
              <w:rPr>
                <w:sz w:val="16"/>
              </w:rPr>
            </w:pPr>
          </w:p>
          <w:p>
            <w:pPr>
              <w:rPr>
                <w:sz w:val="16"/>
              </w:rPr>
            </w:pPr>
          </w:p>
          <w:p>
            <w:pPr>
              <w:rPr>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86" w:hRule="atLeast"/>
        </w:trPr>
        <w:tc>
          <w:tcPr>
            <w:tcW w:w="615" w:type="dxa"/>
            <w:vMerge w:val="restart"/>
            <w:tcBorders>
              <w:right w:val="single" w:color="auto" w:sz="4" w:space="0"/>
            </w:tcBorders>
          </w:tcPr>
          <w:p>
            <w:pPr>
              <w:rPr>
                <w:rFonts w:ascii="黑体" w:hAnsi="黑体" w:eastAsia="黑体" w:cs="黑体"/>
                <w:sz w:val="20"/>
              </w:rPr>
            </w:pPr>
          </w:p>
          <w:p>
            <w:pPr>
              <w:rPr>
                <w:rFonts w:ascii="黑体" w:hAnsi="黑体" w:eastAsia="黑体" w:cs="黑体"/>
                <w:sz w:val="20"/>
              </w:rPr>
            </w:pPr>
            <w:r>
              <w:rPr>
                <w:rFonts w:hint="eastAsia" w:ascii="黑体" w:hAnsi="黑体" w:eastAsia="黑体" w:cs="黑体"/>
                <w:sz w:val="20"/>
              </w:rPr>
              <w:t>整</w:t>
            </w:r>
          </w:p>
          <w:p>
            <w:pPr>
              <w:rPr>
                <w:rFonts w:ascii="黑体" w:hAnsi="黑体" w:eastAsia="黑体" w:cs="黑体"/>
                <w:sz w:val="20"/>
              </w:rPr>
            </w:pPr>
            <w:r>
              <w:rPr>
                <w:rFonts w:hint="eastAsia" w:ascii="黑体" w:hAnsi="黑体" w:eastAsia="黑体" w:cs="黑体"/>
                <w:sz w:val="20"/>
              </w:rPr>
              <w:t>改</w:t>
            </w:r>
          </w:p>
          <w:p>
            <w:pPr>
              <w:rPr>
                <w:rFonts w:ascii="黑体" w:hAnsi="黑体" w:eastAsia="黑体" w:cs="黑体"/>
                <w:sz w:val="20"/>
              </w:rPr>
            </w:pPr>
            <w:r>
              <w:rPr>
                <w:rFonts w:hint="eastAsia" w:ascii="黑体" w:hAnsi="黑体" w:eastAsia="黑体" w:cs="黑体"/>
                <w:sz w:val="20"/>
              </w:rPr>
              <w:t>建</w:t>
            </w:r>
          </w:p>
          <w:p>
            <w:pPr>
              <w:rPr>
                <w:rFonts w:ascii="黑体" w:hAnsi="黑体" w:eastAsia="黑体" w:cs="黑体"/>
                <w:sz w:val="20"/>
              </w:rPr>
            </w:pPr>
            <w:r>
              <w:rPr>
                <w:rFonts w:hint="eastAsia" w:ascii="黑体" w:hAnsi="黑体" w:eastAsia="黑体" w:cs="黑体"/>
                <w:sz w:val="20"/>
              </w:rPr>
              <w:t>议</w:t>
            </w:r>
          </w:p>
          <w:p>
            <w:pPr>
              <w:rPr>
                <w:rFonts w:ascii="黑体" w:hAnsi="黑体" w:eastAsia="黑体" w:cs="黑体"/>
                <w:sz w:val="20"/>
              </w:rPr>
            </w:pPr>
            <w:r>
              <w:rPr>
                <w:rFonts w:hint="eastAsia" w:ascii="黑体" w:hAnsi="黑体" w:eastAsia="黑体" w:cs="黑体"/>
                <w:sz w:val="20"/>
              </w:rPr>
              <w:t>及</w:t>
            </w:r>
          </w:p>
          <w:p>
            <w:pPr>
              <w:rPr>
                <w:rFonts w:ascii="黑体" w:hAnsi="黑体" w:eastAsia="黑体" w:cs="黑体"/>
                <w:sz w:val="20"/>
              </w:rPr>
            </w:pPr>
            <w:r>
              <w:rPr>
                <w:rFonts w:hint="eastAsia" w:ascii="黑体" w:hAnsi="黑体" w:eastAsia="黑体" w:cs="黑体"/>
                <w:sz w:val="20"/>
              </w:rPr>
              <w:t>措</w:t>
            </w:r>
          </w:p>
          <w:p>
            <w:pPr>
              <w:rPr>
                <w:rFonts w:ascii="黑体" w:hAnsi="黑体" w:eastAsia="黑体" w:cs="黑体"/>
                <w:sz w:val="20"/>
              </w:rPr>
            </w:pPr>
            <w:r>
              <w:rPr>
                <w:rFonts w:hint="eastAsia" w:ascii="黑体" w:hAnsi="黑体" w:eastAsia="黑体" w:cs="黑体"/>
                <w:sz w:val="20"/>
              </w:rPr>
              <w:t>施</w:t>
            </w:r>
          </w:p>
          <w:p>
            <w:pPr>
              <w:rPr>
                <w:rFonts w:ascii="黑体" w:hAnsi="黑体" w:eastAsia="黑体" w:cs="黑体"/>
                <w:sz w:val="20"/>
              </w:rPr>
            </w:pPr>
          </w:p>
        </w:tc>
        <w:tc>
          <w:tcPr>
            <w:tcW w:w="9165" w:type="dxa"/>
            <w:gridSpan w:val="4"/>
            <w:tcBorders>
              <w:left w:val="single" w:color="auto" w:sz="4" w:space="0"/>
              <w:bottom w:val="single" w:color="auto" w:sz="4" w:space="0"/>
            </w:tcBorders>
          </w:tcPr>
          <w:p>
            <w:pPr>
              <w:ind w:firstLine="200" w:firstLineChars="100"/>
              <w:rPr>
                <w:rFonts w:ascii="黑体" w:hAnsi="黑体" w:eastAsia="黑体" w:cs="黑体"/>
                <w:sz w:val="20"/>
              </w:rPr>
            </w:pPr>
          </w:p>
          <w:p>
            <w:pPr>
              <w:ind w:firstLine="200" w:firstLineChars="100"/>
              <w:rPr>
                <w:rFonts w:ascii="黑体" w:hAnsi="黑体" w:eastAsia="黑体" w:cs="黑体"/>
                <w:sz w:val="20"/>
              </w:rPr>
            </w:pPr>
          </w:p>
          <w:p>
            <w:pPr>
              <w:ind w:firstLine="200" w:firstLineChars="100"/>
              <w:rPr>
                <w:rFonts w:ascii="黑体" w:hAnsi="黑体" w:eastAsia="黑体" w:cs="黑体"/>
                <w:sz w:val="20"/>
              </w:rPr>
            </w:pPr>
          </w:p>
          <w:p>
            <w:pPr>
              <w:ind w:firstLine="200" w:firstLineChars="100"/>
              <w:rPr>
                <w:rFonts w:ascii="黑体" w:hAnsi="黑体" w:eastAsia="黑体" w:cs="黑体"/>
                <w:sz w:val="20"/>
              </w:rPr>
            </w:pPr>
          </w:p>
          <w:p>
            <w:pPr>
              <w:ind w:firstLine="200" w:firstLineChars="100"/>
              <w:rPr>
                <w:rFonts w:ascii="黑体" w:hAnsi="黑体" w:eastAsia="黑体" w:cs="黑体"/>
                <w:sz w:val="20"/>
              </w:rPr>
            </w:pPr>
            <w:r>
              <w:rPr>
                <w:rFonts w:hint="eastAsia" w:ascii="黑体" w:hAnsi="黑体" w:eastAsia="黑体" w:cs="黑体"/>
                <w:sz w:val="20"/>
              </w:rPr>
              <w:t>□立即整改           年    月     日 完成整改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7" w:hRule="atLeast"/>
        </w:trPr>
        <w:tc>
          <w:tcPr>
            <w:tcW w:w="615" w:type="dxa"/>
            <w:vMerge w:val="continue"/>
            <w:tcBorders>
              <w:bottom w:val="single" w:color="000000" w:sz="4" w:space="0"/>
              <w:right w:val="single" w:color="auto" w:sz="4" w:space="0"/>
            </w:tcBorders>
          </w:tcPr>
          <w:p>
            <w:pPr>
              <w:rPr>
                <w:rFonts w:ascii="黑体" w:hAnsi="黑体" w:eastAsia="黑体" w:cs="黑体"/>
                <w:sz w:val="20"/>
              </w:rPr>
            </w:pPr>
          </w:p>
        </w:tc>
        <w:tc>
          <w:tcPr>
            <w:tcW w:w="9165" w:type="dxa"/>
            <w:gridSpan w:val="4"/>
            <w:tcBorders>
              <w:top w:val="single" w:color="auto" w:sz="4" w:space="0"/>
              <w:left w:val="single" w:color="auto" w:sz="4" w:space="0"/>
              <w:bottom w:val="single" w:color="000000" w:sz="4" w:space="0"/>
            </w:tcBorders>
          </w:tcPr>
          <w:p>
            <w:pPr>
              <w:rPr>
                <w:rFonts w:ascii="黑体" w:hAnsi="黑体" w:eastAsia="黑体" w:cs="黑体"/>
                <w:sz w:val="20"/>
              </w:rPr>
            </w:pPr>
          </w:p>
          <w:p>
            <w:pPr>
              <w:rPr>
                <w:rFonts w:ascii="黑体" w:hAnsi="黑体" w:eastAsia="黑体" w:cs="黑体"/>
                <w:sz w:val="20"/>
              </w:rPr>
            </w:pPr>
          </w:p>
          <w:p>
            <w:pPr>
              <w:rPr>
                <w:rFonts w:ascii="黑体" w:hAnsi="黑体" w:eastAsia="黑体" w:cs="黑体"/>
                <w:sz w:val="20"/>
              </w:rPr>
            </w:pPr>
          </w:p>
          <w:p>
            <w:pPr>
              <w:rPr>
                <w:rFonts w:ascii="黑体" w:hAnsi="黑体" w:eastAsia="黑体" w:cs="黑体"/>
                <w:sz w:val="20"/>
              </w:rPr>
            </w:pPr>
            <w:r>
              <w:rPr>
                <w:rFonts w:hint="eastAsia" w:ascii="黑体" w:hAnsi="黑体" w:eastAsia="黑体" w:cs="黑体"/>
                <w:sz w:val="20"/>
              </w:rPr>
              <w:t xml:space="preserve">  □限期整改           年    月     日 完成整改 </w:t>
            </w:r>
          </w:p>
          <w:p>
            <w:pPr>
              <w:ind w:firstLine="1800" w:firstLineChars="900"/>
              <w:rPr>
                <w:rFonts w:ascii="黑体" w:hAnsi="黑体" w:eastAsia="黑体" w:cs="黑体"/>
                <w:sz w:val="20"/>
              </w:rPr>
            </w:pPr>
            <w:r>
              <w:rPr>
                <w:rFonts w:hint="eastAsia" w:ascii="黑体" w:hAnsi="黑体" w:eastAsia="黑体" w:cs="黑体"/>
                <w:sz w:val="20"/>
              </w:rPr>
              <w:t>在此之前采取有效措施，确保安全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6" w:hRule="atLeast"/>
        </w:trPr>
        <w:tc>
          <w:tcPr>
            <w:tcW w:w="9780" w:type="dxa"/>
            <w:gridSpan w:val="5"/>
          </w:tcPr>
          <w:p>
            <w:pPr>
              <w:rPr>
                <w:rFonts w:ascii="黑体" w:hAnsi="黑体" w:eastAsia="黑体" w:cs="黑体"/>
                <w:sz w:val="20"/>
              </w:rPr>
            </w:pPr>
            <w:r>
              <w:rPr>
                <w:rFonts w:hint="eastAsia" w:ascii="黑体" w:hAnsi="黑体" w:eastAsia="黑体" w:cs="黑体"/>
                <w:sz w:val="20"/>
              </w:rPr>
              <w:t>整改情况反馈：</w:t>
            </w:r>
          </w:p>
          <w:p>
            <w:pPr>
              <w:rPr>
                <w:rFonts w:ascii="黑体" w:hAnsi="黑体" w:eastAsia="黑体" w:cs="黑体"/>
                <w:sz w:val="20"/>
              </w:rPr>
            </w:pPr>
            <w:r>
              <w:rPr>
                <w:rFonts w:hint="eastAsia" w:ascii="黑体" w:hAnsi="黑体" w:eastAsia="黑体" w:cs="黑体"/>
                <w:sz w:val="20"/>
              </w:rPr>
              <w:t xml:space="preserve">                               整改（部门）负责人签字：</w:t>
            </w:r>
          </w:p>
        </w:tc>
      </w:tr>
    </w:tbl>
    <w:p>
      <w:pPr>
        <w:jc w:val="center"/>
        <w:rPr>
          <w:rFonts w:ascii="黑体" w:eastAsia="黑体"/>
          <w:b/>
          <w:bCs/>
          <w:sz w:val="22"/>
        </w:rPr>
      </w:pPr>
    </w:p>
    <w:p>
      <w:pPr>
        <w:jc w:val="center"/>
        <w:rPr>
          <w:rFonts w:ascii="黑体" w:eastAsia="黑体"/>
          <w:b/>
          <w:bCs/>
          <w:sz w:val="22"/>
        </w:rPr>
      </w:pPr>
    </w:p>
    <w:p>
      <w:pPr>
        <w:jc w:val="center"/>
        <w:rPr>
          <w:rFonts w:ascii="黑体" w:eastAsia="黑体"/>
          <w:b/>
          <w:bCs/>
          <w:sz w:val="22"/>
        </w:rPr>
      </w:pPr>
    </w:p>
    <w:p>
      <w:pPr>
        <w:jc w:val="center"/>
        <w:rPr>
          <w:rFonts w:ascii="黑体" w:eastAsia="黑体"/>
          <w:b/>
          <w:bCs/>
          <w:sz w:val="22"/>
        </w:rPr>
      </w:pPr>
    </w:p>
    <w:p>
      <w:pPr>
        <w:jc w:val="center"/>
        <w:rPr>
          <w:rFonts w:ascii="黑体" w:eastAsia="黑体"/>
          <w:b/>
          <w:bCs/>
          <w:sz w:val="22"/>
        </w:rPr>
      </w:pPr>
    </w:p>
    <w:p>
      <w:pPr>
        <w:pStyle w:val="3"/>
        <w:rPr>
          <w:rFonts w:hint="default"/>
          <w:sz w:val="21"/>
          <w:szCs w:val="28"/>
        </w:rPr>
      </w:pPr>
      <w:r>
        <w:rPr>
          <w:sz w:val="21"/>
          <w:szCs w:val="28"/>
        </w:rPr>
        <w:t xml:space="preserve"> </w:t>
      </w:r>
      <w:bookmarkStart w:id="134" w:name="_Toc11921496"/>
      <w:r>
        <w:rPr>
          <w:sz w:val="21"/>
          <w:szCs w:val="28"/>
        </w:rPr>
        <w:t>xx有限公司隐患分析和现状评估报告（附录D）</w:t>
      </w:r>
      <w:bookmarkEnd w:id="134"/>
    </w:p>
    <w:tbl>
      <w:tblPr>
        <w:tblStyle w:val="12"/>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1740"/>
        <w:gridCol w:w="5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gridSpan w:val="2"/>
            <w:vAlign w:val="center"/>
          </w:tcPr>
          <w:p>
            <w:pPr>
              <w:jc w:val="center"/>
              <w:rPr>
                <w:rFonts w:ascii="仿宋_GB2312" w:eastAsia="仿宋_GB2312"/>
                <w:szCs w:val="28"/>
              </w:rPr>
            </w:pPr>
            <w:r>
              <w:rPr>
                <w:rFonts w:hint="eastAsia" w:ascii="仿宋_GB2312" w:eastAsia="仿宋_GB2312"/>
                <w:szCs w:val="28"/>
              </w:rPr>
              <w:t>隐患所在部门/部位</w:t>
            </w:r>
          </w:p>
        </w:tc>
        <w:tc>
          <w:tcPr>
            <w:tcW w:w="5397" w:type="dxa"/>
            <w:vAlign w:val="center"/>
          </w:tcPr>
          <w:p>
            <w:pPr>
              <w:jc w:val="center"/>
              <w:rPr>
                <w:rFonts w:ascii="仿宋_GB2312" w:eastAsia="仿宋_GB231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gridSpan w:val="2"/>
            <w:vAlign w:val="center"/>
          </w:tcPr>
          <w:p>
            <w:pPr>
              <w:jc w:val="center"/>
              <w:rPr>
                <w:rFonts w:ascii="仿宋_GB2312" w:eastAsia="仿宋_GB2312"/>
                <w:szCs w:val="28"/>
              </w:rPr>
            </w:pPr>
            <w:r>
              <w:rPr>
                <w:rFonts w:hint="eastAsia" w:ascii="仿宋_GB2312" w:eastAsia="仿宋_GB2312"/>
                <w:szCs w:val="28"/>
              </w:rPr>
              <w:t>隐患发现渠道和时间</w:t>
            </w:r>
          </w:p>
        </w:tc>
        <w:tc>
          <w:tcPr>
            <w:tcW w:w="5397" w:type="dxa"/>
            <w:vAlign w:val="center"/>
          </w:tcPr>
          <w:p>
            <w:pPr>
              <w:jc w:val="center"/>
              <w:rPr>
                <w:rFonts w:ascii="仿宋_GB2312" w:eastAsia="仿宋_GB231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trPr>
        <w:tc>
          <w:tcPr>
            <w:tcW w:w="3119" w:type="dxa"/>
            <w:gridSpan w:val="2"/>
            <w:vAlign w:val="center"/>
          </w:tcPr>
          <w:p>
            <w:pPr>
              <w:jc w:val="center"/>
              <w:rPr>
                <w:rFonts w:ascii="仿宋_GB2312" w:eastAsia="仿宋_GB2312"/>
                <w:szCs w:val="28"/>
              </w:rPr>
            </w:pPr>
            <w:r>
              <w:rPr>
                <w:rFonts w:hint="eastAsia" w:ascii="仿宋_GB2312" w:eastAsia="仿宋_GB2312"/>
                <w:szCs w:val="28"/>
              </w:rPr>
              <w:t>隐患现状和</w:t>
            </w:r>
          </w:p>
          <w:p>
            <w:pPr>
              <w:jc w:val="center"/>
              <w:rPr>
                <w:rFonts w:ascii="仿宋_GB2312" w:eastAsia="仿宋_GB2312"/>
                <w:szCs w:val="28"/>
              </w:rPr>
            </w:pPr>
            <w:r>
              <w:rPr>
                <w:rFonts w:hint="eastAsia" w:ascii="仿宋_GB2312" w:eastAsia="仿宋_GB2312"/>
                <w:szCs w:val="28"/>
              </w:rPr>
              <w:t>临时控制措施</w:t>
            </w:r>
          </w:p>
        </w:tc>
        <w:tc>
          <w:tcPr>
            <w:tcW w:w="5397" w:type="dxa"/>
            <w:vAlign w:val="center"/>
          </w:tcPr>
          <w:p>
            <w:pPr>
              <w:jc w:val="center"/>
              <w:rPr>
                <w:rFonts w:ascii="仿宋_GB2312" w:eastAsia="仿宋_GB231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gridSpan w:val="3"/>
            <w:vAlign w:val="center"/>
          </w:tcPr>
          <w:p>
            <w:pPr>
              <w:jc w:val="center"/>
              <w:rPr>
                <w:rFonts w:ascii="仿宋_GB2312" w:eastAsia="仿宋_GB2312"/>
                <w:szCs w:val="28"/>
              </w:rPr>
            </w:pPr>
            <w:r>
              <w:rPr>
                <w:rFonts w:hint="eastAsia" w:ascii="仿宋_GB2312" w:eastAsia="仿宋_GB2312"/>
                <w:szCs w:val="28"/>
              </w:rPr>
              <w:t>隐患分析和评估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119" w:type="dxa"/>
            <w:gridSpan w:val="2"/>
            <w:vAlign w:val="center"/>
          </w:tcPr>
          <w:p>
            <w:pPr>
              <w:jc w:val="center"/>
              <w:rPr>
                <w:rFonts w:ascii="仿宋_GB2312" w:eastAsia="仿宋_GB2312"/>
                <w:szCs w:val="28"/>
              </w:rPr>
            </w:pPr>
            <w:r>
              <w:rPr>
                <w:rFonts w:hint="eastAsia" w:ascii="仿宋_GB2312" w:eastAsia="仿宋_GB2312"/>
                <w:szCs w:val="28"/>
              </w:rPr>
              <w:t>隐患发生的原因</w:t>
            </w:r>
          </w:p>
        </w:tc>
        <w:tc>
          <w:tcPr>
            <w:tcW w:w="5397" w:type="dxa"/>
            <w:vAlign w:val="center"/>
          </w:tcPr>
          <w:p>
            <w:pPr>
              <w:jc w:val="center"/>
              <w:rPr>
                <w:rFonts w:ascii="仿宋_GB2312" w:eastAsia="仿宋_GB231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379" w:type="dxa"/>
            <w:vMerge w:val="restart"/>
            <w:vAlign w:val="center"/>
          </w:tcPr>
          <w:p>
            <w:pPr>
              <w:jc w:val="center"/>
              <w:rPr>
                <w:rFonts w:ascii="仿宋_GB2312" w:eastAsia="仿宋_GB2312"/>
                <w:szCs w:val="28"/>
              </w:rPr>
            </w:pPr>
            <w:r>
              <w:rPr>
                <w:rFonts w:hint="eastAsia" w:ascii="仿宋_GB2312" w:eastAsia="仿宋_GB2312"/>
                <w:szCs w:val="28"/>
              </w:rPr>
              <w:t>隐患严重</w:t>
            </w:r>
          </w:p>
          <w:p>
            <w:pPr>
              <w:jc w:val="center"/>
              <w:rPr>
                <w:rFonts w:ascii="仿宋_GB2312" w:eastAsia="仿宋_GB2312"/>
                <w:szCs w:val="28"/>
              </w:rPr>
            </w:pPr>
            <w:r>
              <w:rPr>
                <w:rFonts w:hint="eastAsia" w:ascii="仿宋_GB2312" w:eastAsia="仿宋_GB2312"/>
                <w:szCs w:val="28"/>
              </w:rPr>
              <w:t>性分析</w:t>
            </w:r>
          </w:p>
        </w:tc>
        <w:tc>
          <w:tcPr>
            <w:tcW w:w="1740" w:type="dxa"/>
            <w:vAlign w:val="center"/>
          </w:tcPr>
          <w:p>
            <w:pPr>
              <w:jc w:val="center"/>
              <w:rPr>
                <w:rFonts w:ascii="仿宋_GB2312" w:eastAsia="仿宋_GB2312"/>
                <w:szCs w:val="28"/>
              </w:rPr>
            </w:pPr>
            <w:r>
              <w:rPr>
                <w:rFonts w:hint="eastAsia" w:ascii="仿宋_GB2312" w:eastAsia="仿宋_GB2312"/>
                <w:szCs w:val="28"/>
              </w:rPr>
              <w:t>现状</w:t>
            </w:r>
          </w:p>
          <w:p>
            <w:pPr>
              <w:jc w:val="center"/>
              <w:rPr>
                <w:rFonts w:ascii="仿宋_GB2312" w:eastAsia="仿宋_GB2312"/>
                <w:szCs w:val="28"/>
              </w:rPr>
            </w:pPr>
            <w:r>
              <w:rPr>
                <w:rFonts w:hint="eastAsia" w:ascii="仿宋_GB2312" w:eastAsia="仿宋_GB2312"/>
                <w:szCs w:val="28"/>
              </w:rPr>
              <w:t>严重性</w:t>
            </w:r>
          </w:p>
        </w:tc>
        <w:tc>
          <w:tcPr>
            <w:tcW w:w="5397" w:type="dxa"/>
            <w:vAlign w:val="center"/>
          </w:tcPr>
          <w:p>
            <w:pPr>
              <w:jc w:val="center"/>
              <w:rPr>
                <w:rFonts w:ascii="仿宋_GB2312" w:eastAsia="仿宋_GB231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379" w:type="dxa"/>
            <w:vMerge w:val="continue"/>
            <w:vAlign w:val="center"/>
          </w:tcPr>
          <w:p>
            <w:pPr>
              <w:jc w:val="center"/>
              <w:rPr>
                <w:rFonts w:ascii="仿宋_GB2312" w:eastAsia="仿宋_GB2312"/>
                <w:szCs w:val="28"/>
              </w:rPr>
            </w:pPr>
          </w:p>
        </w:tc>
        <w:tc>
          <w:tcPr>
            <w:tcW w:w="1740" w:type="dxa"/>
            <w:vAlign w:val="center"/>
          </w:tcPr>
          <w:p>
            <w:pPr>
              <w:jc w:val="center"/>
              <w:rPr>
                <w:rFonts w:ascii="仿宋_GB2312" w:eastAsia="仿宋_GB2312"/>
                <w:szCs w:val="28"/>
              </w:rPr>
            </w:pPr>
            <w:r>
              <w:rPr>
                <w:rFonts w:hint="eastAsia" w:ascii="仿宋_GB2312" w:eastAsia="仿宋_GB2312"/>
                <w:szCs w:val="28"/>
              </w:rPr>
              <w:t>临时措施</w:t>
            </w:r>
          </w:p>
          <w:p>
            <w:pPr>
              <w:jc w:val="center"/>
              <w:rPr>
                <w:rFonts w:ascii="仿宋_GB2312" w:eastAsia="仿宋_GB2312"/>
                <w:szCs w:val="28"/>
              </w:rPr>
            </w:pPr>
            <w:r>
              <w:rPr>
                <w:rFonts w:hint="eastAsia" w:ascii="仿宋_GB2312" w:eastAsia="仿宋_GB2312"/>
                <w:szCs w:val="28"/>
              </w:rPr>
              <w:t>有效性评估</w:t>
            </w:r>
          </w:p>
        </w:tc>
        <w:tc>
          <w:tcPr>
            <w:tcW w:w="5397" w:type="dxa"/>
            <w:vAlign w:val="center"/>
          </w:tcPr>
          <w:p>
            <w:pPr>
              <w:jc w:val="center"/>
              <w:rPr>
                <w:rFonts w:ascii="仿宋_GB2312" w:eastAsia="仿宋_GB231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379" w:type="dxa"/>
            <w:vMerge w:val="restart"/>
            <w:vAlign w:val="center"/>
          </w:tcPr>
          <w:p>
            <w:pPr>
              <w:jc w:val="center"/>
              <w:rPr>
                <w:rFonts w:ascii="仿宋_GB2312" w:eastAsia="仿宋_GB2312"/>
                <w:szCs w:val="28"/>
              </w:rPr>
            </w:pPr>
            <w:r>
              <w:rPr>
                <w:rFonts w:hint="eastAsia" w:ascii="仿宋_GB2312" w:eastAsia="仿宋_GB2312"/>
                <w:szCs w:val="28"/>
              </w:rPr>
              <w:t>隐患治理</w:t>
            </w:r>
          </w:p>
          <w:p>
            <w:pPr>
              <w:jc w:val="center"/>
              <w:rPr>
                <w:rFonts w:ascii="仿宋_GB2312" w:eastAsia="仿宋_GB2312"/>
                <w:szCs w:val="28"/>
              </w:rPr>
            </w:pPr>
            <w:r>
              <w:rPr>
                <w:rFonts w:hint="eastAsia" w:ascii="仿宋_GB2312" w:eastAsia="仿宋_GB2312"/>
                <w:szCs w:val="28"/>
              </w:rPr>
              <w:t>措施建议</w:t>
            </w:r>
          </w:p>
        </w:tc>
        <w:tc>
          <w:tcPr>
            <w:tcW w:w="1740" w:type="dxa"/>
            <w:vAlign w:val="center"/>
          </w:tcPr>
          <w:p>
            <w:pPr>
              <w:jc w:val="center"/>
              <w:rPr>
                <w:rFonts w:ascii="仿宋_GB2312" w:eastAsia="仿宋_GB2312"/>
                <w:szCs w:val="28"/>
              </w:rPr>
            </w:pPr>
            <w:r>
              <w:rPr>
                <w:rFonts w:hint="eastAsia" w:ascii="仿宋_GB2312" w:eastAsia="仿宋_GB2312"/>
                <w:szCs w:val="28"/>
              </w:rPr>
              <w:t>技术措施</w:t>
            </w:r>
          </w:p>
        </w:tc>
        <w:tc>
          <w:tcPr>
            <w:tcW w:w="5397" w:type="dxa"/>
            <w:vAlign w:val="center"/>
          </w:tcPr>
          <w:p>
            <w:pPr>
              <w:jc w:val="center"/>
              <w:rPr>
                <w:rFonts w:ascii="仿宋_GB2312" w:eastAsia="仿宋_GB231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379" w:type="dxa"/>
            <w:vMerge w:val="continue"/>
            <w:vAlign w:val="center"/>
          </w:tcPr>
          <w:p>
            <w:pPr>
              <w:jc w:val="center"/>
              <w:rPr>
                <w:rFonts w:ascii="仿宋_GB2312" w:eastAsia="仿宋_GB2312"/>
                <w:szCs w:val="28"/>
              </w:rPr>
            </w:pPr>
          </w:p>
        </w:tc>
        <w:tc>
          <w:tcPr>
            <w:tcW w:w="1740" w:type="dxa"/>
            <w:vAlign w:val="center"/>
          </w:tcPr>
          <w:p>
            <w:pPr>
              <w:jc w:val="center"/>
              <w:rPr>
                <w:rFonts w:ascii="仿宋_GB2312" w:eastAsia="仿宋_GB2312"/>
                <w:szCs w:val="28"/>
              </w:rPr>
            </w:pPr>
            <w:r>
              <w:rPr>
                <w:rFonts w:hint="eastAsia" w:ascii="仿宋_GB2312" w:eastAsia="仿宋_GB2312"/>
                <w:szCs w:val="28"/>
              </w:rPr>
              <w:t>管理措施</w:t>
            </w:r>
          </w:p>
        </w:tc>
        <w:tc>
          <w:tcPr>
            <w:tcW w:w="5397" w:type="dxa"/>
            <w:vAlign w:val="center"/>
          </w:tcPr>
          <w:p>
            <w:pPr>
              <w:jc w:val="center"/>
              <w:rPr>
                <w:rFonts w:ascii="仿宋_GB2312" w:eastAsia="仿宋_GB231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trPr>
        <w:tc>
          <w:tcPr>
            <w:tcW w:w="3119" w:type="dxa"/>
            <w:gridSpan w:val="2"/>
            <w:vAlign w:val="center"/>
          </w:tcPr>
          <w:p>
            <w:pPr>
              <w:jc w:val="center"/>
              <w:rPr>
                <w:rFonts w:ascii="仿宋_GB2312" w:eastAsia="仿宋_GB2312"/>
                <w:szCs w:val="28"/>
              </w:rPr>
            </w:pPr>
            <w:r>
              <w:rPr>
                <w:rFonts w:hint="eastAsia" w:ascii="仿宋_GB2312" w:eastAsia="仿宋_GB2312"/>
                <w:szCs w:val="28"/>
              </w:rPr>
              <w:t>分析评估人员签字</w:t>
            </w:r>
          </w:p>
        </w:tc>
        <w:tc>
          <w:tcPr>
            <w:tcW w:w="5397" w:type="dxa"/>
            <w:vAlign w:val="center"/>
          </w:tcPr>
          <w:p>
            <w:pPr>
              <w:jc w:val="center"/>
              <w:rPr>
                <w:rFonts w:ascii="仿宋_GB2312" w:eastAsia="仿宋_GB231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3119" w:type="dxa"/>
            <w:gridSpan w:val="2"/>
            <w:vAlign w:val="center"/>
          </w:tcPr>
          <w:p>
            <w:pPr>
              <w:jc w:val="center"/>
              <w:rPr>
                <w:rFonts w:ascii="仿宋_GB2312" w:eastAsia="仿宋_GB2312"/>
                <w:szCs w:val="28"/>
              </w:rPr>
            </w:pPr>
            <w:r>
              <w:rPr>
                <w:rFonts w:hint="eastAsia" w:ascii="仿宋_GB2312" w:eastAsia="仿宋_GB2312"/>
                <w:szCs w:val="28"/>
              </w:rPr>
              <w:t>备注</w:t>
            </w:r>
          </w:p>
        </w:tc>
        <w:tc>
          <w:tcPr>
            <w:tcW w:w="5397" w:type="dxa"/>
            <w:vAlign w:val="center"/>
          </w:tcPr>
          <w:p>
            <w:pPr>
              <w:jc w:val="center"/>
              <w:rPr>
                <w:rFonts w:ascii="仿宋_GB2312" w:eastAsia="仿宋_GB2312"/>
                <w:szCs w:val="28"/>
              </w:rPr>
            </w:pPr>
          </w:p>
        </w:tc>
      </w:tr>
    </w:tbl>
    <w:p>
      <w:pPr>
        <w:jc w:val="center"/>
        <w:rPr>
          <w:rFonts w:ascii="仿宋_GB2312" w:eastAsia="仿宋_GB2312"/>
          <w:sz w:val="22"/>
          <w:szCs w:val="32"/>
        </w:rPr>
      </w:pPr>
    </w:p>
    <w:p>
      <w:pPr>
        <w:jc w:val="center"/>
        <w:rPr>
          <w:rFonts w:ascii="仿宋_GB2312" w:eastAsia="仿宋_GB2312"/>
          <w:sz w:val="22"/>
          <w:szCs w:val="32"/>
        </w:rPr>
      </w:pPr>
      <w:r>
        <w:rPr>
          <w:rFonts w:hint="eastAsia" w:ascii="仿宋_GB2312" w:eastAsia="仿宋_GB2312"/>
          <w:sz w:val="22"/>
          <w:szCs w:val="32"/>
        </w:rPr>
        <w:br w:type="page"/>
      </w:r>
    </w:p>
    <w:p>
      <w:pPr>
        <w:pStyle w:val="3"/>
        <w:rPr>
          <w:rFonts w:hint="default"/>
          <w:sz w:val="21"/>
          <w:szCs w:val="28"/>
        </w:rPr>
      </w:pPr>
      <w:bookmarkStart w:id="135" w:name="_Toc11921497"/>
      <w:r>
        <w:rPr>
          <w:sz w:val="21"/>
          <w:szCs w:val="28"/>
        </w:rPr>
        <w:t>设备设施安全隐患排查表</w:t>
      </w:r>
      <w:bookmarkEnd w:id="135"/>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设备设施名称：投料口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仿宋_GB2312"/>
                <w:bCs/>
                <w:sz w:val="16"/>
                <w:szCs w:val="21"/>
              </w:rPr>
              <w:t>无损坏、基础不下沉不开裂、无变形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仿宋_GB2312"/>
                <w:bCs/>
                <w:sz w:val="16"/>
                <w:szCs w:val="21"/>
              </w:rPr>
              <w:t>投料篦子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仿宋_GB2312"/>
                <w:bCs/>
                <w:sz w:val="16"/>
                <w:szCs w:val="21"/>
              </w:rPr>
              <w:t>无损坏、符合规格、无腐蚀、无变形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设备设施名称：皮带秤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无损坏、基础不下沉不开裂、无变形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无损坏、无开焊、无腐蚀、无变形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牢固、齐全、基础完整、无裂纹，无下沉，紧固螺栓完好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皮带秤</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选型正确、托辊转动、传感器信号传输良好、表面清洁、运行良好可靠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应急开关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选型正确、完好可用、无损坏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设备设施名称：运输皮带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无损坏、基础不下沉不开裂、无变形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无损坏、无开焊、无腐蚀、无变形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皮带</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无损坏、托辊转动、传感器信号传输良好、表面清洁、运行良好可靠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应急开关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选型正确、完好可用、无损坏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sz w:val="16"/>
        </w:rPr>
      </w:pPr>
    </w:p>
    <w:p>
      <w:pPr>
        <w:rPr>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设备设施名称：链式破碎机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无损坏、基础不下沉不开裂、无变形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应急开关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选型正确、完好可用、无损坏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链条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链条无损坏、无缺失、按时清理、定时检查</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b/>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设备设施名称：提升机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无损坏、基础不下沉不开裂、无变形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料斗</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料斗无损坏、定时保养维护、定期检修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应急开关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选型正确、完好可用、无损坏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链条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无松动、无损坏、选型正确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b/>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设备设施名称：造粒机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无损坏、基础不下沉不开裂、无变形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应急开关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选型正确、完好可用、无损坏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内衬、挡圈</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气体报警仪</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完好、无泄漏、定期检验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压力表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选型正确、鉴定期内、精度、量程合适、指示正确无泄漏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氨管道保温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管道采取相应的保温隔热措施能有效防止原料温度升高气化</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蒸汽保温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管道采取相应的保温隔热措施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设备设施名称：稀硫酸储罐区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罐体基础不下沉不开裂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罐体防腐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防腐层涂抹均匀不鼓泡不留死角</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罐管线连接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无损坏、焊缝无开裂、无渗漏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罐体符合标准要求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液位计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电机、泵</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设备设施名称：刮板给料机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刮板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刮板无损坏、定时保养维护、定期检修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应急开关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选型正确、完好可用、无损坏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链条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无松动、无损坏、选型正确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b/>
          <w:sz w:val="16"/>
        </w:rPr>
      </w:pPr>
    </w:p>
    <w:p>
      <w:pPr>
        <w:rPr>
          <w:b/>
          <w:sz w:val="16"/>
        </w:rPr>
      </w:pPr>
    </w:p>
    <w:p>
      <w:pPr>
        <w:rPr>
          <w:b/>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设备设施名称：烘干机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温度仪</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击锤</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无损坏、不开焊</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扬板、挡圈</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无缺失、无损坏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设备设施名称：烘干炉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Arial" w:hAnsi="宋体" w:cs="Arial"/>
                <w:sz w:val="16"/>
                <w:szCs w:val="21"/>
              </w:rPr>
              <w:t>炉体</w:t>
            </w:r>
            <w:r>
              <w:rPr>
                <w:rFonts w:ascii="Arial" w:hAnsi="宋体" w:cs="Arial"/>
                <w:sz w:val="16"/>
                <w:szCs w:val="21"/>
              </w:rPr>
              <w:t>耐火完好，无破损</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无损坏、定期维护</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冷却水</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正常不缺水不断流</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温度仪</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设备设施名称：冷却机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扬板、挡圈</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无缺失、无损坏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设备设施名称：筛分机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筛网</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无损坏、尺寸合适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设备设施名称：包膜机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螺旋扑粉</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正常无损坏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设备设施名称：融油缸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罐体无腐蚀</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保温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管道采取相应的保温隔热措施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fldChar w:fldCharType="begin"/>
            </w:r>
            <w:r>
              <w:instrText xml:space="preserve"> HYPERLINK "硫酸罐破裂事故报告.doc" </w:instrText>
            </w:r>
            <w:r>
              <w:fldChar w:fldCharType="separate"/>
            </w:r>
            <w:r>
              <w:rPr>
                <w:rFonts w:hint="eastAsia" w:ascii="仿宋_GB2312"/>
                <w:bCs/>
                <w:sz w:val="16"/>
                <w:szCs w:val="21"/>
              </w:rPr>
              <w:t>焊缝</w:t>
            </w:r>
            <w:r>
              <w:rPr>
                <w:rFonts w:hint="eastAsia" w:ascii="仿宋_GB2312"/>
                <w:bCs/>
                <w:sz w:val="16"/>
                <w:szCs w:val="21"/>
              </w:rPr>
              <w:fldChar w:fldCharType="end"/>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无脱落、无裂缝</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温度仪</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b/>
          <w:sz w:val="16"/>
        </w:rPr>
      </w:pPr>
    </w:p>
    <w:p>
      <w:pPr>
        <w:rPr>
          <w:b/>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设备设施名称：包装机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包装秤</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打钉机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缝包机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设备设施名称：空气压缩机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罐体基础不下沉不开裂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罐体防腐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防腐层涂抹均匀不鼓泡不留死角</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每个储罐设两处接地接地体接触可靠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罐体壁厚</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罐体符合标准要求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fldChar w:fldCharType="begin"/>
            </w:r>
            <w:r>
              <w:instrText xml:space="preserve"> HYPERLINK "硫酸罐破裂事故报告.doc" </w:instrText>
            </w:r>
            <w:r>
              <w:fldChar w:fldCharType="separate"/>
            </w:r>
            <w:r>
              <w:rPr>
                <w:rFonts w:hint="eastAsia" w:ascii="仿宋_GB2312"/>
                <w:bCs/>
                <w:sz w:val="16"/>
                <w:szCs w:val="21"/>
              </w:rPr>
              <w:t>焊缝</w:t>
            </w:r>
            <w:r>
              <w:rPr>
                <w:rFonts w:hint="eastAsia" w:ascii="仿宋_GB2312"/>
                <w:bCs/>
                <w:sz w:val="16"/>
                <w:szCs w:val="21"/>
              </w:rPr>
              <w:fldChar w:fldCharType="end"/>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无脱落、无裂缝</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压力表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选型正确、鉴定期内、精度、量程合适、指示正确无泄漏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系统</w:t>
            </w:r>
          </w:p>
          <w:p>
            <w:pPr>
              <w:jc w:val="left"/>
              <w:rPr>
                <w:rFonts w:ascii="仿宋_GB2312"/>
                <w:bCs/>
                <w:sz w:val="16"/>
                <w:szCs w:val="21"/>
              </w:rPr>
            </w:pPr>
            <w:r>
              <w:rPr>
                <w:rFonts w:hint="eastAsia" w:ascii="仿宋_GB2312"/>
                <w:bCs/>
                <w:sz w:val="16"/>
                <w:szCs w:val="21"/>
              </w:rPr>
              <w:t>操作压力</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小于系统高限操作压力</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安全阀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选型、在鉴定期内、有铅封、前后手阀开、无泄漏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完好、无泄漏、定期检验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自控装置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sz w:val="16"/>
        </w:rPr>
      </w:pPr>
    </w:p>
    <w:p>
      <w:pPr>
        <w:rPr>
          <w:b/>
          <w:sz w:val="16"/>
        </w:rPr>
      </w:pPr>
    </w:p>
    <w:p>
      <w:pPr>
        <w:rPr>
          <w:b/>
          <w:sz w:val="16"/>
        </w:rPr>
      </w:pPr>
    </w:p>
    <w:p>
      <w:pPr>
        <w:rPr>
          <w:b/>
          <w:sz w:val="16"/>
        </w:rPr>
      </w:pPr>
    </w:p>
    <w:p>
      <w:pPr>
        <w:rPr>
          <w:b/>
          <w:sz w:val="16"/>
        </w:rPr>
      </w:pPr>
    </w:p>
    <w:p>
      <w:pPr>
        <w:rPr>
          <w:b/>
          <w:sz w:val="16"/>
        </w:rPr>
      </w:pPr>
    </w:p>
    <w:p>
      <w:pPr>
        <w:rPr>
          <w:b/>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设备设施名称：布袋除尘机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基础不下沉不开裂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防腐层涂抹均匀不鼓泡不留死角</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每个设备设接地，接地体接触可靠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fldChar w:fldCharType="begin"/>
            </w:r>
            <w:r>
              <w:instrText xml:space="preserve"> HYPERLINK "硫酸罐破裂事故报告.doc" </w:instrText>
            </w:r>
            <w:r>
              <w:fldChar w:fldCharType="separate"/>
            </w:r>
            <w:r>
              <w:rPr>
                <w:rFonts w:hint="eastAsia" w:ascii="仿宋_GB2312"/>
                <w:bCs/>
                <w:sz w:val="16"/>
                <w:szCs w:val="21"/>
              </w:rPr>
              <w:t>焊缝</w:t>
            </w:r>
            <w:r>
              <w:rPr>
                <w:rFonts w:hint="eastAsia" w:ascii="仿宋_GB2312"/>
                <w:bCs/>
                <w:sz w:val="16"/>
                <w:szCs w:val="21"/>
              </w:rPr>
              <w:fldChar w:fldCharType="end"/>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无脱落、无裂缝</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压力表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选型正确、鉴定期内、精度、量程合适、指示正确无泄漏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系统</w:t>
            </w:r>
          </w:p>
          <w:p>
            <w:pPr>
              <w:jc w:val="left"/>
              <w:rPr>
                <w:rFonts w:ascii="仿宋_GB2312"/>
                <w:bCs/>
                <w:sz w:val="16"/>
                <w:szCs w:val="21"/>
              </w:rPr>
            </w:pPr>
            <w:r>
              <w:rPr>
                <w:rFonts w:hint="eastAsia" w:ascii="仿宋_GB2312"/>
                <w:bCs/>
                <w:sz w:val="16"/>
                <w:szCs w:val="21"/>
              </w:rPr>
              <w:t>操作压力</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小于系统高限操作压力</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安全阀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选型、在鉴定期内、有铅封、前后手阀开、无泄漏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完好、无泄漏、定期检验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自控装置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设备设施名称：旋风除尘机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基础不下沉不开裂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防腐层涂抹均匀不鼓泡不留死角</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每个设备设接地，接地体接触可靠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fldChar w:fldCharType="begin"/>
            </w:r>
            <w:r>
              <w:instrText xml:space="preserve"> HYPERLINK "硫酸罐破裂事故报告.doc" </w:instrText>
            </w:r>
            <w:r>
              <w:fldChar w:fldCharType="separate"/>
            </w:r>
            <w:r>
              <w:rPr>
                <w:rFonts w:hint="eastAsia" w:ascii="仿宋_GB2312"/>
                <w:bCs/>
                <w:sz w:val="16"/>
                <w:szCs w:val="21"/>
              </w:rPr>
              <w:t>焊缝</w:t>
            </w:r>
            <w:r>
              <w:rPr>
                <w:rFonts w:hint="eastAsia" w:ascii="仿宋_GB2312"/>
                <w:bCs/>
                <w:sz w:val="16"/>
                <w:szCs w:val="21"/>
              </w:rPr>
              <w:fldChar w:fldCharType="end"/>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无脱落、无裂缝</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压力表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选型正确、鉴定期内、精度、量程合适、指示正确无泄漏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系统</w:t>
            </w:r>
          </w:p>
          <w:p>
            <w:pPr>
              <w:jc w:val="left"/>
              <w:rPr>
                <w:rFonts w:ascii="仿宋_GB2312"/>
                <w:bCs/>
                <w:sz w:val="16"/>
                <w:szCs w:val="21"/>
              </w:rPr>
            </w:pPr>
            <w:r>
              <w:rPr>
                <w:rFonts w:hint="eastAsia" w:ascii="仿宋_GB2312"/>
                <w:bCs/>
                <w:sz w:val="16"/>
                <w:szCs w:val="21"/>
              </w:rPr>
              <w:t>操作压力</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小于系统高限操作压力</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安全阀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选型、在鉴定期内、有铅封、前后手阀开、无泄漏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完好、无泄漏、定期检验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自控装置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设备设施名称：氨站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罐体基础不下沉不开裂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罐体防腐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防腐层涂抹均匀不鼓泡不留死角</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静电接地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每个储罐设两处接地接地体接触可靠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保温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管道采取相应的保温隔热措施能有效防止原料温度升高气化</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罐管线连接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采用焊接或法兰连接小于5个螺栓的采取静电跨接</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罐体壁厚</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罐体符合标准要求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fldChar w:fldCharType="begin"/>
            </w:r>
            <w:r>
              <w:instrText xml:space="preserve"> HYPERLINK "硫酸罐破裂事故报告.doc" </w:instrText>
            </w:r>
            <w:r>
              <w:fldChar w:fldCharType="separate"/>
            </w:r>
            <w:r>
              <w:rPr>
                <w:rFonts w:hint="eastAsia" w:ascii="仿宋_GB2312"/>
                <w:bCs/>
                <w:sz w:val="16"/>
                <w:szCs w:val="21"/>
              </w:rPr>
              <w:t>焊缝</w:t>
            </w:r>
            <w:r>
              <w:rPr>
                <w:rFonts w:hint="eastAsia" w:ascii="仿宋_GB2312"/>
                <w:bCs/>
                <w:sz w:val="16"/>
                <w:szCs w:val="21"/>
              </w:rPr>
              <w:fldChar w:fldCharType="end"/>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无脱落、无裂缝</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压力表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选型正确、鉴定期内、精度、量程合适、指示正确无泄漏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系统操作压力</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小于系统高限操作压力</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安全阀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选型、在鉴定期内、有铅封、前后手阀开、无泄漏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紧急切断阀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选型正确、安装好，无泄漏，操作正常使用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液位计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安全通道现场应急照明</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安全通道畅通；现场应急照明好用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避雷网</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完好无破损、按期校验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完好、无泄漏、定期检验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视频监控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选型正确、完好、在用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气防组及消防设施</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完好，可用状态，配置达标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气体报警仪</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静电接地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卸车区设单独接地、接地体接触可靠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压缩机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选型正确、连接可靠、散热性好、无损坏、无腐蚀、无泄漏、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鹤形管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无损坏、无腐蚀、转动可用、选型正确、安装好、无泄漏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电机、泵</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b/>
          <w:sz w:val="16"/>
        </w:rPr>
      </w:pPr>
    </w:p>
    <w:p>
      <w:pPr>
        <w:rPr>
          <w:b/>
          <w:sz w:val="16"/>
        </w:rPr>
      </w:pPr>
    </w:p>
    <w:p>
      <w:pPr>
        <w:rPr>
          <w:b/>
          <w:sz w:val="16"/>
        </w:rPr>
      </w:pPr>
    </w:p>
    <w:p>
      <w:pPr>
        <w:rPr>
          <w:b/>
          <w:sz w:val="16"/>
        </w:rPr>
      </w:pPr>
    </w:p>
    <w:p>
      <w:pPr>
        <w:rPr>
          <w:b/>
          <w:sz w:val="16"/>
        </w:rPr>
      </w:pPr>
    </w:p>
    <w:p>
      <w:pPr>
        <w:rPr>
          <w:b/>
          <w:sz w:val="16"/>
        </w:rPr>
      </w:pPr>
    </w:p>
    <w:p>
      <w:pPr>
        <w:rPr>
          <w:b/>
          <w:sz w:val="16"/>
        </w:rPr>
      </w:pPr>
    </w:p>
    <w:p>
      <w:pPr>
        <w:rPr>
          <w:b/>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设备设施名称：锅炉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6"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罐体基础不下沉不开裂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罐体防腐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防腐层涂抹均匀不鼓泡不留死角</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每个储罐设两处接地接地体接触可靠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罐体壁厚</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罐体符合标准要求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fldChar w:fldCharType="begin"/>
            </w:r>
            <w:r>
              <w:instrText xml:space="preserve"> HYPERLINK "硫酸罐破裂事故报告.doc" </w:instrText>
            </w:r>
            <w:r>
              <w:fldChar w:fldCharType="separate"/>
            </w:r>
            <w:r>
              <w:rPr>
                <w:rFonts w:hint="eastAsia" w:ascii="仿宋_GB2312"/>
                <w:bCs/>
                <w:sz w:val="16"/>
                <w:szCs w:val="21"/>
              </w:rPr>
              <w:t>焊缝</w:t>
            </w:r>
            <w:r>
              <w:rPr>
                <w:rFonts w:hint="eastAsia" w:ascii="仿宋_GB2312"/>
                <w:bCs/>
                <w:sz w:val="16"/>
                <w:szCs w:val="21"/>
              </w:rPr>
              <w:fldChar w:fldCharType="end"/>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无脱落、无裂缝</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安全阀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选型、在鉴定期内、有铅封、前后手阀开、无泄漏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完好、无泄漏、定期检验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炉体防腐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防腐层涂抹均匀不鼓泡不留死角</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每个设备设接地，接地体接触可靠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炉体壁厚</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罐体符合标准要求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压力表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选型正确、鉴定期内、精度、量程合适、指示正确无泄漏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系统操作压力</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小于系统高限操作压力</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8"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自控装置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液位计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气体报警仪</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避雷网</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完好无破损、按期校验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流量计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水处理</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选型正确、安装好，无损坏、可用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燃烧器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选型正确、安装好，无损坏、可用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风机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选型正确、安装好，无损坏、可用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设备设施名称：配电室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无损坏、基础不下沉不开裂、无变形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绝缘板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无损坏、铺设好、选型对</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外壳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无损坏、无腐蚀、接地良好、固定好、材料选型正确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接头</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连接好、无损坏、连接正确、无过热、无漏电</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绕组</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选型正确、无过热、无损坏、无漏电</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瓷瓶</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选型对、无损坏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支架接头</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固定好、连接好、无损坏、连接正确、无过热、无漏电</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控制开关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无损坏、选型正确、连接好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仪表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无损坏、选型正确、连接好，显示正常</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电源线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无破损、绝缘好、连接好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手柄</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无损坏、绝缘好、定期维护</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无损坏、绝缘好、定期维护</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钻头</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无损坏、无裂纹、选型正确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电源线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无破损、绝缘好、连接好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20"/>
                <w:szCs w:val="36"/>
              </w:rPr>
            </w:pPr>
            <w:r>
              <w:rPr>
                <w:rFonts w:hint="eastAsia" w:ascii="仿宋_GB2312"/>
                <w:bCs/>
                <w:sz w:val="20"/>
                <w:szCs w:val="36"/>
              </w:rPr>
              <w:t>磨片</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无损坏、无裂纹、选型正确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20"/>
                <w:szCs w:val="36"/>
              </w:rPr>
              <w:t>移动车轮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无损坏、无漏气、转动灵活、无异响</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电瓶</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选型正确、安装好，无损坏、无漏液、无漏电</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升降支架</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牢固、无损坏、无裂纹紧固螺栓完好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Arial" w:hAnsi="宋体" w:cs="Arial"/>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无损坏、有防滑及护栏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液压器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牢固、无损坏、紧固螺栓完好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控制保护开关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无损坏、选型正确、连接好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变频器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无损坏、选型正确、连接好、运行正常</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工作头</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选型正确、接头长度符合标准、定期检验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绝缘杆</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无损坏、绝缘好、绝缘长度符合标准、定期检验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握柄</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无损坏、绝缘好、定期检验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接地线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无破损、绝缘好、线径符合要求、定期检查</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绝缘棒</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无损坏、无腐蚀、绝缘好、定期检验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20"/>
                <w:szCs w:val="36"/>
              </w:rPr>
              <w:t>高压绝缘手套</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无破损、符合绝缘要求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20"/>
                <w:szCs w:val="36"/>
              </w:rPr>
              <w:t>高压绝缘鞋</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无破损、符合绝缘要求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高压验电笔</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外壳无损坏、绝缘符合标准、选型正确、检验合格</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sz w:val="16"/>
        </w:rPr>
      </w:pPr>
    </w:p>
    <w:p>
      <w:pPr>
        <w:rPr>
          <w:b/>
          <w:sz w:val="16"/>
        </w:rPr>
      </w:pPr>
    </w:p>
    <w:p>
      <w:pPr>
        <w:rPr>
          <w:b/>
          <w:sz w:val="16"/>
        </w:rPr>
      </w:pPr>
    </w:p>
    <w:p>
      <w:pPr>
        <w:rPr>
          <w:b/>
          <w:sz w:val="16"/>
        </w:rPr>
      </w:pPr>
    </w:p>
    <w:p>
      <w:pPr>
        <w:rPr>
          <w:b/>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设备设施名称：维修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罐体基础不下沉不开裂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刀具</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选型正确、安装牢固、无凸起</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钻具</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选型正确、安装牢固、无凸起</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输入线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完好无损坏、线选型正确、连接好、安装漏电保护器、严禁超3米长</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输出线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完好无损坏、线选型正确、连接好、严禁超30米</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搭地线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完好无损坏、连接完好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焊钳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减压流量计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氩气瓶</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固定、瓶体进行年检、无腐蚀、无鼓包、瓶体标准色、</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输送气线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选型正确、无损坏、无泄漏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砂轮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选型正确、安装牢固、无损坏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托架</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固定好、安装好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油缸</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无变形、无鼓包、无腐蚀、无渗漏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液压阀组</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油箱</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无变形、无鼓包、无腐蚀、无渗漏、无损坏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管接头</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选型正确、安装牢固、无损坏、无渗漏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液位计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压力表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密封件</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安装好、无渗漏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罐体基础不下沉不开裂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罐体防腐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防腐层涂抹均匀不鼓泡不留死角</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罐体壁厚</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罐体符合标准要求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fldChar w:fldCharType="begin"/>
            </w:r>
            <w:r>
              <w:instrText xml:space="preserve"> HYPERLINK "file:///D:\\我的文档\\Desktop\\硫酸罐破裂事故报告.doc" </w:instrText>
            </w:r>
            <w:r>
              <w:fldChar w:fldCharType="separate"/>
            </w:r>
            <w:r>
              <w:rPr>
                <w:rFonts w:hint="eastAsia"/>
                <w:sz w:val="16"/>
              </w:rPr>
              <w:t>焊缝</w:t>
            </w:r>
            <w:r>
              <w:rPr>
                <w:rFonts w:hint="eastAsia"/>
                <w:sz w:val="16"/>
              </w:rPr>
              <w:fldChar w:fldCharType="end"/>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无脱落、无裂缝</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压力表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选型正确、鉴定期内、精度、量程合适、指示正确无泄漏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系统操作压力</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小于系统高限操作压力</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安全阀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选型、在鉴定期内、有铅封、前后手阀开、无泄漏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完好、无泄漏、定期检验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自控装置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瓶体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无腐蚀、无鼓包、无损坏、定期检测</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完好、无损坏、无缺失</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割炬</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柜体基础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罐体基础不下沉不开裂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柜体防腐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防腐层涂抹均匀不鼓泡不留死角</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管道壁厚</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罐体符合标准要求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系统操作压力</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小于系统高限操作压力</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自控装置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气体报警仪</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设备设施名称：除尘设施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紧急开关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护栏</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无破损、无变形、焊点完好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震打气锤</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除尘布袋</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关风机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选型正确、线路无破损、螺栓牢固、完好可用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设备设施名称：对辊粉碎机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紧急开关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护栏</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无破损、无变形、焊点完好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皮带</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选型正确、完好可用、无拉滑</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选型正确、线路无破损、完好可用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滚皮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选型正确、表面无破损、无异物</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投料口</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螺栓固定牢固、下料阀转动正常</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设备设施名称：原料区域基础平台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护栏</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无破损、无变形、焊点完好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设备设施名称：搅拌机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搅拌齿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转动轴完好、连接牢固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设备设施名称：反应釜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护栏</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无破损变形、焊点完好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搅拌齿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转动轴完好、连接牢固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无破损、焊接牢固。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b/>
          <w:sz w:val="16"/>
        </w:rPr>
      </w:pPr>
    </w:p>
    <w:p>
      <w:pPr>
        <w:rPr>
          <w:b/>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设备设施名称：成品罐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护栏</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无破损变形、焊点完好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无破损、焊接牢固。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设备设施名称：化工离心泵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基础底座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离心泵体外壳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设备设施名称：Z型提升机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基础底座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震动下料器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无腐蚀、装置平衡、螺栓牢固、线路无破损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提升机链条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无腐蚀、断裂、使用完好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料斗</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提升机外壳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设备设施名称：锥形料仓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护栏</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无破损变形、焊点完好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无破损、焊接牢固。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设备设施名称：水平输料机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输料螺旋</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无变形、连接牢靠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设备设施名称：星型卸料阀机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星型卸料阀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无变形、使用完好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设备设施名称：5D-600灌装机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气阀开关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开关灵活、无泄漏、完好可用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活塞缸</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无泄漏、无变形、密封完好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丝杠</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无变形，无断裂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球形阀门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输送带</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无变形、无损坏、使用完好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灌装阀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无变形、无损坏、密封良好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设备设施名称：送盖机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震动电机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无变形、无损坏、使用完好、线路无破损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输送带</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无变形、无损坏、使用完好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设备设施名称：自动旋盖机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输送带</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无变形、无损坏、使用完好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凸轮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取盖器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旋盖器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b/>
          <w:sz w:val="16"/>
        </w:rPr>
      </w:pPr>
    </w:p>
    <w:p>
      <w:pPr>
        <w:rPr>
          <w:b/>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设备设施名称：自动贴标机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输送带</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无变形、无损坏、使用完好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送料盘</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设备设施名称：8-180自动包装机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凸轮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烫块</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剪刀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虚切伦</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夹带滑车</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料斗</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无损伤、密封严密</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搅拌电机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线路无破损、安装正常、正常使用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计量螺旋</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无腐蚀、无损伤，安装正常</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设备设施名称：8-200自动包装机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凸轮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烫块</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托带盘</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吸盘式上带器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无变形、无漏气</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料斗</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无损伤、密封严密</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搅拌电机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线路无破损、安装正常、正常使用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计量螺旋</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无腐蚀、无损伤，安装正常</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旋转盘</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无腐蚀、使用正常</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固袋夹</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无腐蚀、无损毁使用正常</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设备设施名称：8-350自动包装机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凸轮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烫块</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托带盘</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吸盘式上带器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无变形、无漏气</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旋转盘</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无腐蚀、使用正常</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固袋夹</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无腐蚀、无损毁使用正常</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设备设施名称：双头称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料斗</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设备设施名称：螺杆式空压机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散热片</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无损毁、无腐蚀</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风扇</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无损毁、无腐蚀、使用完好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设备设施名称：压缩空气储罐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地面无凹陷、无变形、焊接牢靠、螺栓牢固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无腐蚀、无损伤</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手动排水阀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阀门灵活、无泄漏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手动排气阀门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阀门灵活、无泄漏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设备设施名称：冷干机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散热片</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无损毁、无腐蚀</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风扇</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无损毁、无腐蚀、使用完好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油滤装置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无损毁、无腐蚀、使用完好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阀门灵活、无漏气</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设备设施名称：灭火器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瓶体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无腐蚀、无鼓包、无损坏、定期检测</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压力表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指示灵敏、无损坏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喷嘴、喷管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完好、无损坏、无缺失</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干粉</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定期罐充、</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手柄</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设备设施名称：消火栓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无下沉、无开裂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栓体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无损坏、无腐蚀</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卡口</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完好、无损坏、无缺失</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水龙带</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完好、无损坏、折叠好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枪头</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完好、无破损、无缺失</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设备设施名称：消防炮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无下沉、无开裂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栓体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无损坏、无腐蚀</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卡口</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完好、无损坏、无缺失</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枪头</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完好、无破损、无缺失</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b/>
          <w:sz w:val="16"/>
        </w:rPr>
      </w:pPr>
    </w:p>
    <w:p>
      <w:pPr>
        <w:rPr>
          <w:b/>
          <w:sz w:val="16"/>
        </w:rPr>
      </w:pPr>
    </w:p>
    <w:p>
      <w:pPr>
        <w:rPr>
          <w:b/>
          <w:sz w:val="16"/>
        </w:rPr>
      </w:pPr>
    </w:p>
    <w:p>
      <w:pPr>
        <w:rPr>
          <w:b/>
          <w:sz w:val="16"/>
        </w:rPr>
      </w:pPr>
    </w:p>
    <w:p>
      <w:pPr>
        <w:rPr>
          <w:b/>
          <w:sz w:val="16"/>
        </w:rPr>
      </w:pPr>
    </w:p>
    <w:p>
      <w:pPr>
        <w:rPr>
          <w:b/>
          <w:sz w:val="16"/>
        </w:rPr>
      </w:pPr>
    </w:p>
    <w:p>
      <w:pPr>
        <w:rPr>
          <w:b/>
          <w:sz w:val="16"/>
        </w:rPr>
      </w:pPr>
    </w:p>
    <w:p>
      <w:pPr>
        <w:rPr>
          <w:b/>
          <w:sz w:val="16"/>
        </w:rPr>
      </w:pPr>
    </w:p>
    <w:p>
      <w:pPr>
        <w:rPr>
          <w:b/>
          <w:sz w:val="16"/>
        </w:rPr>
      </w:pPr>
    </w:p>
    <w:p>
      <w:pPr>
        <w:rPr>
          <w:b/>
          <w:sz w:val="16"/>
        </w:rPr>
      </w:pPr>
    </w:p>
    <w:p>
      <w:pPr>
        <w:jc w:val="center"/>
        <w:rPr>
          <w:rFonts w:ascii="仿宋_GB2312" w:eastAsia="仿宋_GB2312"/>
          <w:sz w:val="22"/>
          <w:szCs w:val="32"/>
        </w:rPr>
      </w:pPr>
    </w:p>
    <w:p>
      <w:pPr>
        <w:jc w:val="center"/>
        <w:rPr>
          <w:rFonts w:ascii="仿宋_GB2312" w:eastAsia="仿宋_GB2312"/>
          <w:sz w:val="22"/>
          <w:szCs w:val="32"/>
        </w:rPr>
      </w:pPr>
    </w:p>
    <w:p>
      <w:pPr>
        <w:jc w:val="center"/>
        <w:rPr>
          <w:rFonts w:ascii="仿宋_GB2312" w:eastAsia="仿宋_GB2312"/>
          <w:sz w:val="22"/>
          <w:szCs w:val="32"/>
        </w:rPr>
      </w:pPr>
    </w:p>
    <w:p>
      <w:pPr>
        <w:jc w:val="center"/>
        <w:rPr>
          <w:rFonts w:ascii="仿宋_GB2312" w:eastAsia="仿宋_GB2312"/>
          <w:sz w:val="22"/>
          <w:szCs w:val="32"/>
        </w:rPr>
      </w:pPr>
    </w:p>
    <w:p>
      <w:pPr>
        <w:jc w:val="center"/>
        <w:rPr>
          <w:rFonts w:ascii="仿宋_GB2312" w:eastAsia="仿宋_GB2312"/>
          <w:sz w:val="22"/>
          <w:szCs w:val="32"/>
        </w:rPr>
      </w:pPr>
    </w:p>
    <w:p>
      <w:pPr>
        <w:jc w:val="center"/>
        <w:rPr>
          <w:rFonts w:ascii="仿宋_GB2312" w:eastAsia="仿宋_GB2312"/>
          <w:sz w:val="22"/>
          <w:szCs w:val="32"/>
        </w:rPr>
      </w:pPr>
    </w:p>
    <w:p>
      <w:pPr>
        <w:jc w:val="center"/>
        <w:rPr>
          <w:rFonts w:ascii="仿宋_GB2312" w:eastAsia="仿宋_GB2312"/>
          <w:sz w:val="22"/>
          <w:szCs w:val="32"/>
        </w:rPr>
      </w:pPr>
    </w:p>
    <w:p>
      <w:pPr>
        <w:jc w:val="center"/>
        <w:rPr>
          <w:rFonts w:ascii="仿宋_GB2312" w:eastAsia="仿宋_GB2312"/>
          <w:sz w:val="22"/>
          <w:szCs w:val="32"/>
        </w:rPr>
      </w:pPr>
    </w:p>
    <w:p>
      <w:pPr>
        <w:jc w:val="center"/>
        <w:rPr>
          <w:rFonts w:ascii="仿宋_GB2312" w:eastAsia="仿宋_GB2312"/>
          <w:sz w:val="22"/>
          <w:szCs w:val="32"/>
        </w:rPr>
      </w:pPr>
    </w:p>
    <w:p>
      <w:pPr>
        <w:rPr>
          <w:rFonts w:ascii="仿宋_GB2312" w:eastAsia="仿宋_GB2312"/>
          <w:sz w:val="22"/>
          <w:szCs w:val="32"/>
        </w:rPr>
      </w:pPr>
    </w:p>
    <w:tbl>
      <w:tblPr>
        <w:tblStyle w:val="11"/>
        <w:tblpPr w:leftFromText="180" w:rightFromText="180" w:vertAnchor="text" w:horzAnchor="page" w:tblpX="679" w:tblpY="1618"/>
        <w:tblOverlap w:val="never"/>
        <w:tblW w:w="10772" w:type="dxa"/>
        <w:tblInd w:w="0" w:type="dxa"/>
        <w:tblLayout w:type="fixed"/>
        <w:tblCellMar>
          <w:top w:w="15" w:type="dxa"/>
          <w:left w:w="15" w:type="dxa"/>
          <w:bottom w:w="15" w:type="dxa"/>
          <w:right w:w="15" w:type="dxa"/>
        </w:tblCellMar>
      </w:tblPr>
      <w:tblGrid>
        <w:gridCol w:w="1604"/>
        <w:gridCol w:w="2816"/>
        <w:gridCol w:w="2815"/>
        <w:gridCol w:w="1066"/>
        <w:gridCol w:w="2471"/>
      </w:tblGrid>
      <w:tr>
        <w:tblPrEx>
          <w:tblCellMar>
            <w:top w:w="15" w:type="dxa"/>
            <w:left w:w="15" w:type="dxa"/>
            <w:bottom w:w="15" w:type="dxa"/>
            <w:right w:w="15" w:type="dxa"/>
          </w:tblCellMar>
        </w:tblPrEx>
        <w:trPr>
          <w:trHeight w:val="450" w:hRule="atLeast"/>
        </w:trPr>
        <w:tc>
          <w:tcPr>
            <w:tcW w:w="107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rPr>
                <w:rFonts w:hint="default" w:ascii="黑体" w:eastAsia="黑体" w:cs="黑体"/>
                <w:b w:val="0"/>
                <w:color w:val="000000"/>
                <w:sz w:val="24"/>
              </w:rPr>
            </w:pPr>
            <w:bookmarkStart w:id="136" w:name="_Toc11921498"/>
            <w:r>
              <w:rPr>
                <w:sz w:val="21"/>
                <w:szCs w:val="28"/>
              </w:rPr>
              <w:t>作业活动安全排查表</w:t>
            </w:r>
            <w:bookmarkEnd w:id="136"/>
          </w:p>
        </w:tc>
      </w:tr>
      <w:tr>
        <w:trPr>
          <w:trHeight w:val="286" w:hRule="atLeast"/>
        </w:trPr>
        <w:tc>
          <w:tcPr>
            <w:tcW w:w="107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000000"/>
                <w:sz w:val="18"/>
                <w:szCs w:val="22"/>
              </w:rPr>
            </w:pPr>
            <w:r>
              <w:rPr>
                <w:rFonts w:hint="eastAsia" w:ascii="宋体" w:hAnsi="宋体" w:eastAsia="宋体" w:cs="宋体"/>
                <w:b/>
                <w:color w:val="000000"/>
                <w:kern w:val="0"/>
                <w:sz w:val="18"/>
                <w:szCs w:val="22"/>
                <w:lang w:bidi="ar"/>
              </w:rPr>
              <w:t>检查日期：                                                                     检查人员：</w:t>
            </w:r>
          </w:p>
        </w:tc>
      </w:tr>
      <w:tr>
        <w:tblPrEx>
          <w:tblCellMar>
            <w:top w:w="15" w:type="dxa"/>
            <w:left w:w="15" w:type="dxa"/>
            <w:bottom w:w="15" w:type="dxa"/>
            <w:right w:w="15" w:type="dxa"/>
          </w:tblCellMar>
        </w:tblPrEx>
        <w:trPr>
          <w:trHeight w:val="403" w:hRule="atLeast"/>
        </w:trPr>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000000"/>
                <w:sz w:val="22"/>
                <w:szCs w:val="32"/>
              </w:rPr>
            </w:pPr>
            <w:r>
              <w:rPr>
                <w:rFonts w:hint="eastAsia" w:ascii="宋体" w:hAnsi="宋体" w:eastAsia="宋体" w:cs="宋体"/>
                <w:b/>
                <w:color w:val="000000"/>
                <w:kern w:val="0"/>
                <w:sz w:val="22"/>
                <w:szCs w:val="32"/>
                <w:lang w:bidi="ar"/>
              </w:rPr>
              <w:t>设备设施及作业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2"/>
                <w:szCs w:val="32"/>
              </w:rPr>
            </w:pPr>
            <w:r>
              <w:rPr>
                <w:rFonts w:hint="eastAsia" w:ascii="宋体" w:hAnsi="宋体" w:eastAsia="宋体" w:cs="宋体"/>
                <w:b/>
                <w:color w:val="000000"/>
                <w:kern w:val="0"/>
                <w:sz w:val="22"/>
                <w:szCs w:val="32"/>
                <w:lang w:bidi="ar"/>
              </w:rPr>
              <w:t>检查项目</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2"/>
                <w:szCs w:val="32"/>
              </w:rPr>
            </w:pPr>
            <w:r>
              <w:rPr>
                <w:rFonts w:hint="eastAsia" w:ascii="宋体" w:hAnsi="宋体" w:eastAsia="宋体" w:cs="宋体"/>
                <w:b/>
                <w:color w:val="000000"/>
                <w:kern w:val="0"/>
                <w:sz w:val="22"/>
                <w:szCs w:val="32"/>
                <w:lang w:bidi="ar"/>
              </w:rPr>
              <w:t>不符合标准</w:t>
            </w:r>
            <w:r>
              <w:rPr>
                <w:rFonts w:hint="eastAsia" w:ascii="宋体" w:hAnsi="宋体" w:eastAsia="宋体" w:cs="宋体"/>
                <w:b/>
                <w:color w:val="000000"/>
                <w:kern w:val="0"/>
                <w:sz w:val="22"/>
                <w:szCs w:val="32"/>
                <w:lang w:bidi="ar"/>
              </w:rPr>
              <w:br w:type="textWrapping"/>
            </w:r>
            <w:r>
              <w:rPr>
                <w:rFonts w:hint="eastAsia" w:ascii="宋体" w:hAnsi="宋体" w:eastAsia="宋体" w:cs="宋体"/>
                <w:b/>
                <w:color w:val="000000"/>
                <w:kern w:val="0"/>
                <w:sz w:val="22"/>
                <w:szCs w:val="32"/>
                <w:lang w:bidi="ar"/>
              </w:rPr>
              <w:t>情况及后果</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2"/>
                <w:szCs w:val="32"/>
              </w:rPr>
            </w:pPr>
            <w:r>
              <w:rPr>
                <w:rFonts w:hint="eastAsia" w:ascii="宋体" w:hAnsi="宋体" w:eastAsia="宋体" w:cs="宋体"/>
                <w:b/>
                <w:color w:val="000000"/>
                <w:kern w:val="0"/>
                <w:sz w:val="22"/>
                <w:szCs w:val="32"/>
                <w:lang w:bidi="ar"/>
              </w:rPr>
              <w:t>危险等级</w:t>
            </w: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000000"/>
                <w:sz w:val="22"/>
                <w:szCs w:val="32"/>
              </w:rPr>
            </w:pPr>
            <w:r>
              <w:rPr>
                <w:rFonts w:hint="eastAsia" w:ascii="宋体" w:hAnsi="宋体" w:eastAsia="宋体" w:cs="宋体"/>
                <w:b/>
                <w:color w:val="000000"/>
                <w:kern w:val="0"/>
                <w:sz w:val="22"/>
                <w:szCs w:val="32"/>
                <w:lang w:bidi="ar"/>
              </w:rPr>
              <w:t>整改措施</w:t>
            </w: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卸液氨及巡检</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是否有专人接车、是否是双人过磅、是否检查证件</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检查车辆是否超速、人员是否远离车辆</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6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检查人员是否穿戴好耐酸碱手套、防毒面罩及防静电分装</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确认车辆是否熄火，是否用楔木固定防止溜滑</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检查是否切换阀门</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卸车是否连接静电接地</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是否安装卸车鹤管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卸车时是否巡检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检查气相接收</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卸车完毕后是否及时正确的拆卸鹤管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卸硫酸及巡检</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是否有专人接车、是否是双人过磅、是否检查证件</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检查车辆是否超速、人员是否远离车辆</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0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检查人员是否穿戴好耐酸碱手套、防毒面罩及防静电分装</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确认车辆是否熄火，是否用楔木固定防止溜滑</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是否正确连接卸车管线</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卸车是否连接静电接地</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卸车时是否巡检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卸车完毕后是否及时正确的拆卸鹤管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投料岗位</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领取原料品种是否符合</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输送人员是否持有驾驶执照、车辆是否进行检查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挂好钩后手扶吊钩、人员和车辆是否保持有效距离</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286"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爬高时是否正确的采用工具进行登高</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物料码放是否超过2个高</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585"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网兜小绳是否及时回收</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割口刀尖是否过长、刀具放置是否得当</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砸料大锤是否进行检查、锤头是否有脱落风险</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设备清理是否停机挂牌、是否办理票证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设备是否按时进行巡检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成品包装岗位</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开车前是否进行设备检查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45"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装包人员是否遵守工作规范、是否进行质量检查、散落产品是否及时清理</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封口人员操作时是否距离封口机过近</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6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封包机工作是否正常、封口时人员是否保持合适距离</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是否按时进行巡检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286"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叉车驾驶岗位</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开车前是否对车辆进行检查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93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叉车驾驶时是否存在速度过快、无证驾驶、酒后驾驶、疲劳驾驶、违规载人、车辆带病作业情况</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物料码放时是否过高</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72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苫盖时是否执行篷布规范叠法、是否使用爬梯登高</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是否按时进行巡检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开停车</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开车前是否对设备进行检查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重设备是否进行盘车、盘车转数是否充足</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555"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开机时是否鸣笛警示</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735"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单机开车时现场是否确认、人员是否过多、单机试车时时间是否足够</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81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联动开车时是否采用倒序开车、开车时设备开启间隔时间是否足够、设备开启后是否进行设备检查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0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停车前是否进行通知并鸣笛警示、是否按正顺序停车、停车时是否检查各岗位状态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紧急停车</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紧急停车时是否鸣笛警示</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78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停车时是否关闭阀门、检查阀门是否内漏、司炉岗位是否关闭热风炉、是否配置冷风降温、防结岗位是否停止加入油和粉</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造粒岗位</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风机是否开启</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开车是否进行设备排查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蒸汽管线是否疏水</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是否及时吹扫造粒氨管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15"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是否存在无蒸汽、液氨或者液氨、蒸汽过大现象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给料是否存在无料或料少现象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57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造粒岗位人员是否离岗，液氨、硫酸配比是否均匀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清理时是否停机挂牌、进行置换、办理票证、安排监护人</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是否按时进行巡检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洗涤岗位</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15"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开车前是否进行设备排查，检查洗涤水是否杂物</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手动盘车时是否断电挂牌</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286"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检查洗涤水的水位是否正常</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9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压滤机压力是否正常、清理时是否断电挂牌、压滤时是否给水</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是否按时进行巡检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硫脲配置岗位</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开车前是否进行设备排查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配置硫脲的顺序和比例是否正确</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短期、长期、紧急停车流程是否规范</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开启、关闭换热器的操作是否规范正确</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设备停止后是否间隔15分钟进行管道吹扫</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管线清理顺序是否正确</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是否按时进行巡检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司炉岗位</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开车前是否进行设备检查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点炉时是否使用长杆点火器</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加煤是否适量</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升温时温度是否过高</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3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出渣时是否佩戴面罩、炉渣是否浇灭后分次进行、煤渣是否定点放置</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推煤是否过多</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是否按时进行巡检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卫生防结岗位</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开车前是否进行设备检查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蒸汽开启是否过大</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温度是否超过85度</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6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块油加入时是否进行分割、加入量是否过大、是否存在断油现象、油型号是否正确</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7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加入防结粉时线头内衬是否进行清理、加入时手是否深入设备内部、粉型号是否正确、是否存在断粉现象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3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卫生清理时是否断电停电挂牌、登高时是否办理登高票证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除尘</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开车前是否进行设备排查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吊装作业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作业前是否准备、是否明确作业内容并告知相关单位和人员</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吊装前是否准备，是否检查吊装车辆，是否培训吊装作业人员、是否检查作业工具，是否配备劳动防护用品。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是否办理吊装作业证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是否有专业人员负责安全监护</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现场是否有专业人员指挥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54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吊装结束是否后清理场地</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动火作业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动火人员是否确定工作场所状况及动火内容</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动火作业人员是否经过培训、是否能够完成任务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设备是否按规定摆放，是否采用安全、防爆电源，使用工具是否合适</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动火前确定工作区域是否安全</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动火作业中时候定期进行检查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动火作业后工具是否及时整理、高热物是否及时冷却</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动土作业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是否确定动土区域的情况</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选择进入的作业人员是否合适</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人员是否配备防护用品并装配通讯设备</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是否办理《动土作业许可证》;若在受限空间作业，还须办理进入作业许可证。</w:t>
            </w:r>
            <w:r>
              <w:rPr>
                <w:rFonts w:hint="eastAsia" w:ascii="宋体" w:hAnsi="宋体" w:eastAsia="宋体" w:cs="宋体"/>
                <w:color w:val="000000"/>
                <w:kern w:val="0"/>
                <w:sz w:val="18"/>
                <w:szCs w:val="22"/>
                <w:lang w:bidi="ar"/>
              </w:rPr>
              <w:br w:type="textWrapping"/>
            </w:r>
            <w:r>
              <w:rPr>
                <w:rFonts w:hint="eastAsia" w:ascii="宋体" w:hAnsi="宋体" w:eastAsia="宋体" w:cs="宋体"/>
                <w:color w:val="000000"/>
                <w:kern w:val="0"/>
                <w:sz w:val="18"/>
                <w:szCs w:val="22"/>
                <w:lang w:bidi="ar"/>
              </w:rPr>
              <w:t>动土前必须测量EX/OX。</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人员可能跌落的地方，是否设立足够的保护栏杆和适当的标志。确认采用的安全防护措施是否有效。</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受限区域外是否有专人监护、是否强制通风、作业时是否不间断地测试气体。</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短路作业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是否明确断路作业内容</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是否设置安全警示标志，夜间是否设置警示灯</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是否申请许可证，警示标志等安全措施设置是否合理，</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现场是否有专人指挥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作业结束后是否及时清理道路并核销申请单</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高处作业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是否确定作业位置及其情况</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220"/>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操作人员、安全员是否安全培训并持证上岗且有较高高空作业经验,作业期间身体状态是否良好、情绪稳定。</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作业前现场是否分析作业风险及防护措施</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人员是否配备防护用品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现场是否做好防护措施</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高处作业时操作是否规范、作业现场是否设立警戒标志及拉警戒线</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作业完成后是否及时拆除脚手脚、临时搭建及临时用电；清理现场时是否清点随带工具及物品。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锅炉</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准备阶段时是否检查管道、阀门、手孔、火砖墙、炉烘、燃烧通风设备及安全附件</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点火时是否开启循环泵并打开排气扇、操作人员是否接触明火、是否存在升温过快及不遵守升温曲线现象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锅炉运行时是否按时、按量投煤;司炉是否正确控制燃烧系统；操作人员是否接触煤渣；是否检查温度、压力、液位、循环量；是否检查阀门、管道及锅炉附属设备</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停炉时是否降低负荷；压力表将为0时，是否打开炉门、灰门、烟道挡板；是否用蒸汽冲洗清除焦垢和杂质等；是否及时关停循环油泵</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受限空间作业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是否使用通风设备、作业人员是否佩戴防护用品、是否办理相关进入受限空间手续。</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是否明确本岗位操作人员，至少三人以上参加工作；是否明确作业负责人，交待安全注意事项</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准备进入时是否确认采用的安全防护措施有效</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受限区域外是否有专人监护；作业是否使用不间断可燃气及氧气探测器。</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作业后是否及时清理工作区域</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临时用电作业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作业前是否明确作业位置及其情况；在存在易燃易爆气体的场所用电，用电前是否测试EX/OX</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临时用电是否由我公司的电气操作人员接送控制；电工是否持证上岗。</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电源插座是否防爆；电线是否带橡胶套且无破裂</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是否设定警示区域，竖立警示标志，严格控制车辆的进出路线。</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临时用电是否设监护人，监护人是否坚守岗位；在易燃易爆场所，是否采用防爆电器；临时用电作业所使用的工具、材料、零件等是否装入工具袋；是否存在雨天临时用电作业现象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盲板抽堵作业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是否保证管线中无产品或有余料但有做安全防护措施；管线是否存在压力；在管线盲板抽堵处下方是否装置容器</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本岗位操作人员，危化品是否有相应操作证；操作人员与安全员作业前是否预先教育学习；操作人员身体状态是否良好、情绪稳定。</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是否配备防护用品、现场是否做好安全措施</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Style w:val="35"/>
                <w:rFonts w:hint="default"/>
                <w:sz w:val="18"/>
                <w:lang w:bidi="ar"/>
              </w:rPr>
              <w:t>是否提前了解管线内介质应现化性并做防护措施；</w:t>
            </w:r>
            <w:r>
              <w:rPr>
                <w:rStyle w:val="36"/>
                <w:rFonts w:hint="default"/>
                <w:sz w:val="18"/>
                <w:lang w:bidi="ar"/>
              </w:rPr>
              <w:t>盲板与垫片材质是否符合对应</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是否有足够回收管线泄漏出的残余物料；堵盲板时是否在法兰间加装垫片并仔细检查每个螺丝松紧程度；现场安全员不能离现场，抽堵时是否有防夹措施，有相应硬物做垫；作业现场是否设警戒线。</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作业后是否及时清理现场，回收处理好残余物料；是否填写相关记录并通知相关部门；是否办理交付使用手续。</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高压柜送电</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工作人员是否正确穿戴防护用品、是否进行安全及技能培训；确认高压电是否正常</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接地刀锁是否损坏、是否打开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工作人员操作流程是否正确、规范</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开关锁是否损坏、是否打开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高压柜断电</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工作人员是否正确穿戴防护用品、是否进行安全及技能培训</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工作人员操作流程是否正确、规范</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是否检查高压试电器</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接地刀锁是否损坏、是否关闭</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是否锁上开关锁并挂上“禁止合闸”警示牌</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低压柜送电</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工作人员是否正确穿戴防护用品、是否进行安全及技能培训；确认高压电是否正常</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接地刀锁是否损坏、是否打开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工作人员操作流程是否正确、规范</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开关锁是否损坏、是否打开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低压柜断电</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工作人员是否正确穿戴防护用品、是否进行安全及技能培训</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工作人员操作流程是否正确、规范</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是否检查高压试电器</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接地刀锁是否损坏、是否关闭</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是否锁上开关锁并挂上“禁止合闸”警示牌</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设备检修作业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是否明确检修内容，是否做好检修分工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检修前是否向EHS部申批检维修作业证；是否做好管道、设备的清洗、置换、吹扫工作</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是否向维修班和EHS部申请检修</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是否制定检修计划；检修人员是否经过培训并配置劳动防护用品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是否安排专人监护</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作业后是否及时恢复现场，清理地面及油污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bl>
    <w:p>
      <w:pPr>
        <w:rPr>
          <w:rFonts w:ascii="仿宋_GB2312" w:eastAsia="仿宋_GB2312"/>
          <w:sz w:val="22"/>
          <w:szCs w:val="32"/>
        </w:rPr>
      </w:pPr>
    </w:p>
    <w:p>
      <w:pPr>
        <w:rPr>
          <w:rFonts w:ascii="仿宋_GB2312" w:eastAsia="仿宋_GB2312"/>
          <w:sz w:val="22"/>
          <w:szCs w:val="32"/>
        </w:rPr>
      </w:pPr>
    </w:p>
    <w:p>
      <w:pPr>
        <w:rPr>
          <w:rFonts w:ascii="仿宋_GB2312" w:eastAsia="仿宋_GB2312"/>
          <w:sz w:val="22"/>
          <w:szCs w:val="32"/>
        </w:rPr>
      </w:pPr>
    </w:p>
    <w:p>
      <w:pPr>
        <w:tabs>
          <w:tab w:val="center" w:pos="4150"/>
        </w:tabs>
        <w:bidi w:val="0"/>
        <w:jc w:val="left"/>
        <w:rPr>
          <w:lang w:val="en-US" w:eastAsia="zh-CN"/>
        </w:rPr>
        <w:sectPr>
          <w:footerReference r:id="rId7" w:type="default"/>
          <w:pgSz w:w="11906" w:h="16838"/>
          <w:pgMar w:top="1440" w:right="1803" w:bottom="1440" w:left="1803" w:header="851" w:footer="992" w:gutter="0"/>
          <w:pgBorders w:offsetFrom="page">
            <w:top w:val="single" w:color="auto" w:sz="4" w:space="24"/>
            <w:left w:val="single" w:color="auto" w:sz="4" w:space="24"/>
            <w:bottom w:val="single" w:color="auto" w:sz="4" w:space="24"/>
            <w:right w:val="single" w:color="auto" w:sz="4" w:space="24"/>
          </w:pgBorders>
          <w:cols w:space="0" w:num="1"/>
          <w:docGrid w:type="lines" w:linePitch="319" w:charSpace="0"/>
        </w:sectPr>
      </w:pPr>
    </w:p>
    <w:p>
      <w:pPr>
        <w:jc w:val="center"/>
        <w:rPr>
          <w:rFonts w:ascii="仿宋_GB2312" w:eastAsia="仿宋_GB2312"/>
          <w:sz w:val="22"/>
          <w:szCs w:val="32"/>
        </w:rPr>
      </w:pPr>
    </w:p>
    <w:p>
      <w:pPr>
        <w:jc w:val="center"/>
        <w:rPr>
          <w:rFonts w:ascii="黑体" w:eastAsia="黑体"/>
          <w:b/>
          <w:bCs/>
          <w:sz w:val="22"/>
        </w:rPr>
      </w:pPr>
      <w:r>
        <w:rPr>
          <w:rFonts w:hint="eastAsia" w:ascii="黑体" w:eastAsia="黑体"/>
          <w:b/>
          <w:bCs/>
          <w:sz w:val="22"/>
        </w:rPr>
        <w:t>xx有限公司安全检查表</w:t>
      </w:r>
    </w:p>
    <w:p>
      <w:pPr>
        <w:jc w:val="center"/>
        <w:rPr>
          <w:rFonts w:ascii="黑体" w:eastAsia="黑体"/>
          <w:b/>
          <w:bCs/>
          <w:sz w:val="22"/>
        </w:rPr>
      </w:pPr>
      <w:r>
        <w:rPr>
          <w:rFonts w:hint="eastAsia" w:ascii="黑体" w:eastAsia="黑体"/>
          <w:b/>
          <w:bCs/>
          <w:sz w:val="22"/>
        </w:rPr>
        <w:t>（附录E）</w:t>
      </w:r>
    </w:p>
    <w:p>
      <w:pPr>
        <w:pStyle w:val="3"/>
        <w:jc w:val="center"/>
        <w:rPr>
          <w:rFonts w:hint="default"/>
          <w:sz w:val="21"/>
          <w:szCs w:val="28"/>
        </w:rPr>
      </w:pPr>
      <w:bookmarkStart w:id="137" w:name="_Toc11921499"/>
      <w:r>
        <w:rPr>
          <w:sz w:val="21"/>
          <w:szCs w:val="28"/>
        </w:rPr>
        <w:t>公司级安全检查表</w:t>
      </w:r>
      <w:bookmarkEnd w:id="137"/>
    </w:p>
    <w:p>
      <w:pPr>
        <w:rPr>
          <w:rFonts w:ascii="宋体" w:hAnsi="宋体"/>
          <w:sz w:val="16"/>
          <w:szCs w:val="21"/>
        </w:rPr>
      </w:pPr>
      <w:r>
        <w:rPr>
          <w:rFonts w:hint="eastAsia" w:ascii="宋体" w:hAnsi="宋体"/>
          <w:sz w:val="16"/>
          <w:szCs w:val="21"/>
        </w:rPr>
        <w:t>检查人：                                                                                      检查时间：</w:t>
      </w:r>
    </w:p>
    <w:tbl>
      <w:tblPr>
        <w:tblStyle w:val="11"/>
        <w:tblW w:w="157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34"/>
        <w:gridCol w:w="9926"/>
        <w:gridCol w:w="1276"/>
        <w:gridCol w:w="708"/>
        <w:gridCol w:w="1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75"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p>
          <w:p>
            <w:pPr>
              <w:jc w:val="center"/>
              <w:rPr>
                <w:rFonts w:ascii="宋体" w:hAnsi="宋体"/>
                <w:sz w:val="16"/>
                <w:szCs w:val="21"/>
              </w:rPr>
            </w:pPr>
            <w:r>
              <w:rPr>
                <w:rFonts w:hint="eastAsia" w:ascii="宋体" w:hAnsi="宋体"/>
                <w:sz w:val="16"/>
                <w:szCs w:val="21"/>
              </w:rPr>
              <w:t>目的</w:t>
            </w:r>
          </w:p>
        </w:tc>
        <w:tc>
          <w:tcPr>
            <w:tcW w:w="15030" w:type="dxa"/>
            <w:gridSpan w:val="5"/>
            <w:tcBorders>
              <w:top w:val="single" w:color="auto" w:sz="4" w:space="0"/>
              <w:left w:val="single" w:color="auto" w:sz="4" w:space="0"/>
              <w:bottom w:val="single" w:color="auto" w:sz="4" w:space="0"/>
              <w:right w:val="single" w:color="auto" w:sz="4" w:space="0"/>
            </w:tcBorders>
          </w:tcPr>
          <w:p>
            <w:pPr>
              <w:ind w:firstLine="320" w:firstLineChars="200"/>
              <w:rPr>
                <w:rFonts w:ascii="宋体" w:hAnsi="宋体"/>
                <w:sz w:val="16"/>
                <w:szCs w:val="21"/>
              </w:rPr>
            </w:pPr>
            <w:r>
              <w:rPr>
                <w:rFonts w:hint="eastAsia" w:ascii="宋体" w:hAnsi="宋体"/>
                <w:sz w:val="16"/>
                <w:szCs w:val="21"/>
              </w:rPr>
              <w:t>对生产过程中可能存在的危险因素、缺陷等进行查证，查找不安全行为、危险因素或缺陷存在状态、以及它们转化为事故的条件，制定整改措施，消除或控制隐患，确保达到安全生产要求。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75"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要求</w:t>
            </w:r>
          </w:p>
        </w:tc>
        <w:tc>
          <w:tcPr>
            <w:tcW w:w="15030" w:type="dxa"/>
            <w:gridSpan w:val="5"/>
            <w:tcBorders>
              <w:top w:val="single" w:color="auto" w:sz="4" w:space="0"/>
              <w:left w:val="single" w:color="auto" w:sz="4" w:space="0"/>
              <w:bottom w:val="single" w:color="auto" w:sz="4" w:space="0"/>
              <w:right w:val="single" w:color="auto" w:sz="4" w:space="0"/>
            </w:tcBorders>
          </w:tcPr>
          <w:p>
            <w:pPr>
              <w:ind w:firstLine="320" w:firstLineChars="200"/>
              <w:rPr>
                <w:rFonts w:ascii="宋体" w:hAnsi="宋体"/>
                <w:sz w:val="16"/>
                <w:szCs w:val="21"/>
              </w:rPr>
            </w:pPr>
            <w:r>
              <w:rPr>
                <w:rFonts w:hint="eastAsia" w:ascii="宋体" w:hAnsi="宋体"/>
                <w:sz w:val="16"/>
                <w:szCs w:val="21"/>
              </w:rPr>
              <w:t>按照《安全检查表》认真检查，查找安全隐患。对查出问题及时处理，暂时无法处理得应制定取有效的预防措施，并立即向公司安委会和安全总监汇报。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75"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频次</w:t>
            </w:r>
          </w:p>
        </w:tc>
        <w:tc>
          <w:tcPr>
            <w:tcW w:w="15030" w:type="dxa"/>
            <w:gridSpan w:val="5"/>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1次/每月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trPr>
        <w:tc>
          <w:tcPr>
            <w:tcW w:w="675"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内容</w:t>
            </w:r>
          </w:p>
        </w:tc>
        <w:tc>
          <w:tcPr>
            <w:tcW w:w="15030" w:type="dxa"/>
            <w:gridSpan w:val="5"/>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trPr>
        <w:tc>
          <w:tcPr>
            <w:tcW w:w="675"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序号</w:t>
            </w:r>
          </w:p>
        </w:tc>
        <w:tc>
          <w:tcPr>
            <w:tcW w:w="1134"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检查项目</w:t>
            </w:r>
          </w:p>
        </w:tc>
        <w:tc>
          <w:tcPr>
            <w:tcW w:w="9926"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检查标准</w:t>
            </w:r>
          </w:p>
        </w:tc>
        <w:tc>
          <w:tcPr>
            <w:tcW w:w="1276"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检查方法（或依据）</w:t>
            </w:r>
          </w:p>
        </w:tc>
        <w:tc>
          <w:tcPr>
            <w:tcW w:w="2694"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r>
              <w:rPr>
                <w:rFonts w:hint="eastAsia" w:ascii="宋体" w:hAnsi="宋体"/>
                <w:sz w:val="16"/>
                <w:szCs w:val="21"/>
              </w:rPr>
              <w:t>检查评价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99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符合</w:t>
            </w: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不符合及主要问题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6"/>
                <w:szCs w:val="21"/>
              </w:rPr>
            </w:pPr>
            <w:r>
              <w:rPr>
                <w:rFonts w:hint="eastAsia" w:ascii="宋体" w:hAnsi="宋体"/>
                <w:sz w:val="16"/>
                <w:szCs w:val="21"/>
              </w:rPr>
              <w:t>1</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6"/>
                <w:szCs w:val="21"/>
              </w:rPr>
            </w:pPr>
            <w:r>
              <w:rPr>
                <w:rFonts w:hint="eastAsia" w:ascii="宋体" w:hAnsi="宋体"/>
                <w:sz w:val="16"/>
                <w:szCs w:val="21"/>
              </w:rPr>
              <w:t>工艺管理</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1、岗位操作人员 严格遵守操作规程，中控指标的执行良好，操作记录及时、真实，字迹清晰工整。</w:t>
            </w:r>
          </w:p>
          <w:p>
            <w:pPr>
              <w:tabs>
                <w:tab w:val="left" w:pos="1800"/>
              </w:tabs>
              <w:rPr>
                <w:rFonts w:ascii="宋体" w:hAnsi="宋体"/>
                <w:sz w:val="16"/>
                <w:szCs w:val="21"/>
              </w:rPr>
            </w:pPr>
            <w:r>
              <w:rPr>
                <w:rFonts w:hint="eastAsia" w:ascii="宋体" w:hAnsi="宋体"/>
                <w:sz w:val="16"/>
                <w:szCs w:val="21"/>
              </w:rPr>
              <w:t>2、各联锁装置必须投用，完好。摘除、恢复连锁装置必须履行相关手续。</w:t>
            </w:r>
          </w:p>
          <w:p>
            <w:pPr>
              <w:rPr>
                <w:rFonts w:ascii="宋体" w:hAnsi="宋体"/>
                <w:sz w:val="16"/>
                <w:szCs w:val="21"/>
              </w:rPr>
            </w:pPr>
            <w:r>
              <w:rPr>
                <w:rFonts w:hint="eastAsia" w:ascii="宋体" w:hAnsi="宋体"/>
                <w:sz w:val="16"/>
                <w:szCs w:val="21"/>
              </w:rPr>
              <w:t>3、冬季防冻保温、夏季防暑降温措施完好。</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2</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设备管理</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1、认真执行设备管理制度，设备维护保养、润滑、巡查及记录等落实到位。</w:t>
            </w:r>
          </w:p>
          <w:p>
            <w:pPr>
              <w:tabs>
                <w:tab w:val="left" w:pos="1800"/>
              </w:tabs>
              <w:rPr>
                <w:rFonts w:ascii="宋体" w:hAnsi="宋体"/>
                <w:sz w:val="16"/>
                <w:szCs w:val="21"/>
              </w:rPr>
            </w:pPr>
            <w:r>
              <w:rPr>
                <w:rFonts w:hint="eastAsia" w:ascii="宋体" w:hAnsi="宋体"/>
                <w:sz w:val="16"/>
                <w:szCs w:val="21"/>
              </w:rPr>
              <w:t>2、设备运行状况良好，定期检查维护。</w:t>
            </w:r>
          </w:p>
          <w:p>
            <w:pPr>
              <w:tabs>
                <w:tab w:val="left" w:pos="1800"/>
              </w:tabs>
              <w:rPr>
                <w:rFonts w:ascii="宋体" w:hAnsi="宋体"/>
                <w:sz w:val="16"/>
                <w:szCs w:val="21"/>
              </w:rPr>
            </w:pPr>
            <w:r>
              <w:rPr>
                <w:rFonts w:hint="eastAsia" w:ascii="宋体" w:hAnsi="宋体"/>
                <w:sz w:val="16"/>
                <w:szCs w:val="21"/>
              </w:rPr>
              <w:t>3、现场无跑、冒、滴、漏现象，卫生状况良好。</w:t>
            </w:r>
          </w:p>
          <w:p>
            <w:pPr>
              <w:tabs>
                <w:tab w:val="left" w:pos="1800"/>
              </w:tabs>
              <w:rPr>
                <w:rFonts w:ascii="宋体" w:hAnsi="宋体"/>
                <w:sz w:val="16"/>
                <w:szCs w:val="21"/>
              </w:rPr>
            </w:pPr>
            <w:r>
              <w:rPr>
                <w:rFonts w:hint="eastAsia" w:ascii="宋体" w:hAnsi="宋体"/>
                <w:sz w:val="16"/>
                <w:szCs w:val="21"/>
              </w:rPr>
              <w:t>4、机泵泵体、阀门、法兰、压力表、温度计等完好。无杂音、无振动，暴露在外的传动部位有符合标准的安全防护罩。5、安全设施是否配备齐全，是否损坏缺失。</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3</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关键装置及重点部位</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严格执行关键装置重点部位安全管理制度。设备设施运行良好，各监测报警装置安装齐全，运行良好，安全附件齐全均在检测期内，并运行良好，档案及安全检查记录齐全，应急器材配置及检查记录齐全，现场处置演练及培训记录齐全。安全阀是否按照要求进行手动测试，是否有记录。</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4</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电气管理</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pacing w:val="-8"/>
                <w:sz w:val="16"/>
                <w:szCs w:val="21"/>
              </w:rPr>
            </w:pPr>
            <w:r>
              <w:rPr>
                <w:rFonts w:hint="eastAsia" w:ascii="宋体" w:hAnsi="宋体"/>
                <w:spacing w:val="-8"/>
                <w:sz w:val="16"/>
                <w:szCs w:val="21"/>
              </w:rPr>
              <w:t>严格执行各项规程，落实防火、防水、防小动物措施，室内通风良好，照明良好。变、配电间清洁卫生、无渗漏油现象，无杂音，各接地良好，附属设备完好。按要求配备绝缘工具，定期检查，有测试报告和记录。防爆区电气设施符合防爆要求。</w:t>
            </w:r>
          </w:p>
        </w:tc>
        <w:tc>
          <w:tcPr>
            <w:tcW w:w="1276" w:type="dxa"/>
            <w:tcBorders>
              <w:top w:val="single" w:color="auto" w:sz="4" w:space="0"/>
              <w:left w:val="single" w:color="auto" w:sz="4" w:space="0"/>
              <w:bottom w:val="single" w:color="auto" w:sz="4" w:space="0"/>
              <w:right w:val="single" w:color="auto" w:sz="4" w:space="0"/>
            </w:tcBorders>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5</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消防管理</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pacing w:val="-8"/>
                <w:sz w:val="16"/>
                <w:szCs w:val="21"/>
              </w:rPr>
            </w:pPr>
            <w:r>
              <w:rPr>
                <w:rFonts w:hint="eastAsia" w:ascii="宋体" w:hAnsi="宋体"/>
                <w:spacing w:val="-8"/>
                <w:sz w:val="16"/>
                <w:szCs w:val="21"/>
              </w:rPr>
              <w:t>供水消防泵一切设施完好，随时处于备用状态。厂区内消防栓开启灵活，出水正常，排水良好，出水口扪盖、橡胶垫圈齐全完好。消防枪消防水带等完好。消防水管管径及消防栓的配备数量和地点应符合标准。消防柜内器材附件完好无损。消防通道畅通无阻，消防水管保温良好。灭火器定点放置，数量配置符合国家标准要求，灭火器无损坏、无缺压现象，定期进行检查，检查记录填写齐全。</w:t>
            </w: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查记录</w:t>
            </w:r>
          </w:p>
          <w:p>
            <w:pPr>
              <w:jc w:val="center"/>
              <w:rPr>
                <w:sz w:val="16"/>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6</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化学品</w:t>
            </w:r>
          </w:p>
          <w:p>
            <w:pPr>
              <w:tabs>
                <w:tab w:val="left" w:pos="1800"/>
              </w:tabs>
              <w:jc w:val="center"/>
              <w:rPr>
                <w:rFonts w:ascii="宋体" w:hAnsi="宋体"/>
                <w:sz w:val="16"/>
                <w:szCs w:val="21"/>
              </w:rPr>
            </w:pPr>
            <w:r>
              <w:rPr>
                <w:rFonts w:hint="eastAsia" w:ascii="宋体" w:hAnsi="宋体"/>
                <w:sz w:val="16"/>
                <w:szCs w:val="21"/>
              </w:rPr>
              <w:t>管理</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pacing w:val="-6"/>
                <w:sz w:val="16"/>
                <w:szCs w:val="21"/>
              </w:rPr>
            </w:pPr>
            <w:r>
              <w:rPr>
                <w:rFonts w:hint="eastAsia" w:ascii="宋体" w:hAnsi="宋体"/>
                <w:spacing w:val="-6"/>
                <w:sz w:val="16"/>
                <w:szCs w:val="21"/>
              </w:rPr>
              <w:t>化学品原料是否有一书一签，储存地点和储存方式是否符合有关规定，使用过程中，防中毒、防飞溅、防火防爆、防静电、防泄漏等防护措施是否落实到位。</w:t>
            </w:r>
          </w:p>
        </w:tc>
        <w:tc>
          <w:tcPr>
            <w:tcW w:w="1276" w:type="dxa"/>
            <w:tcBorders>
              <w:top w:val="single" w:color="auto" w:sz="4" w:space="0"/>
              <w:left w:val="single" w:color="auto" w:sz="4" w:space="0"/>
              <w:bottom w:val="single" w:color="auto" w:sz="4" w:space="0"/>
              <w:right w:val="single" w:color="auto" w:sz="4" w:space="0"/>
            </w:tcBorders>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7</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安全设施</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pacing w:val="-10"/>
                <w:sz w:val="16"/>
                <w:szCs w:val="21"/>
              </w:rPr>
            </w:pPr>
            <w:r>
              <w:rPr>
                <w:rFonts w:hint="eastAsia" w:ascii="宋体" w:hAnsi="宋体"/>
                <w:spacing w:val="-10"/>
                <w:sz w:val="16"/>
                <w:szCs w:val="21"/>
              </w:rPr>
              <w:t>避雷设施完好定期进行检查。各安全阀、液位计、压力表完好且均在检验期内，远传信号良好，上下限报警正常。各联锁装置运行正常，且定期试验。各储罐区防火堤、防护堤完好，各部位易燃气体、有毒气体泄漏报警装置运行良好，且定期校验。喷淋等安全装置时刻处于备用状态。各有毒有害岗位的过滤式防毒面具、空气呼吸器、防化服等设备完好有效，且定期检查维护。</w:t>
            </w: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查记录</w:t>
            </w:r>
          </w:p>
          <w:p>
            <w:pPr>
              <w:jc w:val="center"/>
              <w:rPr>
                <w:sz w:val="16"/>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8</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厂房建筑</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pacing w:val="-14"/>
                <w:sz w:val="16"/>
                <w:szCs w:val="21"/>
              </w:rPr>
            </w:pPr>
            <w:r>
              <w:rPr>
                <w:rFonts w:hint="eastAsia" w:ascii="宋体" w:hAnsi="宋体"/>
                <w:spacing w:val="-14"/>
                <w:sz w:val="16"/>
                <w:szCs w:val="21"/>
              </w:rPr>
              <w:t>各建筑构筑物的墙体及附属物无倾斜、裂纹、损坏，基础无塌陷、房顶及框架无腐蚀、开裂、倾斜、漏雨等现象。建构筑物的防火间距符合国家有关标准，间距不够的采取了防范措施。防雷设施完好，防腐处理完好，通风、防汛设施完好。地沟及地沟盖完好无损。广告牌是否腐蚀损坏。外排烟囱拉线是否腐蚀损坏</w:t>
            </w:r>
          </w:p>
        </w:tc>
        <w:tc>
          <w:tcPr>
            <w:tcW w:w="1276" w:type="dxa"/>
            <w:tcBorders>
              <w:top w:val="single" w:color="auto" w:sz="4" w:space="0"/>
              <w:left w:val="single" w:color="auto" w:sz="4" w:space="0"/>
              <w:bottom w:val="single" w:color="auto" w:sz="4" w:space="0"/>
              <w:right w:val="single" w:color="auto" w:sz="4" w:space="0"/>
            </w:tcBorders>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9</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人员及</w:t>
            </w:r>
          </w:p>
          <w:p>
            <w:pPr>
              <w:tabs>
                <w:tab w:val="left" w:pos="1800"/>
              </w:tabs>
              <w:jc w:val="center"/>
              <w:rPr>
                <w:rFonts w:ascii="宋体" w:hAnsi="宋体"/>
                <w:sz w:val="16"/>
                <w:szCs w:val="21"/>
              </w:rPr>
            </w:pPr>
            <w:r>
              <w:rPr>
                <w:rFonts w:hint="eastAsia" w:ascii="宋体" w:hAnsi="宋体"/>
                <w:sz w:val="16"/>
                <w:szCs w:val="21"/>
              </w:rPr>
              <w:t>作业环境</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pacing w:val="-14"/>
                <w:sz w:val="16"/>
                <w:szCs w:val="21"/>
              </w:rPr>
            </w:pPr>
            <w:r>
              <w:rPr>
                <w:rFonts w:hint="eastAsia" w:ascii="宋体" w:hAnsi="宋体"/>
                <w:spacing w:val="-14"/>
                <w:sz w:val="16"/>
                <w:szCs w:val="21"/>
              </w:rPr>
              <w:t>除尘设施运行是否正常，车间是否存在粉尘及尾洗水跑、冒、滴、漏现象，是否有私排废水现象，车间楼梯踏板是否湿滑，是否存在异物未清理，人员精神状态是否良好，是否有酒后上岗现象，劳保用品是否佩戴齐全，是否存在离岗脱岗现象，是否有禁烟区吸烟现象。外来施工人员是否纳入正常监管。</w:t>
            </w: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查记录</w:t>
            </w:r>
          </w:p>
          <w:p>
            <w:pPr>
              <w:jc w:val="center"/>
              <w:rPr>
                <w:sz w:val="16"/>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10</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特殊作业</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pacing w:val="-14"/>
                <w:sz w:val="16"/>
                <w:szCs w:val="21"/>
              </w:rPr>
            </w:pPr>
            <w:r>
              <w:rPr>
                <w:rFonts w:hint="eastAsia" w:ascii="宋体" w:hAnsi="宋体"/>
                <w:spacing w:val="-14"/>
                <w:sz w:val="16"/>
                <w:szCs w:val="21"/>
              </w:rPr>
              <w:t xml:space="preserve">是否进行作业许可，是否进行断电挂牌，现场是否设置监护人员，是否落实现场安全措施，动火作业是否清理现场可燃物，是否配置消防设施，涉及化学品工艺是否进行清洗置换、是否进行检测，需要加设盲板管道盲板是否合格，是否对盲板进行编号标识，其他特殊作业是否按照GB30871-2014进行落实安全措施。 </w:t>
            </w: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查记录</w:t>
            </w:r>
          </w:p>
          <w:p>
            <w:pPr>
              <w:jc w:val="center"/>
              <w:rPr>
                <w:rFonts w:ascii="宋体" w:hAnsi="宋体"/>
                <w:sz w:val="16"/>
                <w:szCs w:val="21"/>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11</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叉车</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pacing w:val="-14"/>
                <w:sz w:val="16"/>
                <w:szCs w:val="21"/>
              </w:rPr>
            </w:pPr>
            <w:r>
              <w:rPr>
                <w:rFonts w:hint="eastAsia" w:ascii="宋体" w:hAnsi="宋体"/>
                <w:spacing w:val="-14"/>
                <w:sz w:val="16"/>
                <w:szCs w:val="21"/>
              </w:rPr>
              <w:t>是否按照要求进行年度检测， 轮胎是否正常，紧固螺栓是否松动，设备运行是否有异响，是否漏油，链条是否磨损，灯光喇叭是否正常、门架是否腐蚀损坏，是否有违规违纪现象，叉车是否清洁，倒车警示是否损坏。是否有日常检查记录，记录是否齐全有无漏检现象。</w:t>
            </w: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查记录</w:t>
            </w:r>
          </w:p>
          <w:p>
            <w:pPr>
              <w:jc w:val="center"/>
              <w:rPr>
                <w:rFonts w:ascii="宋体" w:hAnsi="宋体"/>
                <w:sz w:val="16"/>
                <w:szCs w:val="21"/>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12</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安全培训及责任制</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pacing w:val="-14"/>
                <w:sz w:val="16"/>
                <w:szCs w:val="21"/>
              </w:rPr>
            </w:pPr>
            <w:r>
              <w:rPr>
                <w:rFonts w:hint="eastAsia" w:ascii="宋体" w:hAnsi="宋体"/>
                <w:sz w:val="16"/>
                <w:szCs w:val="21"/>
              </w:rPr>
              <w:t>查车间各级管理人员是否定期参加班组安全活动，班组安全活动应有内容、有记录；车间管理人员和安全员应对安全活动记录进行检查、签字；特种作业人员是否持证上岗；对转岗、调岗及脱岗一周以上者是否进行车间级安全培训教育，教育是否有记录；对新员工是否进行三级安全培训，是否落实连帮带，车间员工是否进行互保联保签订，是否进行责任状签订；车间员工的安全培训是否按照公司计划进行培训，培训是否有记录，一人一档填写是否规范，培训是否有验证，培训不及格人员是否有处理结果并记录。</w:t>
            </w: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bl>
    <w:p>
      <w:pPr>
        <w:widowControl/>
        <w:jc w:val="left"/>
        <w:rPr>
          <w:rFonts w:ascii="宋体" w:hAnsi="宋体"/>
          <w:sz w:val="16"/>
          <w:szCs w:val="21"/>
        </w:rPr>
        <w:sectPr>
          <w:pgSz w:w="16838" w:h="11906" w:orient="landscape"/>
          <w:pgMar w:top="720" w:right="720" w:bottom="720" w:left="720" w:header="851" w:footer="992" w:gutter="0"/>
          <w:pgBorders w:offsetFrom="page">
            <w:top w:val="single" w:color="auto" w:sz="4" w:space="24"/>
            <w:left w:val="single" w:color="auto" w:sz="4" w:space="24"/>
            <w:bottom w:val="single" w:color="auto" w:sz="4" w:space="24"/>
            <w:right w:val="single" w:color="auto" w:sz="4" w:space="24"/>
          </w:pgBorders>
          <w:pgNumType w:start="0"/>
          <w:cols w:space="720" w:num="1"/>
          <w:docGrid w:type="lines" w:linePitch="312" w:charSpace="0"/>
        </w:sectPr>
      </w:pPr>
    </w:p>
    <w:p>
      <w:pPr>
        <w:pStyle w:val="3"/>
        <w:jc w:val="center"/>
        <w:rPr>
          <w:rFonts w:hint="default"/>
          <w:sz w:val="21"/>
          <w:szCs w:val="28"/>
        </w:rPr>
      </w:pPr>
      <w:bookmarkStart w:id="138" w:name="_Toc11921500"/>
      <w:r>
        <w:rPr>
          <w:sz w:val="21"/>
          <w:szCs w:val="28"/>
        </w:rPr>
        <w:t>车间级安全检查表</w:t>
      </w:r>
      <w:bookmarkEnd w:id="138"/>
    </w:p>
    <w:p>
      <w:pPr>
        <w:rPr>
          <w:rFonts w:ascii="宋体" w:hAnsi="宋体"/>
          <w:sz w:val="16"/>
          <w:szCs w:val="21"/>
        </w:rPr>
      </w:pPr>
      <w:r>
        <w:rPr>
          <w:rFonts w:hint="eastAsia" w:ascii="宋体" w:hAnsi="宋体"/>
          <w:sz w:val="16"/>
          <w:szCs w:val="21"/>
        </w:rPr>
        <w:t>检查人：                                                                                         检查时间：</w:t>
      </w:r>
    </w:p>
    <w:tbl>
      <w:tblPr>
        <w:tblStyle w:val="11"/>
        <w:tblW w:w="155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8"/>
        <w:gridCol w:w="1080"/>
        <w:gridCol w:w="8818"/>
        <w:gridCol w:w="1326"/>
        <w:gridCol w:w="654"/>
        <w:gridCol w:w="3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目的</w:t>
            </w:r>
          </w:p>
        </w:tc>
        <w:tc>
          <w:tcPr>
            <w:tcW w:w="14908" w:type="dxa"/>
            <w:gridSpan w:val="5"/>
            <w:tcBorders>
              <w:top w:val="single" w:color="auto" w:sz="4" w:space="0"/>
              <w:left w:val="single" w:color="auto" w:sz="4" w:space="0"/>
              <w:bottom w:val="single" w:color="auto" w:sz="4" w:space="0"/>
              <w:right w:val="single" w:color="auto" w:sz="4" w:space="0"/>
            </w:tcBorders>
          </w:tcPr>
          <w:p>
            <w:pPr>
              <w:rPr>
                <w:rFonts w:ascii="宋体" w:hAnsi="宋体"/>
                <w:sz w:val="16"/>
                <w:szCs w:val="21"/>
              </w:rPr>
            </w:pPr>
            <w:r>
              <w:rPr>
                <w:rFonts w:hint="eastAsia" w:ascii="宋体" w:hAnsi="宋体"/>
                <w:sz w:val="16"/>
                <w:szCs w:val="21"/>
              </w:rPr>
              <w:t>对生产过程中可能存在的危险因素、缺陷等进行查证，查找不安全行为、危险因素或缺陷存在状态、以及它们转化为事故的条件，制定整改措施，消除或控制隐患，确保达到安全生产要求。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647" w:type="dxa"/>
            <w:gridSpan w:val="2"/>
            <w:tcBorders>
              <w:top w:val="single" w:color="auto" w:sz="4" w:space="0"/>
              <w:left w:val="single" w:color="auto" w:sz="4" w:space="0"/>
              <w:bottom w:val="single" w:color="auto" w:sz="4" w:space="0"/>
              <w:right w:val="single" w:color="auto" w:sz="4" w:space="0"/>
            </w:tcBorders>
          </w:tcPr>
          <w:p>
            <w:pPr>
              <w:jc w:val="left"/>
              <w:rPr>
                <w:rFonts w:ascii="宋体" w:hAnsi="宋体"/>
                <w:sz w:val="16"/>
                <w:szCs w:val="21"/>
              </w:rPr>
            </w:pPr>
            <w:r>
              <w:rPr>
                <w:rFonts w:hint="eastAsia" w:ascii="宋体" w:hAnsi="宋体"/>
                <w:sz w:val="16"/>
                <w:szCs w:val="21"/>
              </w:rPr>
              <w:t>要求</w:t>
            </w:r>
          </w:p>
        </w:tc>
        <w:tc>
          <w:tcPr>
            <w:tcW w:w="14908" w:type="dxa"/>
            <w:gridSpan w:val="5"/>
            <w:tcBorders>
              <w:top w:val="single" w:color="auto" w:sz="4" w:space="0"/>
              <w:left w:val="single" w:color="auto" w:sz="4" w:space="0"/>
              <w:bottom w:val="single" w:color="auto" w:sz="4" w:space="0"/>
              <w:right w:val="single" w:color="auto" w:sz="4" w:space="0"/>
            </w:tcBorders>
          </w:tcPr>
          <w:p>
            <w:pPr>
              <w:rPr>
                <w:rFonts w:ascii="宋体" w:hAnsi="宋体"/>
                <w:sz w:val="16"/>
                <w:szCs w:val="21"/>
              </w:rPr>
            </w:pPr>
            <w:r>
              <w:rPr>
                <w:rFonts w:hint="eastAsia" w:ascii="宋体" w:hAnsi="宋体"/>
                <w:sz w:val="16"/>
                <w:szCs w:val="21"/>
              </w:rPr>
              <w:t>按照《安全检查表》认真检查，查找安全隐患。对查出问题及时处理，暂时无法处理得应制定取有效的预防措施，并立即向安全总监及安全环保部汇报。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频次</w:t>
            </w:r>
          </w:p>
        </w:tc>
        <w:tc>
          <w:tcPr>
            <w:tcW w:w="14908" w:type="dxa"/>
            <w:gridSpan w:val="5"/>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2次/每月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内容</w:t>
            </w:r>
          </w:p>
        </w:tc>
        <w:tc>
          <w:tcPr>
            <w:tcW w:w="14908" w:type="dxa"/>
            <w:gridSpan w:val="5"/>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见检查项目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647" w:type="dxa"/>
            <w:gridSpan w:val="2"/>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序号</w:t>
            </w:r>
          </w:p>
        </w:tc>
        <w:tc>
          <w:tcPr>
            <w:tcW w:w="1080"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检查项目</w:t>
            </w:r>
          </w:p>
        </w:tc>
        <w:tc>
          <w:tcPr>
            <w:tcW w:w="8818"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检查标准</w:t>
            </w:r>
          </w:p>
        </w:tc>
        <w:tc>
          <w:tcPr>
            <w:tcW w:w="1326"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检查方法（或依据）</w:t>
            </w:r>
          </w:p>
        </w:tc>
        <w:tc>
          <w:tcPr>
            <w:tcW w:w="3684"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r>
              <w:rPr>
                <w:rFonts w:hint="eastAsia" w:ascii="宋体" w:hAnsi="宋体"/>
                <w:sz w:val="16"/>
                <w:szCs w:val="21"/>
              </w:rPr>
              <w:t>检查评价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trPr>
        <w:tc>
          <w:tcPr>
            <w:tcW w:w="6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88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13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符合</w:t>
            </w: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不符合及主要问题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ind w:right="403" w:rightChars="192"/>
              <w:jc w:val="center"/>
              <w:rPr>
                <w:rFonts w:ascii="宋体" w:hAnsi="宋体"/>
                <w:sz w:val="16"/>
                <w:szCs w:val="21"/>
              </w:rPr>
            </w:pPr>
            <w:r>
              <w:rPr>
                <w:rFonts w:hint="eastAsia" w:ascii="宋体" w:hAnsi="宋体"/>
                <w:sz w:val="16"/>
                <w:szCs w:val="21"/>
              </w:rPr>
              <w:t>职责</w:t>
            </w:r>
          </w:p>
        </w:tc>
        <w:tc>
          <w:tcPr>
            <w:tcW w:w="8818" w:type="dxa"/>
            <w:tcBorders>
              <w:top w:val="single" w:color="auto" w:sz="4" w:space="0"/>
              <w:left w:val="single" w:color="auto" w:sz="4" w:space="0"/>
              <w:bottom w:val="single" w:color="auto" w:sz="4" w:space="0"/>
              <w:right w:val="single" w:color="auto" w:sz="4" w:space="0"/>
            </w:tcBorders>
            <w:vAlign w:val="center"/>
          </w:tcPr>
          <w:p>
            <w:pPr>
              <w:tabs>
                <w:tab w:val="left" w:pos="1800"/>
              </w:tabs>
              <w:rPr>
                <w:rFonts w:ascii="宋体" w:hAnsi="宋体"/>
                <w:sz w:val="16"/>
                <w:szCs w:val="21"/>
              </w:rPr>
            </w:pPr>
            <w:r>
              <w:rPr>
                <w:rFonts w:hint="eastAsia" w:ascii="宋体" w:hAnsi="宋体"/>
                <w:sz w:val="16"/>
                <w:szCs w:val="21"/>
              </w:rPr>
              <w:t>检查本车间各级管理人员及从业人员的安全生产责任制及规章制度的落实情况。</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rPr>
                <w:rFonts w:ascii="宋体" w:hAnsi="宋体"/>
                <w:sz w:val="16"/>
                <w:szCs w:val="21"/>
              </w:rPr>
            </w:pPr>
            <w:r>
              <w:rPr>
                <w:rFonts w:hint="eastAsia" w:ascii="宋体" w:hAnsi="宋体"/>
                <w:sz w:val="16"/>
                <w:szCs w:val="21"/>
              </w:rPr>
              <w:t>公司安全生产责任制。</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2</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工艺</w:t>
            </w:r>
          </w:p>
        </w:tc>
        <w:tc>
          <w:tcPr>
            <w:tcW w:w="8818" w:type="dxa"/>
            <w:tcBorders>
              <w:top w:val="single" w:color="auto" w:sz="4" w:space="0"/>
              <w:left w:val="single" w:color="auto" w:sz="4" w:space="0"/>
              <w:bottom w:val="single" w:color="auto" w:sz="4" w:space="0"/>
              <w:right w:val="single" w:color="auto" w:sz="4" w:space="0"/>
            </w:tcBorders>
            <w:vAlign w:val="center"/>
          </w:tcPr>
          <w:p>
            <w:pPr>
              <w:tabs>
                <w:tab w:val="left" w:pos="1800"/>
              </w:tabs>
              <w:rPr>
                <w:rFonts w:ascii="宋体" w:hAnsi="宋体"/>
                <w:sz w:val="16"/>
                <w:szCs w:val="21"/>
              </w:rPr>
            </w:pPr>
            <w:r>
              <w:rPr>
                <w:rFonts w:hint="eastAsia" w:ascii="宋体" w:hAnsi="宋体"/>
                <w:sz w:val="16"/>
                <w:szCs w:val="21"/>
              </w:rPr>
              <w:t>检查本车间各工艺指标的执行和工艺条件的变化情况；检查工艺管线及工艺阀门工作状态。检查工艺管线有无震动、松动、跑、冒、滴、漏、腐蚀、堵塞等情况；检查工艺阀门开关是否灵活，是否有开关不到位、过紧、过松响动、内漏外流、腐蚀、堵塞等情况。</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安全操作法规程检查现场和记录</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3</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设备</w:t>
            </w:r>
          </w:p>
        </w:tc>
        <w:tc>
          <w:tcPr>
            <w:tcW w:w="8818" w:type="dxa"/>
            <w:tcBorders>
              <w:top w:val="single" w:color="auto" w:sz="4" w:space="0"/>
              <w:left w:val="single" w:color="auto" w:sz="4" w:space="0"/>
              <w:bottom w:val="single" w:color="auto" w:sz="4" w:space="0"/>
              <w:right w:val="single" w:color="auto" w:sz="4" w:space="0"/>
            </w:tcBorders>
            <w:vAlign w:val="center"/>
          </w:tcPr>
          <w:p>
            <w:pPr>
              <w:tabs>
                <w:tab w:val="left" w:pos="1800"/>
              </w:tabs>
              <w:rPr>
                <w:rFonts w:ascii="宋体" w:hAnsi="宋体"/>
                <w:sz w:val="16"/>
                <w:szCs w:val="21"/>
              </w:rPr>
            </w:pPr>
            <w:r>
              <w:rPr>
                <w:rFonts w:hint="eastAsia" w:ascii="宋体" w:hAnsi="宋体"/>
                <w:sz w:val="16"/>
                <w:szCs w:val="21"/>
              </w:rPr>
              <w:t>检查运转设备的基础牢固情况、运转及润滑情况，各运转部件是否有异常响声，裸漏的运转部件防护罩是否齐全可靠，辅机及管线是否有震动，润滑油的油位变化情况；检查设备的运转状态；检查温度、压力、流量等是否在范围之内，液位指示是否准确，设备基础是否有油污存在。环保设施运行是否正常，是否有跑、冒、滴、漏现象，是否有废水外排现象，外排尾气是否正常，车间粉尘管线是否畅通，车间现场浮尘是否过大，车间现场落物是否及时清理。</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公司规章制度及安全操作规程；</w:t>
            </w:r>
          </w:p>
          <w:p>
            <w:pPr>
              <w:tabs>
                <w:tab w:val="left" w:pos="1800"/>
              </w:tabs>
              <w:jc w:val="center"/>
              <w:rPr>
                <w:rFonts w:ascii="宋体" w:hAnsi="宋体"/>
                <w:sz w:val="16"/>
                <w:szCs w:val="21"/>
              </w:rPr>
            </w:pPr>
            <w:r>
              <w:rPr>
                <w:rFonts w:hint="eastAsia" w:ascii="宋体" w:hAnsi="宋体"/>
                <w:sz w:val="16"/>
                <w:szCs w:val="21"/>
              </w:rPr>
              <w:t>检查现场及记录</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4</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电气</w:t>
            </w:r>
          </w:p>
        </w:tc>
        <w:tc>
          <w:tcPr>
            <w:tcW w:w="8818"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电器设备的工作状态、电机声音是否增大、振动是否增强，保护接地是否牢靠，电机及电器元件是否有火花及异常声音、气味，电流、电压等是否在指标范围内。检查本车间范围内的配电室门窗、玻璃、是否齐全，</w:t>
            </w:r>
            <w:r>
              <w:rPr>
                <w:rFonts w:hint="eastAsia" w:ascii="宋体" w:hAnsi="宋体"/>
                <w:spacing w:val="-8"/>
                <w:sz w:val="16"/>
                <w:szCs w:val="21"/>
              </w:rPr>
              <w:t>防火、防水、防小动物、防触电措施是否完好无损</w:t>
            </w:r>
            <w:r>
              <w:rPr>
                <w:rFonts w:hint="eastAsia" w:ascii="宋体" w:hAnsi="宋体"/>
                <w:sz w:val="16"/>
                <w:szCs w:val="21"/>
              </w:rPr>
              <w:t>。</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检查现场</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5</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仪表</w:t>
            </w:r>
          </w:p>
        </w:tc>
        <w:tc>
          <w:tcPr>
            <w:tcW w:w="8818"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检查仪表的工作状态，检查仪表的指示是否准确，反应是否灵敏，仪表及阀门动作是否统一。在条件变化的情况下仪表是否有变化，变化是否在符合的范围内，有无锈蚀、松动等潜在危险。</w:t>
            </w:r>
          </w:p>
        </w:tc>
        <w:tc>
          <w:tcPr>
            <w:tcW w:w="13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检查现场</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6</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警示标志</w:t>
            </w:r>
          </w:p>
        </w:tc>
        <w:tc>
          <w:tcPr>
            <w:tcW w:w="8818"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 xml:space="preserve">本车间区域内的警示标志和告知牌是否完好无损；警示牌是否保持整洁，车间内的警示标识牌是否配备齐全，是否存在未配置或配置不足的现象。 </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7</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外来施工</w:t>
            </w:r>
          </w:p>
        </w:tc>
        <w:tc>
          <w:tcPr>
            <w:tcW w:w="8818"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区域内是否有外来施工队伍，施工是否影响正常操作，是否落实分管区域内施工过程中的监督管理。</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3"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8</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人员及</w:t>
            </w:r>
          </w:p>
          <w:p>
            <w:pPr>
              <w:tabs>
                <w:tab w:val="left" w:pos="1800"/>
              </w:tabs>
              <w:jc w:val="center"/>
              <w:rPr>
                <w:rFonts w:ascii="宋体" w:hAnsi="宋体"/>
                <w:sz w:val="16"/>
                <w:szCs w:val="21"/>
              </w:rPr>
            </w:pPr>
            <w:r>
              <w:rPr>
                <w:rFonts w:hint="eastAsia" w:ascii="宋体" w:hAnsi="宋体"/>
                <w:sz w:val="16"/>
                <w:szCs w:val="21"/>
              </w:rPr>
              <w:t>现场管理</w:t>
            </w:r>
          </w:p>
        </w:tc>
        <w:tc>
          <w:tcPr>
            <w:tcW w:w="8818"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工作现场是否清洁、有序、员工劳动防护用品穿戴是否符合要求；应急及劳保用具是否定期维护保养，时刻处于备用状态等，查各种安全设施是否处于正常使用状态；使用有毒物品作业场所进行警示区分，有毒物品作业场所是否有饮食现象；高处交叉作业场所与其他作业场所进行警示划分，是否存在高处抛扔物品现象。作业场所按规定设置警示标志、报警设施、冲洗设施及应急防护器具柜，柜内设施是否完好齐全，日常巡检是否有记录，记录是否齐全；员工精神状态是否良好，是否有酒后上岗及岗中饮酒现象，是否有禁烟区吸烟现象，是否有脱岗、离岗现象。车间是否针对现场突发事件进行现场处置演练，演练是否有记录，记录是否齐全。</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9</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安全教育</w:t>
            </w:r>
          </w:p>
        </w:tc>
        <w:tc>
          <w:tcPr>
            <w:tcW w:w="8818"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 xml:space="preserve">查车间各级管理人员是否定期参加班组安全活动，班组安全活动应有内容、有记录；车间管理人员和安全员应对安全活动记录进行检查、签字；特种作业人员是否持证上岗；对转岗、调岗及脱岗15天以上者是否进行车间级安全培训教育，教育是否有记录；对新员工是否进行三级安全培训，是否落实传帮带，车间员工是否进行互保联保签订，是否进行责任状签订；车间员工的安全培训是否按照车间计划进行培训，培训是否有记录，一人一档填写是否规范，培训是否有验证，培训不及格人员是否有处理结果并记录； </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10</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关键装置重点部位</w:t>
            </w:r>
          </w:p>
        </w:tc>
        <w:tc>
          <w:tcPr>
            <w:tcW w:w="8818"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车间关键装置及重点部位的是否确定责任人，设备设施运行是否正常，各监测报警装置运行是否完好，安全附件是否在检测期内并运行正常，日常安全检查记录是否齐全，安全阀是否按照要求进行手动测试，是否有记录。</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b/>
                <w:sz w:val="16"/>
                <w:szCs w:val="21"/>
              </w:rPr>
            </w:pPr>
            <w:r>
              <w:rPr>
                <w:rFonts w:hint="eastAsia" w:ascii="宋体" w:hAnsi="宋体"/>
                <w:b/>
                <w:sz w:val="16"/>
                <w:szCs w:val="21"/>
              </w:rPr>
              <w:t>11</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特殊作业</w:t>
            </w:r>
          </w:p>
        </w:tc>
        <w:tc>
          <w:tcPr>
            <w:tcW w:w="8818"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检查本车间动火作业、进入受限空间作业、高处作业等危险作业，</w:t>
            </w:r>
            <w:r>
              <w:rPr>
                <w:rFonts w:hint="eastAsia" w:ascii="宋体" w:hAnsi="宋体"/>
                <w:spacing w:val="-14"/>
                <w:sz w:val="16"/>
                <w:szCs w:val="21"/>
              </w:rPr>
              <w:t>是否进行作业许可，是否进行断电挂牌，现场是否设置监护人员，是否落实现场安全措施，动火作业是否清理现场可燃物，是否配置消防设施，涉及化学品工艺是否进行清洗置换、是否进行检测，需要加设盲板管道盲板是否合格，是否对盲板进行编号标识，其他特殊作业是否按照GB30871-2014进行落实安全措施。</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0" w:hRule="atLeast"/>
        </w:trPr>
        <w:tc>
          <w:tcPr>
            <w:tcW w:w="6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12</w:t>
            </w:r>
          </w:p>
        </w:tc>
        <w:tc>
          <w:tcPr>
            <w:tcW w:w="1098"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消防</w:t>
            </w:r>
          </w:p>
        </w:tc>
        <w:tc>
          <w:tcPr>
            <w:tcW w:w="8818" w:type="dxa"/>
            <w:tcBorders>
              <w:top w:val="single" w:color="auto" w:sz="4" w:space="0"/>
              <w:left w:val="single" w:color="auto" w:sz="4" w:space="0"/>
              <w:bottom w:val="single" w:color="auto" w:sz="4" w:space="0"/>
              <w:right w:val="single" w:color="auto" w:sz="4" w:space="0"/>
            </w:tcBorders>
          </w:tcPr>
          <w:p>
            <w:pPr>
              <w:tabs>
                <w:tab w:val="left" w:pos="1800"/>
              </w:tabs>
              <w:ind w:firstLine="160" w:firstLineChars="100"/>
              <w:jc w:val="left"/>
              <w:rPr>
                <w:rFonts w:ascii="宋体" w:hAnsi="宋体"/>
                <w:sz w:val="16"/>
                <w:szCs w:val="21"/>
              </w:rPr>
            </w:pPr>
            <w:r>
              <w:rPr>
                <w:rFonts w:hint="eastAsia" w:ascii="宋体" w:hAnsi="宋体"/>
                <w:sz w:val="16"/>
                <w:szCs w:val="21"/>
              </w:rPr>
              <w:t>各种通道是否畅通无阻，应急灯具是否完好无损，</w:t>
            </w:r>
            <w:r>
              <w:rPr>
                <w:rFonts w:hint="eastAsia" w:ascii="宋体" w:hAnsi="宋体"/>
                <w:spacing w:val="-8"/>
                <w:sz w:val="16"/>
                <w:szCs w:val="21"/>
              </w:rPr>
              <w:t>区域内消防栓开启灵活，出水正常，排水良好，出水口扪盖、橡胶垫圈齐全完好。消防枪消防水带等完好。消防水管管径及消防栓的配备数量和地点应符合标准。消防柜内器材附件完好无损。消防通道畅通无阻，消防水管保温良好。</w:t>
            </w:r>
            <w:r>
              <w:rPr>
                <w:rFonts w:hint="eastAsia" w:ascii="宋体" w:hAnsi="宋体"/>
                <w:sz w:val="16"/>
                <w:szCs w:val="21"/>
              </w:rPr>
              <w:t>消防设施是否完好，是否定点放置，是否按照要求进行月度检查，记录是否齐全。</w:t>
            </w:r>
          </w:p>
        </w:tc>
        <w:tc>
          <w:tcPr>
            <w:tcW w:w="1326" w:type="dxa"/>
            <w:tcBorders>
              <w:top w:val="single" w:color="auto" w:sz="4" w:space="0"/>
              <w:left w:val="single" w:color="auto" w:sz="4" w:space="0"/>
              <w:bottom w:val="single" w:color="auto" w:sz="4" w:space="0"/>
              <w:right w:val="single" w:color="auto" w:sz="4" w:space="0"/>
            </w:tcBorders>
          </w:tcPr>
          <w:p>
            <w:pPr>
              <w:tabs>
                <w:tab w:val="left" w:pos="1800"/>
              </w:tabs>
              <w:ind w:firstLine="160" w:firstLineChars="100"/>
              <w:jc w:val="left"/>
              <w:rPr>
                <w:rFonts w:ascii="宋体" w:hAnsi="宋体"/>
                <w:sz w:val="16"/>
                <w:szCs w:val="21"/>
              </w:rPr>
            </w:pPr>
          </w:p>
          <w:p>
            <w:pPr>
              <w:tabs>
                <w:tab w:val="left" w:pos="1800"/>
              </w:tabs>
              <w:ind w:firstLine="160" w:firstLineChars="100"/>
              <w:jc w:val="left"/>
              <w:rPr>
                <w:rFonts w:ascii="宋体" w:hAnsi="宋体"/>
                <w:sz w:val="16"/>
                <w:szCs w:val="21"/>
              </w:rPr>
            </w:pPr>
            <w:r>
              <w:rPr>
                <w:rFonts w:hint="eastAsia" w:ascii="宋体" w:hAnsi="宋体"/>
                <w:sz w:val="16"/>
                <w:szCs w:val="21"/>
              </w:rPr>
              <w:t>查现场</w:t>
            </w:r>
          </w:p>
          <w:p>
            <w:pPr>
              <w:tabs>
                <w:tab w:val="left" w:pos="1800"/>
              </w:tabs>
              <w:ind w:firstLine="160" w:firstLineChars="100"/>
              <w:jc w:val="left"/>
              <w:rPr>
                <w:rFonts w:ascii="宋体" w:hAnsi="宋体"/>
                <w:sz w:val="16"/>
                <w:szCs w:val="21"/>
              </w:rPr>
            </w:pPr>
            <w:r>
              <w:rPr>
                <w:rFonts w:hint="eastAsia" w:ascii="宋体" w:hAnsi="宋体"/>
                <w:sz w:val="16"/>
                <w:szCs w:val="21"/>
              </w:rPr>
              <w:t>查记录</w:t>
            </w:r>
          </w:p>
        </w:tc>
        <w:tc>
          <w:tcPr>
            <w:tcW w:w="654" w:type="dxa"/>
            <w:tcBorders>
              <w:top w:val="single" w:color="auto" w:sz="4" w:space="0"/>
              <w:left w:val="single" w:color="auto" w:sz="4" w:space="0"/>
              <w:bottom w:val="single" w:color="auto" w:sz="4" w:space="0"/>
              <w:right w:val="single" w:color="auto" w:sz="4" w:space="0"/>
            </w:tcBorders>
          </w:tcPr>
          <w:p>
            <w:pPr>
              <w:tabs>
                <w:tab w:val="left" w:pos="1800"/>
              </w:tabs>
              <w:ind w:firstLine="160" w:firstLineChars="100"/>
              <w:jc w:val="left"/>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tcPr>
          <w:p>
            <w:pPr>
              <w:tabs>
                <w:tab w:val="left" w:pos="1800"/>
              </w:tabs>
              <w:ind w:firstLine="160" w:firstLineChars="100"/>
              <w:jc w:val="left"/>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trPr>
        <w:tc>
          <w:tcPr>
            <w:tcW w:w="6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13</w:t>
            </w:r>
          </w:p>
        </w:tc>
        <w:tc>
          <w:tcPr>
            <w:tcW w:w="1098"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叉车</w:t>
            </w:r>
          </w:p>
        </w:tc>
        <w:tc>
          <w:tcPr>
            <w:tcW w:w="8818" w:type="dxa"/>
            <w:tcBorders>
              <w:top w:val="single" w:color="auto" w:sz="4" w:space="0"/>
              <w:left w:val="single" w:color="auto" w:sz="4" w:space="0"/>
              <w:bottom w:val="single" w:color="auto" w:sz="4" w:space="0"/>
              <w:right w:val="single" w:color="auto" w:sz="4" w:space="0"/>
            </w:tcBorders>
            <w:vAlign w:val="center"/>
          </w:tcPr>
          <w:p>
            <w:pPr>
              <w:tabs>
                <w:tab w:val="left" w:pos="1800"/>
              </w:tabs>
              <w:jc w:val="left"/>
              <w:rPr>
                <w:rFonts w:ascii="宋体" w:hAnsi="宋体"/>
                <w:sz w:val="16"/>
                <w:szCs w:val="21"/>
              </w:rPr>
            </w:pPr>
            <w:r>
              <w:rPr>
                <w:rFonts w:hint="eastAsia" w:ascii="宋体" w:hAnsi="宋体"/>
                <w:spacing w:val="-14"/>
                <w:sz w:val="16"/>
                <w:szCs w:val="21"/>
              </w:rPr>
              <w:t>轮胎是否正常，紧固螺栓是否松动，设备运行是否有异响，是否漏油，U型环、吊环、链条是否磨损，灯光喇叭是否正常、门架是否腐蚀损坏，是否有违规违纪现象，叉车是否清洁，倒车警示是否损坏。是否有日常检查记录，记录是否齐全有无漏检现象。</w:t>
            </w:r>
          </w:p>
        </w:tc>
        <w:tc>
          <w:tcPr>
            <w:tcW w:w="1326" w:type="dxa"/>
            <w:tcBorders>
              <w:top w:val="single" w:color="auto" w:sz="4" w:space="0"/>
              <w:left w:val="single" w:color="auto" w:sz="4" w:space="0"/>
              <w:bottom w:val="single" w:color="auto" w:sz="4" w:space="0"/>
              <w:right w:val="single" w:color="auto" w:sz="4" w:space="0"/>
            </w:tcBorders>
          </w:tcPr>
          <w:p>
            <w:pPr>
              <w:tabs>
                <w:tab w:val="left" w:pos="1800"/>
              </w:tabs>
              <w:ind w:firstLine="160" w:firstLineChars="100"/>
              <w:rPr>
                <w:rFonts w:ascii="宋体" w:hAnsi="宋体"/>
                <w:sz w:val="16"/>
                <w:szCs w:val="21"/>
              </w:rPr>
            </w:pPr>
            <w:r>
              <w:rPr>
                <w:rFonts w:hint="eastAsia" w:ascii="宋体" w:hAnsi="宋体"/>
                <w:sz w:val="16"/>
                <w:szCs w:val="21"/>
              </w:rPr>
              <w:t>查现场</w:t>
            </w:r>
          </w:p>
          <w:p>
            <w:pPr>
              <w:tabs>
                <w:tab w:val="left" w:pos="1800"/>
              </w:tabs>
              <w:jc w:val="center"/>
              <w:rPr>
                <w:rFonts w:ascii="宋体" w:hAnsi="宋体"/>
                <w:spacing w:val="-14"/>
                <w:sz w:val="16"/>
                <w:szCs w:val="21"/>
              </w:rPr>
            </w:pPr>
            <w:r>
              <w:rPr>
                <w:rFonts w:hint="eastAsia" w:ascii="宋体" w:hAnsi="宋体"/>
                <w:sz w:val="16"/>
                <w:szCs w:val="21"/>
              </w:rPr>
              <w:t>查记录</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bl>
    <w:p>
      <w:pPr>
        <w:widowControl/>
        <w:jc w:val="left"/>
        <w:rPr>
          <w:rFonts w:ascii="宋体" w:hAnsi="宋体"/>
          <w:sz w:val="16"/>
          <w:szCs w:val="21"/>
        </w:rPr>
        <w:sectPr>
          <w:pgSz w:w="16838" w:h="11906" w:orient="landscape"/>
          <w:pgMar w:top="720" w:right="720" w:bottom="720" w:left="720" w:header="851" w:footer="992" w:gutter="0"/>
          <w:pgBorders w:offsetFrom="page">
            <w:top w:val="single" w:color="auto" w:sz="4" w:space="24"/>
            <w:left w:val="single" w:color="auto" w:sz="4" w:space="24"/>
            <w:bottom w:val="single" w:color="auto" w:sz="4" w:space="24"/>
            <w:right w:val="single" w:color="auto" w:sz="4" w:space="24"/>
          </w:pgBorders>
          <w:cols w:space="720" w:num="1"/>
          <w:docGrid w:type="lines" w:linePitch="312" w:charSpace="0"/>
        </w:sectPr>
      </w:pPr>
    </w:p>
    <w:p>
      <w:pPr>
        <w:pStyle w:val="3"/>
        <w:jc w:val="center"/>
        <w:rPr>
          <w:rFonts w:hint="default"/>
          <w:sz w:val="21"/>
          <w:szCs w:val="28"/>
        </w:rPr>
      </w:pPr>
      <w:bookmarkStart w:id="139" w:name="_Toc11921501"/>
      <w:r>
        <w:rPr>
          <w:sz w:val="21"/>
          <w:szCs w:val="28"/>
        </w:rPr>
        <w:t>班组级安全检查表</w:t>
      </w:r>
      <w:bookmarkEnd w:id="139"/>
    </w:p>
    <w:p>
      <w:pPr>
        <w:rPr>
          <w:rFonts w:ascii="宋体" w:hAnsi="宋体"/>
          <w:sz w:val="16"/>
          <w:szCs w:val="21"/>
        </w:rPr>
      </w:pPr>
      <w:r>
        <w:rPr>
          <w:rFonts w:hint="eastAsia" w:ascii="宋体" w:hAnsi="宋体"/>
          <w:sz w:val="16"/>
          <w:szCs w:val="21"/>
        </w:rPr>
        <w:t>检查人：                                                                    检查时间：</w:t>
      </w:r>
    </w:p>
    <w:tbl>
      <w:tblPr>
        <w:tblStyle w:val="11"/>
        <w:tblW w:w="157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440"/>
        <w:gridCol w:w="8757"/>
        <w:gridCol w:w="1276"/>
        <w:gridCol w:w="992"/>
        <w:gridCol w:w="2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9" w:type="dxa"/>
            <w:tcBorders>
              <w:top w:val="single" w:color="auto" w:sz="4" w:space="0"/>
              <w:left w:val="single" w:color="auto" w:sz="4" w:space="0"/>
              <w:bottom w:val="single" w:color="auto" w:sz="4" w:space="0"/>
              <w:right w:val="single" w:color="auto" w:sz="4" w:space="0"/>
            </w:tcBorders>
          </w:tcPr>
          <w:p>
            <w:pPr>
              <w:rPr>
                <w:rFonts w:ascii="宋体" w:hAnsi="宋体"/>
                <w:sz w:val="16"/>
                <w:szCs w:val="21"/>
              </w:rPr>
            </w:pPr>
            <w:r>
              <w:rPr>
                <w:rFonts w:hint="eastAsia" w:ascii="宋体" w:hAnsi="宋体"/>
                <w:sz w:val="16"/>
                <w:szCs w:val="21"/>
              </w:rPr>
              <w:t>目的</w:t>
            </w:r>
          </w:p>
        </w:tc>
        <w:tc>
          <w:tcPr>
            <w:tcW w:w="14876" w:type="dxa"/>
            <w:gridSpan w:val="5"/>
            <w:tcBorders>
              <w:top w:val="single" w:color="auto" w:sz="4" w:space="0"/>
              <w:left w:val="single" w:color="auto" w:sz="4" w:space="0"/>
              <w:bottom w:val="single" w:color="auto" w:sz="4" w:space="0"/>
              <w:right w:val="single" w:color="auto" w:sz="4" w:space="0"/>
            </w:tcBorders>
          </w:tcPr>
          <w:p>
            <w:pPr>
              <w:rPr>
                <w:rFonts w:ascii="宋体" w:hAnsi="宋体"/>
                <w:sz w:val="16"/>
                <w:szCs w:val="21"/>
              </w:rPr>
            </w:pPr>
            <w:r>
              <w:rPr>
                <w:rFonts w:hint="eastAsia" w:ascii="宋体" w:hAnsi="宋体"/>
                <w:sz w:val="16"/>
                <w:szCs w:val="21"/>
              </w:rPr>
              <w:t>对生产过程中可能存在的危险因素、缺陷等进行查证，查找不安全行为、危险因素或缺陷存在状态、以及它们转化为事故的条件，制定整改措施，消除或控制隐患，确保达到安全生产要求。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9"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要求</w:t>
            </w:r>
          </w:p>
        </w:tc>
        <w:tc>
          <w:tcPr>
            <w:tcW w:w="14876" w:type="dxa"/>
            <w:gridSpan w:val="5"/>
            <w:tcBorders>
              <w:top w:val="single" w:color="auto" w:sz="4" w:space="0"/>
              <w:left w:val="single" w:color="auto" w:sz="4" w:space="0"/>
              <w:bottom w:val="single" w:color="auto" w:sz="4" w:space="0"/>
              <w:right w:val="single" w:color="auto" w:sz="4" w:space="0"/>
            </w:tcBorders>
          </w:tcPr>
          <w:p>
            <w:pPr>
              <w:rPr>
                <w:rFonts w:ascii="宋体" w:hAnsi="宋体"/>
                <w:sz w:val="16"/>
                <w:szCs w:val="21"/>
              </w:rPr>
            </w:pPr>
            <w:r>
              <w:rPr>
                <w:rFonts w:hint="eastAsia" w:ascii="宋体" w:hAnsi="宋体"/>
                <w:sz w:val="16"/>
                <w:szCs w:val="21"/>
              </w:rPr>
              <w:t>按照《安全检查表》认真检查，查找安全隐患。对查出问题及时整改，暂时无法整改得应制定有效的预防措施，并立即向安全环保部及车间汇报。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829"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频次</w:t>
            </w:r>
          </w:p>
        </w:tc>
        <w:tc>
          <w:tcPr>
            <w:tcW w:w="14876" w:type="dxa"/>
            <w:gridSpan w:val="5"/>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1次/每周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4" w:hRule="atLeast"/>
        </w:trPr>
        <w:tc>
          <w:tcPr>
            <w:tcW w:w="829"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内容</w:t>
            </w:r>
          </w:p>
        </w:tc>
        <w:tc>
          <w:tcPr>
            <w:tcW w:w="14876" w:type="dxa"/>
            <w:gridSpan w:val="5"/>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见检查项目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trPr>
        <w:tc>
          <w:tcPr>
            <w:tcW w:w="829"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序号</w:t>
            </w:r>
          </w:p>
        </w:tc>
        <w:tc>
          <w:tcPr>
            <w:tcW w:w="1440"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检查项目</w:t>
            </w:r>
          </w:p>
        </w:tc>
        <w:tc>
          <w:tcPr>
            <w:tcW w:w="8757"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检查标准</w:t>
            </w:r>
          </w:p>
        </w:tc>
        <w:tc>
          <w:tcPr>
            <w:tcW w:w="1276"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检查方法（或依据）</w:t>
            </w:r>
          </w:p>
        </w:tc>
        <w:tc>
          <w:tcPr>
            <w:tcW w:w="3403"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r>
              <w:rPr>
                <w:rFonts w:hint="eastAsia" w:ascii="宋体" w:hAnsi="宋体"/>
                <w:sz w:val="16"/>
                <w:szCs w:val="21"/>
              </w:rPr>
              <w:t>检查评价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8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875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符合</w:t>
            </w: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不符合及主要问题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ind w:right="-107" w:rightChars="-51"/>
              <w:jc w:val="center"/>
              <w:rPr>
                <w:rFonts w:ascii="宋体" w:hAnsi="宋体"/>
                <w:sz w:val="16"/>
                <w:szCs w:val="21"/>
              </w:rPr>
            </w:pPr>
            <w:r>
              <w:rPr>
                <w:rFonts w:hint="eastAsia" w:ascii="宋体" w:hAnsi="宋体"/>
                <w:sz w:val="16"/>
                <w:szCs w:val="21"/>
              </w:rPr>
              <w:t>劳动纪律</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检查有无违章指挥、违章作业、违反劳动纪律的现象。</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2</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工艺</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本班组各区域工艺指标的执行和工艺条件的变化情况；检查工艺管线及工艺阀门工作状态。检查工艺管线有无震动、松动、跑、冒、滴、漏、腐蚀、堵塞等情况；检查工艺阀门开关是否灵活，是否有开关不到位、过紧、过松响动、内漏外流、腐蚀、堵塞等情况。</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依据安全操作法检查现场和记录</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3</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320" w:firstLineChars="200"/>
              <w:rPr>
                <w:rFonts w:ascii="宋体" w:hAnsi="宋体"/>
                <w:sz w:val="16"/>
                <w:szCs w:val="21"/>
              </w:rPr>
            </w:pPr>
            <w:r>
              <w:rPr>
                <w:rFonts w:hint="eastAsia" w:ascii="宋体" w:hAnsi="宋体"/>
                <w:sz w:val="16"/>
                <w:szCs w:val="21"/>
              </w:rPr>
              <w:t>设备</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 xml:space="preserve">检查运转设备的基础牢固情况、运转及润滑情况，各运转部件是否有异常响声，裸漏的运转部件防护罩是否完好可靠，辅机及管线是否有震动，润滑油的油位变化情况；检查设备的运转状态；检查温度、压力、阻力、流量等是否在范围之内，液位指示是否准确。设备基础是否有油污存在。环保设施运行是否正常，是否有跑、冒、滴、漏现象，是否有废水外排现象，外排尾气是否正常，车间粉尘管线是否畅通，车间现场浮尘是否过大，车间现场落物是否及时清理。 </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依据公司有关要求及安全操作规程检查现场</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4</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电气</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电器设备的工作状态、电机声音是否增大、振动是否增强，保护接地是否牢靠，电机及轴承温度是否升高、电机及电器元件是否有火花及异常声音、气味，电流、电压等是否在指标范围内。检查本班组（工段）范围内的配电室门窗、玻璃、是否齐全。防火、防水、防小动物措施是否齐全。</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依据公司有关要求及安全操作规程检查现场</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5</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240" w:firstLineChars="150"/>
              <w:rPr>
                <w:rFonts w:ascii="宋体" w:hAnsi="宋体"/>
                <w:sz w:val="16"/>
                <w:szCs w:val="21"/>
              </w:rPr>
            </w:pPr>
            <w:r>
              <w:rPr>
                <w:rFonts w:hint="eastAsia" w:ascii="宋体" w:hAnsi="宋体"/>
                <w:sz w:val="16"/>
                <w:szCs w:val="21"/>
              </w:rPr>
              <w:t>仪表</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检查仪表的工作状态，检查仪表的指示是否准确，反应是否灵敏，仪表及阀门动作是否统一。在条件变化的情况下仪表是否有变化，变化是否在符合的范围内，有无锈蚀、松动等潜在危险。</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安全操作规程检查现场</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6</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人员及</w:t>
            </w:r>
          </w:p>
          <w:p>
            <w:pPr>
              <w:tabs>
                <w:tab w:val="left" w:pos="1800"/>
              </w:tabs>
              <w:jc w:val="center"/>
              <w:rPr>
                <w:rFonts w:ascii="宋体" w:hAnsi="宋体"/>
                <w:sz w:val="16"/>
                <w:szCs w:val="21"/>
              </w:rPr>
            </w:pPr>
            <w:r>
              <w:rPr>
                <w:rFonts w:hint="eastAsia" w:ascii="宋体" w:hAnsi="宋体"/>
                <w:sz w:val="16"/>
                <w:szCs w:val="21"/>
              </w:rPr>
              <w:t>现场管理</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工作现场是否清洁、有序、员工劳动防护用品穿戴是否符合要求；应急及劳保用具是否定期维护保养，时刻处于备用状态等，查各种安全设施是否处于正常使用状态；使用有毒物品作业场所进行警示区分，有毒物品作业场所是否有饮食现象；高处交叉作业场所与其他作业场所进行警示划分，是否存在高处抛扔物品现象。作业场所按规定设置警示标志、报警设施、冲洗设施及应急防护器具柜，柜内设施是否完好齐全，日常巡检是否有记录，记录是否齐全；员工精神状态是否良好，是否有酒后上岗及岗中饮酒现象，是否有禁烟区吸烟现象，是否有脱岗、离岗现象。班组是否针对现场突发事件进行现场处置演练，演练是否有记录，记录是否齐全。</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查现场查记录</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4"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7</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r>
              <w:rPr>
                <w:rFonts w:hint="eastAsia" w:ascii="宋体" w:hAnsi="宋体"/>
                <w:sz w:val="16"/>
                <w:szCs w:val="21"/>
              </w:rPr>
              <w:t>安全教育</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查班组安全活动，班组安全活动应有内容、有记录；车间管理人员和安全员应对安全活动记录进行检查、签字；特种作业人员是否持证上岗；对转岗、调岗及脱岗15天以上者是否进行班组级安全培训教育，教育是否有记录；对新员工是否进行三级安全培训，是否落实传帮带，班组员工是否进行互保联保签订，是否进行责任状签订；车间员工的安全培训是否按照班组计划进行培训，培训是否有记录，一人一档填写是否规范，培训是否有验证，培训不及格人员是否有处理结果并记录；</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查现场查记录</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8</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关键装置及重点部位</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关键装置及重点部位的是否确定责任人，设备设施运行是否正常，各监测报警装置运行是否完好，安全附件是否在检测期内并运行正常，日常安全检查记录是否齐全，安全阀是否按照要求进行手动测试，是否有记录。</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查现场查记录</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9</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特殊作业</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检查本班组动火作业、进入受限空间作业、高处作业等危险作业，</w:t>
            </w:r>
            <w:r>
              <w:rPr>
                <w:rFonts w:hint="eastAsia" w:ascii="宋体" w:hAnsi="宋体"/>
                <w:spacing w:val="-14"/>
                <w:sz w:val="16"/>
                <w:szCs w:val="21"/>
              </w:rPr>
              <w:t>是否进行作业许可，是否进行断电挂牌，现场是否设置监护人员，是否落实现场安全措施，动火作业是否清理现场可燃物，是否配置消防设施，涉及化学品工艺是否进行清洗置换、是否进行检测，需要加设盲板管道盲板是否合格，是否对盲板进行编号标识，其他特殊作业是否按照GB30871-2014进行落实安全措施。</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10</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消防</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jc w:val="left"/>
              <w:rPr>
                <w:rFonts w:ascii="宋体" w:hAnsi="宋体"/>
                <w:sz w:val="16"/>
                <w:szCs w:val="21"/>
              </w:rPr>
            </w:pPr>
            <w:r>
              <w:rPr>
                <w:rFonts w:hint="eastAsia" w:ascii="宋体" w:hAnsi="宋体"/>
                <w:sz w:val="16"/>
                <w:szCs w:val="21"/>
              </w:rPr>
              <w:t>各种通道是否畅通无阻，应急灯具是否完好无损，</w:t>
            </w:r>
            <w:r>
              <w:rPr>
                <w:rFonts w:hint="eastAsia" w:ascii="宋体" w:hAnsi="宋体"/>
                <w:spacing w:val="-8"/>
                <w:sz w:val="16"/>
                <w:szCs w:val="21"/>
              </w:rPr>
              <w:t>区域内消防栓开启灵活，出水正常，排水良好，出水口扪盖、橡胶垫圈齐全完好。消防枪消防水带等完好。消防水管管径及消防栓的配备数量和地点应符合标准。消防柜内器材附件完好无损。消防通道畅通无阻，消防水管保温良好。</w:t>
            </w:r>
            <w:r>
              <w:rPr>
                <w:rFonts w:hint="eastAsia" w:ascii="宋体" w:hAnsi="宋体"/>
                <w:sz w:val="16"/>
                <w:szCs w:val="21"/>
              </w:rPr>
              <w:t>消防设施是否完好，是否定点放置，是否按照要求进行月度检查，记录是否齐全。</w:t>
            </w:r>
          </w:p>
        </w:tc>
        <w:tc>
          <w:tcPr>
            <w:tcW w:w="1276" w:type="dxa"/>
            <w:tcBorders>
              <w:top w:val="single" w:color="auto" w:sz="4" w:space="0"/>
              <w:left w:val="single" w:color="auto" w:sz="4" w:space="0"/>
              <w:bottom w:val="single" w:color="auto" w:sz="4" w:space="0"/>
              <w:right w:val="single" w:color="auto" w:sz="4" w:space="0"/>
            </w:tcBorders>
          </w:tcPr>
          <w:p>
            <w:pPr>
              <w:tabs>
                <w:tab w:val="left" w:pos="1800"/>
              </w:tabs>
              <w:ind w:firstLine="160" w:firstLineChars="100"/>
              <w:jc w:val="left"/>
              <w:rPr>
                <w:rFonts w:ascii="宋体" w:hAnsi="宋体"/>
                <w:sz w:val="16"/>
                <w:szCs w:val="21"/>
              </w:rPr>
            </w:pPr>
          </w:p>
          <w:p>
            <w:pPr>
              <w:tabs>
                <w:tab w:val="left" w:pos="1800"/>
              </w:tabs>
              <w:ind w:firstLine="160" w:firstLineChars="100"/>
              <w:jc w:val="left"/>
              <w:rPr>
                <w:rFonts w:ascii="宋体" w:hAnsi="宋体"/>
                <w:sz w:val="16"/>
                <w:szCs w:val="21"/>
              </w:rPr>
            </w:pPr>
            <w:r>
              <w:rPr>
                <w:rFonts w:hint="eastAsia" w:ascii="宋体" w:hAnsi="宋体"/>
                <w:sz w:val="16"/>
                <w:szCs w:val="21"/>
              </w:rPr>
              <w:t>查现场</w:t>
            </w:r>
          </w:p>
          <w:p>
            <w:pPr>
              <w:tabs>
                <w:tab w:val="left" w:pos="1800"/>
              </w:tabs>
              <w:ind w:firstLine="160" w:firstLineChars="100"/>
              <w:jc w:val="left"/>
              <w:rPr>
                <w:rFonts w:ascii="宋体" w:hAnsi="宋体"/>
                <w:sz w:val="16"/>
                <w:szCs w:val="21"/>
              </w:rPr>
            </w:pPr>
            <w:r>
              <w:rPr>
                <w:rFonts w:hint="eastAsia" w:ascii="宋体" w:hAnsi="宋体"/>
                <w:sz w:val="16"/>
                <w:szCs w:val="21"/>
              </w:rPr>
              <w:t>查记录</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11</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叉车</w:t>
            </w:r>
          </w:p>
        </w:tc>
        <w:tc>
          <w:tcPr>
            <w:tcW w:w="8757" w:type="dxa"/>
            <w:tcBorders>
              <w:top w:val="single" w:color="auto" w:sz="4" w:space="0"/>
              <w:left w:val="single" w:color="auto" w:sz="4" w:space="0"/>
              <w:bottom w:val="single" w:color="auto" w:sz="4" w:space="0"/>
              <w:right w:val="single" w:color="auto" w:sz="4" w:space="0"/>
            </w:tcBorders>
            <w:vAlign w:val="center"/>
          </w:tcPr>
          <w:p>
            <w:pPr>
              <w:tabs>
                <w:tab w:val="left" w:pos="1800"/>
              </w:tabs>
              <w:jc w:val="left"/>
              <w:rPr>
                <w:rFonts w:ascii="宋体" w:hAnsi="宋体"/>
                <w:sz w:val="16"/>
                <w:szCs w:val="21"/>
              </w:rPr>
            </w:pPr>
            <w:r>
              <w:rPr>
                <w:rFonts w:hint="eastAsia" w:ascii="宋体" w:hAnsi="宋体"/>
                <w:spacing w:val="-14"/>
                <w:sz w:val="16"/>
                <w:szCs w:val="21"/>
              </w:rPr>
              <w:t>轮胎是否正常，紧固螺栓是否松动，设备运行是否有异响，是否漏油，U型环、吊环、链条是否磨损，灯光喇叭是否正常、门架是否腐蚀损坏，是否有违规违纪现象，叉车是否清洁，倒车警示是否损坏。是否有日常检查记录，记录是否齐全有无漏检现象。</w:t>
            </w:r>
          </w:p>
        </w:tc>
        <w:tc>
          <w:tcPr>
            <w:tcW w:w="1276" w:type="dxa"/>
            <w:tcBorders>
              <w:top w:val="single" w:color="auto" w:sz="4" w:space="0"/>
              <w:left w:val="single" w:color="auto" w:sz="4" w:space="0"/>
              <w:bottom w:val="single" w:color="auto" w:sz="4" w:space="0"/>
              <w:right w:val="single" w:color="auto" w:sz="4" w:space="0"/>
            </w:tcBorders>
          </w:tcPr>
          <w:p>
            <w:pPr>
              <w:tabs>
                <w:tab w:val="left" w:pos="1800"/>
              </w:tabs>
              <w:ind w:firstLine="160" w:firstLineChars="100"/>
              <w:rPr>
                <w:rFonts w:ascii="宋体" w:hAnsi="宋体"/>
                <w:sz w:val="16"/>
                <w:szCs w:val="21"/>
              </w:rPr>
            </w:pPr>
            <w:r>
              <w:rPr>
                <w:rFonts w:hint="eastAsia" w:ascii="宋体" w:hAnsi="宋体"/>
                <w:sz w:val="16"/>
                <w:szCs w:val="21"/>
              </w:rPr>
              <w:t>查现场</w:t>
            </w:r>
          </w:p>
          <w:p>
            <w:pPr>
              <w:tabs>
                <w:tab w:val="left" w:pos="1800"/>
              </w:tabs>
              <w:jc w:val="center"/>
              <w:rPr>
                <w:rFonts w:ascii="宋体" w:hAnsi="宋体"/>
                <w:spacing w:val="-14"/>
                <w:sz w:val="16"/>
                <w:szCs w:val="21"/>
              </w:rPr>
            </w:pPr>
            <w:r>
              <w:rPr>
                <w:rFonts w:hint="eastAsia" w:ascii="宋体" w:hAnsi="宋体"/>
                <w:sz w:val="16"/>
                <w:szCs w:val="21"/>
              </w:rPr>
              <w:t>查记录</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12</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警示标志</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 xml:space="preserve">本车间区域内的警示标志和告知牌是否完好无损；警示牌是否保持整洁，车间内的警示标识牌是否配备齐全，是否存在未配置或配置不足的现象。 </w:t>
            </w:r>
          </w:p>
        </w:tc>
        <w:tc>
          <w:tcPr>
            <w:tcW w:w="1276" w:type="dxa"/>
            <w:tcBorders>
              <w:top w:val="single" w:color="auto" w:sz="4" w:space="0"/>
              <w:left w:val="single" w:color="auto" w:sz="4" w:space="0"/>
              <w:bottom w:val="single" w:color="auto" w:sz="4" w:space="0"/>
              <w:right w:val="single" w:color="auto" w:sz="4" w:space="0"/>
            </w:tcBorders>
          </w:tcPr>
          <w:p>
            <w:pPr>
              <w:tabs>
                <w:tab w:val="left" w:pos="1800"/>
              </w:tabs>
              <w:ind w:firstLine="160" w:firstLineChars="100"/>
              <w:rPr>
                <w:rFonts w:ascii="宋体" w:hAnsi="宋体"/>
                <w:sz w:val="16"/>
                <w:szCs w:val="21"/>
              </w:rPr>
            </w:pPr>
            <w:r>
              <w:rPr>
                <w:rFonts w:hint="eastAsia" w:ascii="宋体" w:hAnsi="宋体"/>
                <w:sz w:val="16"/>
                <w:szCs w:val="21"/>
              </w:rPr>
              <w:t>查现场</w:t>
            </w:r>
          </w:p>
          <w:p>
            <w:pPr>
              <w:tabs>
                <w:tab w:val="left" w:pos="1800"/>
              </w:tabs>
              <w:ind w:firstLine="160" w:firstLineChars="100"/>
              <w:rPr>
                <w:rFonts w:ascii="宋体" w:hAnsi="宋体"/>
                <w:sz w:val="16"/>
                <w:szCs w:val="21"/>
              </w:rPr>
            </w:pPr>
            <w:r>
              <w:rPr>
                <w:rFonts w:hint="eastAsia" w:ascii="宋体" w:hAnsi="宋体"/>
                <w:sz w:val="16"/>
                <w:szCs w:val="21"/>
              </w:rPr>
              <w:t>查记录</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13</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外来施工</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区域内是否有外来施工队伍，施工是否影响正常操作，是否落实分管区域内施工过程中的监督管理。</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bl>
    <w:p>
      <w:pPr>
        <w:rPr>
          <w:rFonts w:ascii="黑体" w:eastAsia="黑体"/>
          <w:b/>
          <w:bCs/>
          <w:sz w:val="22"/>
        </w:rPr>
      </w:pPr>
    </w:p>
    <w:sectPr>
      <w:pgSz w:w="16838" w:h="11906" w:orient="landscape"/>
      <w:pgMar w:top="567" w:right="567" w:bottom="567" w:left="567" w:header="851" w:footer="992" w:gutter="0"/>
      <w:pgBorders w:offsetFrom="page">
        <w:top w:val="single" w:color="auto" w:sz="4" w:space="24"/>
        <w:left w:val="single" w:color="auto" w:sz="4" w:space="24"/>
        <w:bottom w:val="single" w:color="auto" w:sz="4" w:space="24"/>
        <w:right w:val="single" w:color="auto" w:sz="4" w:space="24"/>
      </w:pgBorders>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4</w:t>
    </w:r>
    <w:r>
      <w:rPr>
        <w:rStyle w:val="1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58</w:t>
    </w:r>
    <w:r>
      <w:fldChar w:fldCharType="end"/>
    </w:r>
  </w:p>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IRcEAPLAQAAmQMAAA4AAAAAAAAAAQAgAAAAHgEAAGRycy9lMm9E&#10;b2MueG1sUEsFBgAAAAAGAAYAWQEAAFs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1FB4BA"/>
    <w:multiLevelType w:val="singleLevel"/>
    <w:tmpl w:val="021FB4BA"/>
    <w:lvl w:ilvl="0" w:tentative="0">
      <w:start w:val="1"/>
      <w:numFmt w:val="decimal"/>
      <w:lvlText w:val="%1."/>
      <w:lvlJc w:val="left"/>
      <w:pPr>
        <w:ind w:left="425" w:hanging="425"/>
      </w:pPr>
      <w:rPr>
        <w:rFonts w:hint="default"/>
      </w:rPr>
    </w:lvl>
  </w:abstractNum>
  <w:abstractNum w:abstractNumId="1">
    <w:nsid w:val="1FC91163"/>
    <w:multiLevelType w:val="multilevel"/>
    <w:tmpl w:val="1FC91163"/>
    <w:lvl w:ilvl="0" w:tentative="0">
      <w:start w:val="1"/>
      <w:numFmt w:val="decimal"/>
      <w:pStyle w:val="29"/>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4D94D89"/>
    <w:multiLevelType w:val="multilevel"/>
    <w:tmpl w:val="24D94D89"/>
    <w:lvl w:ilvl="0" w:tentative="0">
      <w:start w:val="1"/>
      <w:numFmt w:val="bullet"/>
      <w:pStyle w:val="27"/>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5917C3"/>
    <w:multiLevelType w:val="multilevel"/>
    <w:tmpl w:val="2C5917C3"/>
    <w:lvl w:ilvl="0" w:tentative="0">
      <w:start w:val="1"/>
      <w:numFmt w:val="none"/>
      <w:pStyle w:val="31"/>
      <w:suff w:val="nothing"/>
      <w:lvlText w:val="%1——"/>
      <w:lvlJc w:val="left"/>
      <w:pPr>
        <w:ind w:left="833"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
    <w:nsid w:val="44C50F90"/>
    <w:multiLevelType w:val="multilevel"/>
    <w:tmpl w:val="44C50F90"/>
    <w:lvl w:ilvl="0" w:tentative="0">
      <w:start w:val="1"/>
      <w:numFmt w:val="lowerLetter"/>
      <w:pStyle w:val="32"/>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5">
    <w:nsid w:val="44E421F3"/>
    <w:multiLevelType w:val="multilevel"/>
    <w:tmpl w:val="44E421F3"/>
    <w:lvl w:ilvl="0" w:tentative="0">
      <w:start w:val="1"/>
      <w:numFmt w:val="decimal"/>
      <w:pStyle w:val="26"/>
      <w:lvlText w:val="%1."/>
      <w:lvlJc w:val="left"/>
      <w:pPr>
        <w:tabs>
          <w:tab w:val="left" w:pos="720"/>
        </w:tabs>
        <w:ind w:left="720" w:hanging="720"/>
      </w:pPr>
    </w:lvl>
    <w:lvl w:ilvl="1" w:tentative="0">
      <w:start w:val="1"/>
      <w:numFmt w:val="decimal"/>
      <w:pStyle w:val="25"/>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6">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7">
    <w:nsid w:val="646260FA"/>
    <w:multiLevelType w:val="multilevel"/>
    <w:tmpl w:val="646260FA"/>
    <w:lvl w:ilvl="0" w:tentative="0">
      <w:start w:val="1"/>
      <w:numFmt w:val="decimal"/>
      <w:pStyle w:val="3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6"/>
  </w:num>
  <w:num w:numId="2">
    <w:abstractNumId w:val="5"/>
  </w:num>
  <w:num w:numId="3">
    <w:abstractNumId w:val="2"/>
  </w:num>
  <w:num w:numId="4">
    <w:abstractNumId w:val="1"/>
  </w:num>
  <w:num w:numId="5">
    <w:abstractNumId w:val="7"/>
  </w:num>
  <w:num w:numId="6">
    <w:abstractNumId w:val="3"/>
  </w:num>
  <w:num w:numId="7">
    <w:abstractNumId w:val="4"/>
  </w:num>
  <w:num w:numId="8">
    <w:abstractNumId w:val="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hideSpellingErrors/>
  <w:documentProtection w:enforcement="0"/>
  <w:defaultTabStop w:val="420"/>
  <w:drawingGridHorizontalSpacing w:val="105"/>
  <w:drawingGridVerticalSpacing w:val="159"/>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D72C4D"/>
    <w:rsid w:val="0000189D"/>
    <w:rsid w:val="00053891"/>
    <w:rsid w:val="0006504B"/>
    <w:rsid w:val="00073527"/>
    <w:rsid w:val="000926AC"/>
    <w:rsid w:val="000B3586"/>
    <w:rsid w:val="000C55C7"/>
    <w:rsid w:val="000E1F14"/>
    <w:rsid w:val="00111D43"/>
    <w:rsid w:val="0011784B"/>
    <w:rsid w:val="001316ED"/>
    <w:rsid w:val="0018689D"/>
    <w:rsid w:val="001A09BF"/>
    <w:rsid w:val="001B063C"/>
    <w:rsid w:val="002675C8"/>
    <w:rsid w:val="00274A7D"/>
    <w:rsid w:val="002B591F"/>
    <w:rsid w:val="002B7925"/>
    <w:rsid w:val="002E4DBA"/>
    <w:rsid w:val="002F7A82"/>
    <w:rsid w:val="00302668"/>
    <w:rsid w:val="00323144"/>
    <w:rsid w:val="00365EF9"/>
    <w:rsid w:val="003A6B9C"/>
    <w:rsid w:val="003E386B"/>
    <w:rsid w:val="003E53B7"/>
    <w:rsid w:val="004141FE"/>
    <w:rsid w:val="004161EE"/>
    <w:rsid w:val="004242B4"/>
    <w:rsid w:val="00434F57"/>
    <w:rsid w:val="004469D0"/>
    <w:rsid w:val="00492540"/>
    <w:rsid w:val="004B60DB"/>
    <w:rsid w:val="004C3918"/>
    <w:rsid w:val="004D37F9"/>
    <w:rsid w:val="004D64F8"/>
    <w:rsid w:val="00514A0E"/>
    <w:rsid w:val="00520A1A"/>
    <w:rsid w:val="00526951"/>
    <w:rsid w:val="00554442"/>
    <w:rsid w:val="00573F7F"/>
    <w:rsid w:val="00576884"/>
    <w:rsid w:val="0059042B"/>
    <w:rsid w:val="005977E8"/>
    <w:rsid w:val="005A0FEE"/>
    <w:rsid w:val="005D1866"/>
    <w:rsid w:val="005E27CD"/>
    <w:rsid w:val="005F7CCC"/>
    <w:rsid w:val="006055DE"/>
    <w:rsid w:val="00687DB1"/>
    <w:rsid w:val="006A6D33"/>
    <w:rsid w:val="006C1B12"/>
    <w:rsid w:val="006F1BC5"/>
    <w:rsid w:val="006F7717"/>
    <w:rsid w:val="007221BC"/>
    <w:rsid w:val="00796BDF"/>
    <w:rsid w:val="007A3CAF"/>
    <w:rsid w:val="007B2169"/>
    <w:rsid w:val="007F1621"/>
    <w:rsid w:val="00803895"/>
    <w:rsid w:val="00806EF9"/>
    <w:rsid w:val="008107AE"/>
    <w:rsid w:val="008223B1"/>
    <w:rsid w:val="008230A8"/>
    <w:rsid w:val="00843079"/>
    <w:rsid w:val="00844B46"/>
    <w:rsid w:val="0087270A"/>
    <w:rsid w:val="008802D9"/>
    <w:rsid w:val="00895AF9"/>
    <w:rsid w:val="008A7577"/>
    <w:rsid w:val="008A7CEC"/>
    <w:rsid w:val="008B0C7D"/>
    <w:rsid w:val="008E02AC"/>
    <w:rsid w:val="008F6CFB"/>
    <w:rsid w:val="0091401D"/>
    <w:rsid w:val="00936218"/>
    <w:rsid w:val="009401FF"/>
    <w:rsid w:val="00982A60"/>
    <w:rsid w:val="00986D78"/>
    <w:rsid w:val="00997D2B"/>
    <w:rsid w:val="009A6D44"/>
    <w:rsid w:val="009C1A5B"/>
    <w:rsid w:val="009C4AC8"/>
    <w:rsid w:val="009C7FB9"/>
    <w:rsid w:val="00A10E45"/>
    <w:rsid w:val="00A50753"/>
    <w:rsid w:val="00A552B8"/>
    <w:rsid w:val="00A63274"/>
    <w:rsid w:val="00AA46EC"/>
    <w:rsid w:val="00AF2076"/>
    <w:rsid w:val="00AF689B"/>
    <w:rsid w:val="00B03F9D"/>
    <w:rsid w:val="00B0574E"/>
    <w:rsid w:val="00B2511A"/>
    <w:rsid w:val="00B31D96"/>
    <w:rsid w:val="00B33194"/>
    <w:rsid w:val="00B66F6D"/>
    <w:rsid w:val="00BB224C"/>
    <w:rsid w:val="00BC5D31"/>
    <w:rsid w:val="00BD2A00"/>
    <w:rsid w:val="00C1211F"/>
    <w:rsid w:val="00C14280"/>
    <w:rsid w:val="00C15E6D"/>
    <w:rsid w:val="00C46F3F"/>
    <w:rsid w:val="00C50725"/>
    <w:rsid w:val="00C8429F"/>
    <w:rsid w:val="00CA5DEF"/>
    <w:rsid w:val="00CB1248"/>
    <w:rsid w:val="00CC3DA7"/>
    <w:rsid w:val="00CC40CB"/>
    <w:rsid w:val="00CD09D4"/>
    <w:rsid w:val="00D12B23"/>
    <w:rsid w:val="00D20332"/>
    <w:rsid w:val="00D4028E"/>
    <w:rsid w:val="00D40914"/>
    <w:rsid w:val="00D521F1"/>
    <w:rsid w:val="00D735A4"/>
    <w:rsid w:val="00DC1669"/>
    <w:rsid w:val="00E77718"/>
    <w:rsid w:val="00E9068F"/>
    <w:rsid w:val="00E942B0"/>
    <w:rsid w:val="00EB5FA6"/>
    <w:rsid w:val="00ED5AC4"/>
    <w:rsid w:val="00F01391"/>
    <w:rsid w:val="00F0740D"/>
    <w:rsid w:val="00F1578D"/>
    <w:rsid w:val="00F37F67"/>
    <w:rsid w:val="00F40D06"/>
    <w:rsid w:val="00F45601"/>
    <w:rsid w:val="00F6134E"/>
    <w:rsid w:val="00F66177"/>
    <w:rsid w:val="00F7284C"/>
    <w:rsid w:val="00F95CD0"/>
    <w:rsid w:val="00FB7C20"/>
    <w:rsid w:val="00FE179D"/>
    <w:rsid w:val="00FE6A37"/>
    <w:rsid w:val="00FF33EB"/>
    <w:rsid w:val="01771F94"/>
    <w:rsid w:val="0A26503B"/>
    <w:rsid w:val="1C6D315E"/>
    <w:rsid w:val="2F3550BA"/>
    <w:rsid w:val="356B319A"/>
    <w:rsid w:val="40A961F6"/>
    <w:rsid w:val="40BB6B35"/>
    <w:rsid w:val="52CB5EB8"/>
    <w:rsid w:val="5D164718"/>
    <w:rsid w:val="5F383EA9"/>
    <w:rsid w:val="6114798F"/>
    <w:rsid w:val="6BD72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9"/>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2"/>
    <w:basedOn w:val="1"/>
    <w:next w:val="1"/>
    <w:link w:val="20"/>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Balloon Text"/>
    <w:basedOn w:val="1"/>
    <w:link w:val="18"/>
    <w:qFormat/>
    <w:uiPriority w:val="0"/>
    <w:rPr>
      <w:sz w:val="18"/>
      <w:szCs w:val="18"/>
    </w:rPr>
  </w:style>
  <w:style w:type="paragraph" w:styleId="5">
    <w:name w:val="footer"/>
    <w:basedOn w:val="1"/>
    <w:link w:val="17"/>
    <w:qFormat/>
    <w:uiPriority w:val="0"/>
    <w:pPr>
      <w:tabs>
        <w:tab w:val="center" w:pos="4153"/>
        <w:tab w:val="right" w:pos="8306"/>
      </w:tabs>
      <w:snapToGrid w:val="0"/>
      <w:jc w:val="left"/>
    </w:pPr>
    <w:rPr>
      <w:sz w:val="18"/>
      <w:szCs w:val="18"/>
    </w:rPr>
  </w:style>
  <w:style w:type="paragraph" w:styleId="6">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spacing w:after="100" w:line="276" w:lineRule="auto"/>
      <w:jc w:val="left"/>
    </w:pPr>
    <w:rPr>
      <w:rFonts w:ascii="Calibri" w:hAnsi="Calibri" w:eastAsia="宋体" w:cs="Times New Roman"/>
      <w:kern w:val="0"/>
      <w:sz w:val="22"/>
      <w:szCs w:val="22"/>
    </w:rPr>
  </w:style>
  <w:style w:type="paragraph" w:styleId="8">
    <w:name w:val="toc 2"/>
    <w:basedOn w:val="1"/>
    <w:next w:val="1"/>
    <w:uiPriority w:val="39"/>
    <w:pPr>
      <w:ind w:left="420" w:leftChars="200"/>
    </w:p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10">
    <w:name w:val="Title"/>
    <w:basedOn w:val="1"/>
    <w:next w:val="1"/>
    <w:link w:val="38"/>
    <w:qFormat/>
    <w:uiPriority w:val="0"/>
    <w:pPr>
      <w:spacing w:before="240" w:after="60"/>
      <w:jc w:val="center"/>
      <w:outlineLvl w:val="0"/>
    </w:pPr>
    <w:rPr>
      <w:rFonts w:eastAsia="宋体" w:asciiTheme="majorHAnsi" w:hAnsiTheme="majorHAnsi" w:cstheme="majorBidi"/>
      <w:b/>
      <w:bCs/>
      <w:sz w:val="32"/>
      <w:szCs w:val="32"/>
    </w:rPr>
  </w:style>
  <w:style w:type="table" w:styleId="12">
    <w:name w:val="Table Grid"/>
    <w:basedOn w:val="1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page number"/>
    <w:basedOn w:val="13"/>
    <w:qFormat/>
    <w:uiPriority w:val="0"/>
  </w:style>
  <w:style w:type="character" w:styleId="15">
    <w:name w:val="Hyperlink"/>
    <w:basedOn w:val="13"/>
    <w:qFormat/>
    <w:uiPriority w:val="99"/>
    <w:rPr>
      <w:color w:val="0000FF"/>
      <w:u w:val="single"/>
    </w:rPr>
  </w:style>
  <w:style w:type="character" w:customStyle="1" w:styleId="16">
    <w:name w:val="页眉 Char"/>
    <w:basedOn w:val="13"/>
    <w:link w:val="6"/>
    <w:qFormat/>
    <w:uiPriority w:val="0"/>
    <w:rPr>
      <w:rFonts w:asciiTheme="minorHAnsi" w:hAnsiTheme="minorHAnsi" w:eastAsiaTheme="minorEastAsia" w:cstheme="minorBidi"/>
      <w:kern w:val="2"/>
      <w:sz w:val="18"/>
      <w:szCs w:val="18"/>
    </w:rPr>
  </w:style>
  <w:style w:type="character" w:customStyle="1" w:styleId="17">
    <w:name w:val="页脚 Char"/>
    <w:basedOn w:val="13"/>
    <w:link w:val="5"/>
    <w:qFormat/>
    <w:uiPriority w:val="0"/>
    <w:rPr>
      <w:rFonts w:asciiTheme="minorHAnsi" w:hAnsiTheme="minorHAnsi" w:eastAsiaTheme="minorEastAsia" w:cstheme="minorBidi"/>
      <w:kern w:val="2"/>
      <w:sz w:val="18"/>
      <w:szCs w:val="18"/>
    </w:rPr>
  </w:style>
  <w:style w:type="character" w:customStyle="1" w:styleId="18">
    <w:name w:val="批注框文本 Char"/>
    <w:basedOn w:val="13"/>
    <w:link w:val="4"/>
    <w:qFormat/>
    <w:uiPriority w:val="0"/>
    <w:rPr>
      <w:rFonts w:asciiTheme="minorHAnsi" w:hAnsiTheme="minorHAnsi" w:eastAsiaTheme="minorEastAsia" w:cstheme="minorBidi"/>
      <w:kern w:val="2"/>
      <w:sz w:val="18"/>
      <w:szCs w:val="18"/>
    </w:rPr>
  </w:style>
  <w:style w:type="character" w:customStyle="1" w:styleId="19">
    <w:name w:val="标题 1 Char"/>
    <w:basedOn w:val="13"/>
    <w:link w:val="2"/>
    <w:qFormat/>
    <w:uiPriority w:val="0"/>
    <w:rPr>
      <w:rFonts w:ascii="宋体" w:hAnsi="宋体"/>
      <w:b/>
      <w:kern w:val="44"/>
      <w:sz w:val="48"/>
      <w:szCs w:val="48"/>
    </w:rPr>
  </w:style>
  <w:style w:type="character" w:customStyle="1" w:styleId="20">
    <w:name w:val="标题 2 Char"/>
    <w:basedOn w:val="13"/>
    <w:link w:val="3"/>
    <w:qFormat/>
    <w:uiPriority w:val="0"/>
    <w:rPr>
      <w:rFonts w:ascii="宋体" w:hAnsi="宋体"/>
      <w:b/>
      <w:sz w:val="36"/>
      <w:szCs w:val="36"/>
    </w:rPr>
  </w:style>
  <w:style w:type="paragraph" w:styleId="21">
    <w:name w:val="List Paragraph"/>
    <w:basedOn w:val="1"/>
    <w:unhideWhenUsed/>
    <w:qFormat/>
    <w:uiPriority w:val="34"/>
    <w:pPr>
      <w:ind w:firstLine="420" w:firstLineChars="200"/>
    </w:pPr>
  </w:style>
  <w:style w:type="character" w:customStyle="1" w:styleId="22">
    <w:name w:val="段 Char"/>
    <w:link w:val="23"/>
    <w:qFormat/>
    <w:uiPriority w:val="0"/>
    <w:rPr>
      <w:rFonts w:ascii="宋体"/>
      <w:sz w:val="21"/>
    </w:rPr>
  </w:style>
  <w:style w:type="paragraph" w:customStyle="1" w:styleId="23">
    <w:name w:val="段"/>
    <w:link w:val="2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4">
    <w:name w:val="附录表标题"/>
    <w:basedOn w:val="1"/>
    <w:next w:val="23"/>
    <w:qFormat/>
    <w:uiPriority w:val="0"/>
    <w:pPr>
      <w:numPr>
        <w:ilvl w:val="1"/>
        <w:numId w:val="1"/>
      </w:numPr>
      <w:tabs>
        <w:tab w:val="left" w:pos="180"/>
      </w:tabs>
      <w:spacing w:beforeLines="50" w:afterLines="50"/>
      <w:ind w:left="0" w:firstLine="0"/>
      <w:jc w:val="center"/>
    </w:pPr>
    <w:rPr>
      <w:rFonts w:ascii="黑体" w:hAnsi="Times New Roman" w:eastAsia="黑体" w:cs="Times New Roman"/>
      <w:szCs w:val="21"/>
    </w:rPr>
  </w:style>
  <w:style w:type="paragraph" w:customStyle="1" w:styleId="25">
    <w:name w:val="附录章标题"/>
    <w:next w:val="23"/>
    <w:qFormat/>
    <w:uiPriority w:val="0"/>
    <w:pPr>
      <w:numPr>
        <w:ilvl w:val="1"/>
        <w:numId w:val="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6">
    <w:name w:val="附录标识"/>
    <w:basedOn w:val="1"/>
    <w:next w:val="23"/>
    <w:qFormat/>
    <w:uiPriority w:val="0"/>
    <w:pPr>
      <w:keepNext/>
      <w:widowControl/>
      <w:numPr>
        <w:ilvl w:val="0"/>
        <w:numId w:val="2"/>
      </w:numPr>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27">
    <w:name w:val="附录图标号"/>
    <w:basedOn w:val="1"/>
    <w:qFormat/>
    <w:uiPriority w:val="0"/>
    <w:pPr>
      <w:keepNext/>
      <w:pageBreakBefore/>
      <w:widowControl/>
      <w:numPr>
        <w:ilvl w:val="0"/>
        <w:numId w:val="3"/>
      </w:numPr>
      <w:spacing w:line="14" w:lineRule="exact"/>
      <w:ind w:left="0" w:firstLine="363"/>
      <w:jc w:val="center"/>
      <w:outlineLvl w:val="0"/>
    </w:pPr>
    <w:rPr>
      <w:rFonts w:ascii="Times New Roman" w:hAnsi="Times New Roman" w:eastAsia="宋体" w:cs="Times New Roman"/>
      <w:color w:val="FFFFFF"/>
    </w:rPr>
  </w:style>
  <w:style w:type="paragraph" w:customStyle="1" w:styleId="28">
    <w:name w:val="附录表标号"/>
    <w:basedOn w:val="1"/>
    <w:next w:val="23"/>
    <w:qFormat/>
    <w:uiPriority w:val="0"/>
    <w:pPr>
      <w:tabs>
        <w:tab w:val="left" w:pos="720"/>
      </w:tabs>
      <w:spacing w:line="14" w:lineRule="exact"/>
      <w:ind w:left="811" w:hanging="448"/>
      <w:jc w:val="center"/>
      <w:outlineLvl w:val="0"/>
    </w:pPr>
    <w:rPr>
      <w:rFonts w:ascii="Times New Roman" w:hAnsi="Times New Roman" w:eastAsia="宋体" w:cs="Times New Roman"/>
      <w:color w:val="FFFFFF"/>
    </w:rPr>
  </w:style>
  <w:style w:type="paragraph" w:customStyle="1" w:styleId="29">
    <w:name w:val="章标题"/>
    <w:next w:val="23"/>
    <w:qFormat/>
    <w:uiPriority w:val="0"/>
    <w:pPr>
      <w:numPr>
        <w:ilvl w:val="0"/>
        <w:numId w:val="4"/>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0">
    <w:name w:val="正文表标题"/>
    <w:next w:val="23"/>
    <w:qFormat/>
    <w:uiPriority w:val="0"/>
    <w:pPr>
      <w:numPr>
        <w:ilvl w:val="0"/>
        <w:numId w:val="5"/>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31">
    <w:name w:val="列项——（一级）"/>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32">
    <w:name w:val="字母编号列项（一级）"/>
    <w:uiPriority w:val="0"/>
    <w:pPr>
      <w:numPr>
        <w:ilvl w:val="0"/>
        <w:numId w:val="7"/>
      </w:numPr>
      <w:jc w:val="both"/>
    </w:pPr>
    <w:rPr>
      <w:rFonts w:ascii="宋体" w:hAnsi="Times New Roman" w:eastAsia="宋体" w:cs="Times New Roman"/>
      <w:sz w:val="21"/>
      <w:lang w:val="en-US" w:eastAsia="zh-CN" w:bidi="ar-SA"/>
    </w:rPr>
  </w:style>
  <w:style w:type="paragraph" w:customStyle="1" w:styleId="33">
    <w:name w:val="_Style 4"/>
    <w:basedOn w:val="2"/>
    <w:next w:val="1"/>
    <w:semiHidden/>
    <w:unhideWhenUsed/>
    <w:qFormat/>
    <w:uiPriority w:val="39"/>
    <w:pPr>
      <w:widowControl/>
      <w:spacing w:before="480" w:line="276" w:lineRule="auto"/>
      <w:outlineLvl w:val="9"/>
    </w:pPr>
    <w:rPr>
      <w:rFonts w:ascii="Cambria" w:hAnsi="Cambria"/>
      <w:color w:val="365F91"/>
      <w:kern w:val="0"/>
      <w:sz w:val="28"/>
      <w:szCs w:val="28"/>
    </w:rPr>
  </w:style>
  <w:style w:type="paragraph" w:customStyle="1" w:styleId="34">
    <w:name w:val="样式 首行缩进:  2 字符"/>
    <w:basedOn w:val="1"/>
    <w:qFormat/>
    <w:uiPriority w:val="0"/>
    <w:pPr>
      <w:ind w:firstLine="281" w:firstLineChars="100"/>
    </w:pPr>
    <w:rPr>
      <w:rFonts w:cs="宋体"/>
      <w:szCs w:val="20"/>
    </w:rPr>
  </w:style>
  <w:style w:type="character" w:customStyle="1" w:styleId="35">
    <w:name w:val="font01"/>
    <w:basedOn w:val="13"/>
    <w:uiPriority w:val="0"/>
    <w:rPr>
      <w:rFonts w:hint="eastAsia" w:ascii="宋体" w:hAnsi="宋体" w:eastAsia="宋体" w:cs="宋体"/>
      <w:color w:val="000000"/>
      <w:sz w:val="22"/>
      <w:szCs w:val="22"/>
      <w:u w:val="none"/>
    </w:rPr>
  </w:style>
  <w:style w:type="character" w:customStyle="1" w:styleId="36">
    <w:name w:val="font51"/>
    <w:basedOn w:val="13"/>
    <w:qFormat/>
    <w:uiPriority w:val="0"/>
    <w:rPr>
      <w:rFonts w:hint="eastAsia" w:ascii="宋体" w:hAnsi="宋体" w:eastAsia="宋体" w:cs="宋体"/>
      <w:color w:val="000000"/>
      <w:sz w:val="22"/>
      <w:szCs w:val="22"/>
      <w:u w:val="none"/>
    </w:rPr>
  </w:style>
  <w:style w:type="paragraph" w:customStyle="1" w:styleId="37">
    <w:name w:val="TOC Heading"/>
    <w:basedOn w:val="2"/>
    <w:next w:val="1"/>
    <w:unhideWhenUsed/>
    <w:qFormat/>
    <w:uiPriority w:val="39"/>
    <w:pPr>
      <w:keepNext/>
      <w:keepLines/>
      <w:widowControl/>
      <w:spacing w:before="240" w:beforeAutospacing="0" w:afterAutospacing="0" w:line="259" w:lineRule="auto"/>
      <w:outlineLvl w:val="9"/>
    </w:pPr>
    <w:rPr>
      <w:rFonts w:hint="default" w:asciiTheme="majorHAnsi" w:hAnsiTheme="majorHAnsi" w:eastAsiaTheme="majorEastAsia" w:cstheme="majorBidi"/>
      <w:b w:val="0"/>
      <w:color w:val="2E75B6" w:themeColor="accent1" w:themeShade="BF"/>
      <w:kern w:val="0"/>
      <w:sz w:val="32"/>
      <w:szCs w:val="32"/>
    </w:rPr>
  </w:style>
  <w:style w:type="character" w:customStyle="1" w:styleId="38">
    <w:name w:val="标题 Char"/>
    <w:basedOn w:val="13"/>
    <w:link w:val="10"/>
    <w:uiPriority w:val="0"/>
    <w:rPr>
      <w:rFonts w:asciiTheme="majorHAnsi" w:hAnsiTheme="majorHAnsi"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FD89E9-F4B4-4B7A-A671-D3BC72E9F0EF}">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13476</Words>
  <Characters>76814</Characters>
  <Lines>640</Lines>
  <Paragraphs>180</Paragraphs>
  <TotalTime>390</TotalTime>
  <ScaleCrop>false</ScaleCrop>
  <LinksUpToDate>false</LinksUpToDate>
  <CharactersWithSpaces>90110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2018-03-28T02:07:00Z</dcterms:created>
  <dc:creator>li</dc:creator>
  <cp:lastModifiedBy>A呀土豆baby</cp:lastModifiedBy>
  <cp:lastPrinted>2020-03-13T01:12:00Z</cp:lastPrinted>
  <dcterms:modified xsi:type="dcterms:W3CDTF">2021-11-27T12:42:17Z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246C84EA9B7B4F9E8E40A1BD2D88069F</vt:lpwstr>
  </property>
</Properties>
</file>