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00B0F0"/>
  <w:body>
    <w:p>
      <w:pPr>
        <w:spacing w:before="240" w:after="60"/>
        <w:jc w:val="center"/>
        <w:outlineLvl w:val="0"/>
        <w:rPr>
          <w:rFonts w:asciiTheme="majorHAnsi" w:hAnsiTheme="majorHAnsi" w:eastAsiaTheme="majorEastAsia" w:cstheme="majorBidi"/>
          <w:b/>
          <w:bCs/>
          <w:color w:val="FF0000"/>
          <w:sz w:val="44"/>
          <w:szCs w:val="44"/>
          <w:highlight w:val="green"/>
        </w:rPr>
      </w:pPr>
      <w:bookmarkStart w:id="0" w:name="_Toc55151232"/>
      <w:bookmarkStart w:id="1" w:name="_Toc55150245"/>
    </w:p>
    <w:p>
      <w:pPr>
        <w:spacing w:before="240" w:after="60"/>
        <w:jc w:val="center"/>
        <w:outlineLvl w:val="0"/>
        <w:rPr>
          <w:rFonts w:asciiTheme="majorHAnsi" w:hAnsiTheme="majorHAnsi" w:eastAsiaTheme="majorEastAsia" w:cstheme="majorBidi"/>
          <w:b/>
          <w:bCs/>
          <w:color w:val="FF0000"/>
          <w:sz w:val="44"/>
          <w:szCs w:val="44"/>
          <w:highlight w:val="green"/>
        </w:rPr>
      </w:pPr>
    </w:p>
    <w:p>
      <w:pPr>
        <w:spacing w:before="240" w:after="60"/>
        <w:jc w:val="center"/>
        <w:outlineLvl w:val="0"/>
        <w:rPr>
          <w:rFonts w:asciiTheme="majorHAnsi" w:hAnsiTheme="majorHAnsi" w:eastAsiaTheme="majorEastAsia" w:cstheme="majorBidi"/>
          <w:b/>
          <w:bCs/>
          <w:color w:val="FF0000"/>
          <w:sz w:val="72"/>
          <w:szCs w:val="72"/>
          <w:highlight w:val="green"/>
        </w:rPr>
      </w:pPr>
      <w:r>
        <w:rPr>
          <w:rFonts w:hint="eastAsia" w:asciiTheme="majorHAnsi" w:hAnsiTheme="majorHAnsi" w:eastAsiaTheme="majorEastAsia" w:cstheme="majorBidi"/>
          <w:b/>
          <w:bCs/>
          <w:color w:val="FF0000"/>
          <w:sz w:val="72"/>
          <w:szCs w:val="72"/>
          <w:highlight w:val="green"/>
        </w:rPr>
        <w:t>化工企业</w:t>
      </w:r>
      <w:bookmarkEnd w:id="0"/>
    </w:p>
    <w:p>
      <w:pPr>
        <w:spacing w:before="240" w:after="60"/>
        <w:jc w:val="center"/>
        <w:outlineLvl w:val="0"/>
        <w:rPr>
          <w:rFonts w:asciiTheme="majorHAnsi" w:hAnsiTheme="majorHAnsi" w:eastAsiaTheme="majorEastAsia" w:cstheme="majorBidi"/>
          <w:b/>
          <w:bCs/>
          <w:color w:val="FF0000"/>
          <w:sz w:val="72"/>
          <w:szCs w:val="72"/>
          <w:highlight w:val="green"/>
        </w:rPr>
      </w:pPr>
      <w:bookmarkStart w:id="2" w:name="_Toc55151233"/>
      <w:r>
        <w:rPr>
          <w:rFonts w:hint="eastAsia" w:asciiTheme="majorHAnsi" w:hAnsiTheme="majorHAnsi" w:eastAsiaTheme="majorEastAsia" w:cstheme="majorBidi"/>
          <w:b/>
          <w:bCs/>
          <w:color w:val="FF0000"/>
          <w:sz w:val="72"/>
          <w:szCs w:val="72"/>
          <w:highlight w:val="green"/>
        </w:rPr>
        <w:t>冬季</w:t>
      </w:r>
      <w:r>
        <w:rPr>
          <w:rFonts w:asciiTheme="majorHAnsi" w:hAnsiTheme="majorHAnsi" w:eastAsiaTheme="majorEastAsia" w:cstheme="majorBidi"/>
          <w:b/>
          <w:bCs/>
          <w:color w:val="FF0000"/>
          <w:sz w:val="72"/>
          <w:szCs w:val="72"/>
          <w:highlight w:val="green"/>
        </w:rPr>
        <w:t>仪表</w:t>
      </w:r>
      <w:r>
        <w:rPr>
          <w:rFonts w:hint="eastAsia" w:asciiTheme="majorHAnsi" w:hAnsiTheme="majorHAnsi" w:eastAsiaTheme="majorEastAsia" w:cstheme="majorBidi"/>
          <w:b/>
          <w:bCs/>
          <w:color w:val="FF0000"/>
          <w:sz w:val="72"/>
          <w:szCs w:val="72"/>
          <w:highlight w:val="green"/>
        </w:rPr>
        <w:t>防冻、防</w:t>
      </w:r>
      <w:r>
        <w:rPr>
          <w:rFonts w:asciiTheme="majorHAnsi" w:hAnsiTheme="majorHAnsi" w:eastAsiaTheme="majorEastAsia" w:cstheme="majorBidi"/>
          <w:b/>
          <w:bCs/>
          <w:color w:val="FF0000"/>
          <w:sz w:val="72"/>
          <w:szCs w:val="72"/>
          <w:highlight w:val="green"/>
        </w:rPr>
        <w:t>凝预案</w:t>
      </w:r>
      <w:bookmarkEnd w:id="1"/>
      <w:bookmarkEnd w:id="2"/>
    </w:p>
    <w:p>
      <w:pPr>
        <w:spacing w:before="240" w:after="60"/>
        <w:jc w:val="center"/>
        <w:outlineLvl w:val="0"/>
        <w:rPr>
          <w:rFonts w:asciiTheme="majorHAnsi" w:hAnsiTheme="majorHAnsi" w:eastAsiaTheme="majorEastAsia" w:cstheme="majorBidi"/>
          <w:b/>
          <w:bCs/>
          <w:color w:val="FF0000"/>
          <w:sz w:val="44"/>
          <w:szCs w:val="44"/>
          <w:highlight w:val="green"/>
        </w:rPr>
      </w:pPr>
      <w:bookmarkStart w:id="17" w:name="_GoBack"/>
      <w:bookmarkEnd w:id="17"/>
    </w:p>
    <w:p>
      <w:pPr>
        <w:spacing w:before="240" w:after="60"/>
        <w:jc w:val="center"/>
        <w:outlineLvl w:val="0"/>
        <w:rPr>
          <w:rFonts w:asciiTheme="majorHAnsi" w:hAnsiTheme="majorHAnsi" w:eastAsiaTheme="majorEastAsia" w:cstheme="majorBidi"/>
          <w:b/>
          <w:bCs/>
          <w:color w:val="FF0000"/>
          <w:sz w:val="44"/>
          <w:szCs w:val="44"/>
          <w:highlight w:val="green"/>
        </w:rPr>
      </w:pPr>
    </w:p>
    <w:p>
      <w:pPr>
        <w:spacing w:before="240" w:after="60"/>
        <w:jc w:val="center"/>
        <w:outlineLvl w:val="0"/>
        <w:rPr>
          <w:rFonts w:asciiTheme="majorHAnsi" w:hAnsiTheme="majorHAnsi" w:eastAsiaTheme="majorEastAsia" w:cstheme="majorBidi"/>
          <w:b/>
          <w:bCs/>
          <w:color w:val="FF0000"/>
          <w:sz w:val="44"/>
          <w:szCs w:val="44"/>
          <w:highlight w:val="green"/>
        </w:rPr>
      </w:pPr>
    </w:p>
    <w:p>
      <w:pPr>
        <w:spacing w:before="240" w:after="60"/>
        <w:jc w:val="center"/>
        <w:outlineLvl w:val="0"/>
        <w:rPr>
          <w:rFonts w:asciiTheme="majorHAnsi" w:hAnsiTheme="majorHAnsi" w:eastAsiaTheme="majorEastAsia" w:cstheme="majorBidi"/>
          <w:b/>
          <w:bCs/>
          <w:color w:val="FF0000"/>
          <w:sz w:val="44"/>
          <w:szCs w:val="44"/>
          <w:highlight w:val="green"/>
        </w:rPr>
      </w:pPr>
    </w:p>
    <w:p>
      <w:pPr>
        <w:spacing w:before="240" w:after="60"/>
        <w:jc w:val="center"/>
        <w:outlineLvl w:val="0"/>
        <w:rPr>
          <w:rFonts w:hint="eastAsia" w:asciiTheme="majorHAnsi" w:hAnsiTheme="majorHAnsi" w:eastAsiaTheme="majorEastAsia" w:cstheme="majorBidi"/>
          <w:b/>
          <w:bCs/>
          <w:color w:val="FF0000"/>
          <w:sz w:val="44"/>
          <w:szCs w:val="44"/>
          <w:highlight w:val="green"/>
        </w:rPr>
      </w:pPr>
    </w:p>
    <w:sdt>
      <w:sdtPr>
        <w:rPr>
          <w:lang w:val="zh-CN"/>
        </w:rPr>
        <w:id w:val="802505750"/>
        <w:docPartObj>
          <w:docPartGallery w:val="Table of Contents"/>
          <w:docPartUnique/>
        </w:docPartObj>
      </w:sdtPr>
      <w:sdtEndPr>
        <w:rPr>
          <w:rFonts w:asciiTheme="minorHAnsi" w:hAnsiTheme="minorHAnsi" w:eastAsiaTheme="minorEastAsia" w:cstheme="minorBidi"/>
          <w:b/>
          <w:bCs/>
          <w:color w:val="auto"/>
          <w:kern w:val="2"/>
          <w:sz w:val="21"/>
          <w:szCs w:val="22"/>
          <w:lang w:val="zh-CN"/>
        </w:rPr>
      </w:sdtEndPr>
      <w:sdtContent>
        <w:p>
          <w:pPr>
            <w:pStyle w:val="13"/>
            <w:jc w:val="center"/>
            <w:rPr>
              <w:b/>
            </w:rPr>
          </w:pPr>
          <w:r>
            <w:rPr>
              <w:b/>
              <w:lang w:val="zh-CN"/>
            </w:rPr>
            <w:t>目录</w:t>
          </w:r>
        </w:p>
        <w:p>
          <w:pPr>
            <w:pStyle w:val="5"/>
            <w:tabs>
              <w:tab w:val="right" w:leader="dot" w:pos="8296"/>
            </w:tabs>
            <w:rPr>
              <w:rFonts w:hint="eastAsia"/>
            </w:rPr>
          </w:pPr>
          <w:r>
            <w:fldChar w:fldCharType="begin"/>
          </w:r>
          <w:r>
            <w:instrText xml:space="preserve"> TOC \o "1-3" \h \z \u </w:instrText>
          </w:r>
          <w:r>
            <w:fldChar w:fldCharType="separate"/>
          </w:r>
        </w:p>
        <w:p>
          <w:pPr>
            <w:pStyle w:val="6"/>
            <w:tabs>
              <w:tab w:val="right" w:leader="dot" w:pos="8296"/>
            </w:tabs>
            <w:spacing w:line="360" w:lineRule="auto"/>
            <w:rPr>
              <w:sz w:val="24"/>
              <w:szCs w:val="24"/>
            </w:rPr>
          </w:pPr>
          <w:r>
            <w:fldChar w:fldCharType="begin"/>
          </w:r>
          <w:r>
            <w:instrText xml:space="preserve"> HYPERLINK \l "_Toc55151234" </w:instrText>
          </w:r>
          <w:r>
            <w:fldChar w:fldCharType="separate"/>
          </w:r>
          <w:r>
            <w:rPr>
              <w:rStyle w:val="9"/>
              <w:b/>
              <w:bCs/>
              <w:kern w:val="28"/>
              <w:sz w:val="24"/>
              <w:szCs w:val="24"/>
            </w:rPr>
            <w:t>一、成立仪表冬季防冻防凝工作领导小组</w:t>
          </w:r>
          <w:r>
            <w:rPr>
              <w:sz w:val="24"/>
              <w:szCs w:val="24"/>
            </w:rPr>
            <w:tab/>
          </w:r>
          <w:r>
            <w:rPr>
              <w:sz w:val="24"/>
              <w:szCs w:val="24"/>
            </w:rPr>
            <w:fldChar w:fldCharType="begin"/>
          </w:r>
          <w:r>
            <w:rPr>
              <w:sz w:val="24"/>
              <w:szCs w:val="24"/>
            </w:rPr>
            <w:instrText xml:space="preserve"> PAGEREF _Toc55151234 \h </w:instrText>
          </w:r>
          <w:r>
            <w:rPr>
              <w:sz w:val="24"/>
              <w:szCs w:val="24"/>
            </w:rPr>
            <w:fldChar w:fldCharType="separate"/>
          </w:r>
          <w:r>
            <w:rPr>
              <w:sz w:val="24"/>
              <w:szCs w:val="24"/>
            </w:rPr>
            <w:t>2</w:t>
          </w:r>
          <w:r>
            <w:rPr>
              <w:sz w:val="24"/>
              <w:szCs w:val="24"/>
            </w:rPr>
            <w:fldChar w:fldCharType="end"/>
          </w:r>
          <w:r>
            <w:rPr>
              <w:sz w:val="24"/>
              <w:szCs w:val="24"/>
            </w:rPr>
            <w:fldChar w:fldCharType="end"/>
          </w:r>
        </w:p>
        <w:p>
          <w:pPr>
            <w:pStyle w:val="6"/>
            <w:tabs>
              <w:tab w:val="right" w:leader="dot" w:pos="8296"/>
            </w:tabs>
            <w:spacing w:line="360" w:lineRule="auto"/>
            <w:rPr>
              <w:sz w:val="24"/>
              <w:szCs w:val="24"/>
            </w:rPr>
          </w:pPr>
          <w:r>
            <w:fldChar w:fldCharType="begin"/>
          </w:r>
          <w:r>
            <w:instrText xml:space="preserve"> HYPERLINK \l "_Toc55151235" </w:instrText>
          </w:r>
          <w:r>
            <w:fldChar w:fldCharType="separate"/>
          </w:r>
          <w:r>
            <w:rPr>
              <w:rStyle w:val="9"/>
              <w:b/>
              <w:bCs/>
              <w:kern w:val="28"/>
              <w:sz w:val="24"/>
              <w:szCs w:val="24"/>
            </w:rPr>
            <w:t>二、小组成员职责</w:t>
          </w:r>
          <w:r>
            <w:rPr>
              <w:sz w:val="24"/>
              <w:szCs w:val="24"/>
            </w:rPr>
            <w:tab/>
          </w:r>
          <w:r>
            <w:rPr>
              <w:sz w:val="24"/>
              <w:szCs w:val="24"/>
            </w:rPr>
            <w:fldChar w:fldCharType="begin"/>
          </w:r>
          <w:r>
            <w:rPr>
              <w:sz w:val="24"/>
              <w:szCs w:val="24"/>
            </w:rPr>
            <w:instrText xml:space="preserve"> PAGEREF _Toc55151235 \h </w:instrText>
          </w:r>
          <w:r>
            <w:rPr>
              <w:sz w:val="24"/>
              <w:szCs w:val="24"/>
            </w:rPr>
            <w:fldChar w:fldCharType="separate"/>
          </w:r>
          <w:r>
            <w:rPr>
              <w:sz w:val="24"/>
              <w:szCs w:val="24"/>
            </w:rPr>
            <w:t>2</w:t>
          </w:r>
          <w:r>
            <w:rPr>
              <w:sz w:val="24"/>
              <w:szCs w:val="24"/>
            </w:rPr>
            <w:fldChar w:fldCharType="end"/>
          </w:r>
          <w:r>
            <w:rPr>
              <w:sz w:val="24"/>
              <w:szCs w:val="24"/>
            </w:rPr>
            <w:fldChar w:fldCharType="end"/>
          </w:r>
        </w:p>
        <w:p>
          <w:pPr>
            <w:pStyle w:val="6"/>
            <w:tabs>
              <w:tab w:val="right" w:leader="dot" w:pos="8296"/>
            </w:tabs>
            <w:spacing w:line="360" w:lineRule="auto"/>
            <w:rPr>
              <w:sz w:val="24"/>
              <w:szCs w:val="24"/>
            </w:rPr>
          </w:pPr>
          <w:r>
            <w:fldChar w:fldCharType="begin"/>
          </w:r>
          <w:r>
            <w:instrText xml:space="preserve"> HYPERLINK \l "_Toc55151236" </w:instrText>
          </w:r>
          <w:r>
            <w:fldChar w:fldCharType="separate"/>
          </w:r>
          <w:r>
            <w:rPr>
              <w:rStyle w:val="9"/>
              <w:b/>
              <w:bCs/>
              <w:kern w:val="28"/>
              <w:sz w:val="24"/>
              <w:szCs w:val="24"/>
            </w:rPr>
            <w:t>三、冬季防冻防凝工作（安全生产）目标</w:t>
          </w:r>
          <w:r>
            <w:rPr>
              <w:sz w:val="24"/>
              <w:szCs w:val="24"/>
            </w:rPr>
            <w:tab/>
          </w:r>
          <w:r>
            <w:rPr>
              <w:sz w:val="24"/>
              <w:szCs w:val="24"/>
            </w:rPr>
            <w:fldChar w:fldCharType="begin"/>
          </w:r>
          <w:r>
            <w:rPr>
              <w:sz w:val="24"/>
              <w:szCs w:val="24"/>
            </w:rPr>
            <w:instrText xml:space="preserve"> PAGEREF _Toc55151236 \h </w:instrText>
          </w:r>
          <w:r>
            <w:rPr>
              <w:sz w:val="24"/>
              <w:szCs w:val="24"/>
            </w:rPr>
            <w:fldChar w:fldCharType="separate"/>
          </w:r>
          <w:r>
            <w:rPr>
              <w:sz w:val="24"/>
              <w:szCs w:val="24"/>
            </w:rPr>
            <w:t>2</w:t>
          </w:r>
          <w:r>
            <w:rPr>
              <w:sz w:val="24"/>
              <w:szCs w:val="24"/>
            </w:rPr>
            <w:fldChar w:fldCharType="end"/>
          </w:r>
          <w:r>
            <w:rPr>
              <w:sz w:val="24"/>
              <w:szCs w:val="24"/>
            </w:rPr>
            <w:fldChar w:fldCharType="end"/>
          </w:r>
        </w:p>
        <w:p>
          <w:pPr>
            <w:pStyle w:val="6"/>
            <w:tabs>
              <w:tab w:val="right" w:leader="dot" w:pos="8296"/>
            </w:tabs>
            <w:spacing w:line="360" w:lineRule="auto"/>
            <w:rPr>
              <w:sz w:val="24"/>
              <w:szCs w:val="24"/>
            </w:rPr>
          </w:pPr>
          <w:r>
            <w:fldChar w:fldCharType="begin"/>
          </w:r>
          <w:r>
            <w:instrText xml:space="preserve"> HYPERLINK \l "_Toc55151237" </w:instrText>
          </w:r>
          <w:r>
            <w:fldChar w:fldCharType="separate"/>
          </w:r>
          <w:r>
            <w:rPr>
              <w:rStyle w:val="9"/>
              <w:b/>
              <w:bCs/>
              <w:kern w:val="28"/>
              <w:sz w:val="24"/>
              <w:szCs w:val="24"/>
            </w:rPr>
            <w:t>四、工作部署</w:t>
          </w:r>
          <w:r>
            <w:rPr>
              <w:sz w:val="24"/>
              <w:szCs w:val="24"/>
            </w:rPr>
            <w:tab/>
          </w:r>
          <w:r>
            <w:rPr>
              <w:sz w:val="24"/>
              <w:szCs w:val="24"/>
            </w:rPr>
            <w:fldChar w:fldCharType="begin"/>
          </w:r>
          <w:r>
            <w:rPr>
              <w:sz w:val="24"/>
              <w:szCs w:val="24"/>
            </w:rPr>
            <w:instrText xml:space="preserve"> PAGEREF _Toc55151237 \h </w:instrText>
          </w:r>
          <w:r>
            <w:rPr>
              <w:sz w:val="24"/>
              <w:szCs w:val="24"/>
            </w:rPr>
            <w:fldChar w:fldCharType="separate"/>
          </w:r>
          <w:r>
            <w:rPr>
              <w:sz w:val="24"/>
              <w:szCs w:val="24"/>
            </w:rPr>
            <w:t>3</w:t>
          </w:r>
          <w:r>
            <w:rPr>
              <w:sz w:val="24"/>
              <w:szCs w:val="24"/>
            </w:rPr>
            <w:fldChar w:fldCharType="end"/>
          </w:r>
          <w:r>
            <w:rPr>
              <w:sz w:val="24"/>
              <w:szCs w:val="24"/>
            </w:rPr>
            <w:fldChar w:fldCharType="end"/>
          </w:r>
        </w:p>
        <w:p>
          <w:pPr>
            <w:pStyle w:val="6"/>
            <w:tabs>
              <w:tab w:val="right" w:leader="dot" w:pos="8296"/>
            </w:tabs>
            <w:spacing w:line="360" w:lineRule="auto"/>
            <w:rPr>
              <w:sz w:val="24"/>
              <w:szCs w:val="24"/>
            </w:rPr>
          </w:pPr>
          <w:r>
            <w:fldChar w:fldCharType="begin"/>
          </w:r>
          <w:r>
            <w:instrText xml:space="preserve"> HYPERLINK \l "_Toc55151238" </w:instrText>
          </w:r>
          <w:r>
            <w:fldChar w:fldCharType="separate"/>
          </w:r>
          <w:r>
            <w:rPr>
              <w:rStyle w:val="9"/>
              <w:b/>
              <w:bCs/>
              <w:kern w:val="28"/>
              <w:sz w:val="24"/>
              <w:szCs w:val="24"/>
            </w:rPr>
            <w:t>五、仪表防冻防凝工作要求</w:t>
          </w:r>
          <w:r>
            <w:rPr>
              <w:sz w:val="24"/>
              <w:szCs w:val="24"/>
            </w:rPr>
            <w:tab/>
          </w:r>
          <w:r>
            <w:rPr>
              <w:sz w:val="24"/>
              <w:szCs w:val="24"/>
            </w:rPr>
            <w:fldChar w:fldCharType="begin"/>
          </w:r>
          <w:r>
            <w:rPr>
              <w:sz w:val="24"/>
              <w:szCs w:val="24"/>
            </w:rPr>
            <w:instrText xml:space="preserve"> PAGEREF _Toc55151238 \h </w:instrText>
          </w:r>
          <w:r>
            <w:rPr>
              <w:sz w:val="24"/>
              <w:szCs w:val="24"/>
            </w:rPr>
            <w:fldChar w:fldCharType="separate"/>
          </w:r>
          <w:r>
            <w:rPr>
              <w:sz w:val="24"/>
              <w:szCs w:val="24"/>
            </w:rPr>
            <w:t>5</w:t>
          </w:r>
          <w:r>
            <w:rPr>
              <w:sz w:val="24"/>
              <w:szCs w:val="24"/>
            </w:rPr>
            <w:fldChar w:fldCharType="end"/>
          </w:r>
          <w:r>
            <w:rPr>
              <w:sz w:val="24"/>
              <w:szCs w:val="24"/>
            </w:rPr>
            <w:fldChar w:fldCharType="end"/>
          </w:r>
        </w:p>
        <w:p>
          <w:pPr>
            <w:pStyle w:val="6"/>
            <w:tabs>
              <w:tab w:val="right" w:leader="dot" w:pos="8296"/>
            </w:tabs>
            <w:spacing w:line="360" w:lineRule="auto"/>
            <w:rPr>
              <w:sz w:val="24"/>
              <w:szCs w:val="24"/>
            </w:rPr>
          </w:pPr>
          <w:r>
            <w:fldChar w:fldCharType="begin"/>
          </w:r>
          <w:r>
            <w:instrText xml:space="preserve"> HYPERLINK \l "_Toc55151239" </w:instrText>
          </w:r>
          <w:r>
            <w:fldChar w:fldCharType="separate"/>
          </w:r>
          <w:r>
            <w:rPr>
              <w:rStyle w:val="9"/>
              <w:b/>
              <w:bCs/>
              <w:kern w:val="28"/>
              <w:sz w:val="24"/>
              <w:szCs w:val="24"/>
            </w:rPr>
            <w:t>六、应急预案</w:t>
          </w:r>
          <w:r>
            <w:rPr>
              <w:sz w:val="24"/>
              <w:szCs w:val="24"/>
            </w:rPr>
            <w:tab/>
          </w:r>
          <w:r>
            <w:rPr>
              <w:sz w:val="24"/>
              <w:szCs w:val="24"/>
            </w:rPr>
            <w:fldChar w:fldCharType="begin"/>
          </w:r>
          <w:r>
            <w:rPr>
              <w:sz w:val="24"/>
              <w:szCs w:val="24"/>
            </w:rPr>
            <w:instrText xml:space="preserve"> PAGEREF _Toc55151239 \h </w:instrText>
          </w:r>
          <w:r>
            <w:rPr>
              <w:sz w:val="24"/>
              <w:szCs w:val="24"/>
            </w:rPr>
            <w:fldChar w:fldCharType="separate"/>
          </w:r>
          <w:r>
            <w:rPr>
              <w:sz w:val="24"/>
              <w:szCs w:val="24"/>
            </w:rPr>
            <w:t>8</w:t>
          </w:r>
          <w:r>
            <w:rPr>
              <w:sz w:val="24"/>
              <w:szCs w:val="24"/>
            </w:rPr>
            <w:fldChar w:fldCharType="end"/>
          </w:r>
          <w:r>
            <w:rPr>
              <w:sz w:val="24"/>
              <w:szCs w:val="24"/>
            </w:rPr>
            <w:fldChar w:fldCharType="end"/>
          </w:r>
        </w:p>
        <w:p>
          <w:pPr>
            <w:pStyle w:val="6"/>
            <w:tabs>
              <w:tab w:val="right" w:leader="dot" w:pos="8296"/>
            </w:tabs>
            <w:spacing w:line="360" w:lineRule="auto"/>
            <w:rPr>
              <w:sz w:val="24"/>
              <w:szCs w:val="24"/>
            </w:rPr>
          </w:pPr>
          <w:r>
            <w:fldChar w:fldCharType="begin"/>
          </w:r>
          <w:r>
            <w:instrText xml:space="preserve"> HYPERLINK \l "_Toc55151240" </w:instrText>
          </w:r>
          <w:r>
            <w:fldChar w:fldCharType="separate"/>
          </w:r>
          <w:r>
            <w:rPr>
              <w:rStyle w:val="9"/>
              <w:b/>
              <w:bCs/>
              <w:kern w:val="28"/>
              <w:sz w:val="24"/>
              <w:szCs w:val="24"/>
            </w:rPr>
            <w:t>七、防冻防凝竞赛方案</w:t>
          </w:r>
          <w:r>
            <w:rPr>
              <w:sz w:val="24"/>
              <w:szCs w:val="24"/>
            </w:rPr>
            <w:tab/>
          </w:r>
          <w:r>
            <w:rPr>
              <w:sz w:val="24"/>
              <w:szCs w:val="24"/>
            </w:rPr>
            <w:fldChar w:fldCharType="begin"/>
          </w:r>
          <w:r>
            <w:rPr>
              <w:sz w:val="24"/>
              <w:szCs w:val="24"/>
            </w:rPr>
            <w:instrText xml:space="preserve"> PAGEREF _Toc55151240 \h </w:instrText>
          </w:r>
          <w:r>
            <w:rPr>
              <w:sz w:val="24"/>
              <w:szCs w:val="24"/>
            </w:rPr>
            <w:fldChar w:fldCharType="separate"/>
          </w:r>
          <w:r>
            <w:rPr>
              <w:sz w:val="24"/>
              <w:szCs w:val="24"/>
            </w:rPr>
            <w:t>11</w:t>
          </w:r>
          <w:r>
            <w:rPr>
              <w:sz w:val="24"/>
              <w:szCs w:val="24"/>
            </w:rPr>
            <w:fldChar w:fldCharType="end"/>
          </w:r>
          <w:r>
            <w:rPr>
              <w:sz w:val="24"/>
              <w:szCs w:val="24"/>
            </w:rPr>
            <w:fldChar w:fldCharType="end"/>
          </w:r>
        </w:p>
        <w:p>
          <w:r>
            <w:rPr>
              <w:b/>
              <w:bCs/>
              <w:lang w:val="zh-CN"/>
            </w:rPr>
            <w:fldChar w:fldCharType="end"/>
          </w:r>
        </w:p>
        <w:p>
          <w:pPr>
            <w:rPr>
              <w:rFonts w:hint="eastAsia"/>
            </w:rPr>
          </w:pPr>
        </w:p>
      </w:sdtContent>
    </w:sdt>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为了确保各装置仪表安全平稳顺利过冬，保障各生产装置在冬季平稳运行，仪表专业管理组根据公司精神特制定了本作业部冬季仪表防冻防凝工作方案。</w:t>
      </w:r>
    </w:p>
    <w:p>
      <w:pPr>
        <w:spacing w:before="240" w:after="60" w:line="312" w:lineRule="auto"/>
        <w:jc w:val="left"/>
        <w:outlineLvl w:val="1"/>
        <w:rPr>
          <w:rFonts w:hint="eastAsia"/>
          <w:b/>
          <w:bCs/>
          <w:kern w:val="28"/>
          <w:sz w:val="32"/>
          <w:szCs w:val="32"/>
        </w:rPr>
      </w:pPr>
      <w:bookmarkStart w:id="3" w:name="_Toc55151234"/>
      <w:bookmarkStart w:id="4" w:name="_Toc55150246"/>
      <w:r>
        <w:rPr>
          <w:b/>
          <w:bCs/>
          <w:kern w:val="28"/>
          <w:sz w:val="32"/>
          <w:szCs w:val="32"/>
        </w:rPr>
        <w:t>一、成立仪表冬季防冻防凝工作领导小组</w:t>
      </w:r>
      <w:bookmarkEnd w:id="3"/>
      <w:bookmarkEnd w:id="4"/>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组长：###</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副组长：####</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组员：####</w:t>
      </w:r>
    </w:p>
    <w:p>
      <w:pPr>
        <w:spacing w:before="240" w:after="60" w:line="312" w:lineRule="auto"/>
        <w:jc w:val="left"/>
        <w:outlineLvl w:val="1"/>
        <w:rPr>
          <w:rFonts w:hint="eastAsia"/>
          <w:b/>
          <w:bCs/>
          <w:kern w:val="28"/>
          <w:sz w:val="32"/>
          <w:szCs w:val="32"/>
        </w:rPr>
      </w:pPr>
      <w:bookmarkStart w:id="5" w:name="_Toc55151235"/>
      <w:bookmarkStart w:id="6" w:name="_Toc55150247"/>
      <w:r>
        <w:rPr>
          <w:b/>
          <w:bCs/>
          <w:kern w:val="28"/>
          <w:sz w:val="32"/>
          <w:szCs w:val="32"/>
        </w:rPr>
        <w:t>二、小组成员职责</w:t>
      </w:r>
      <w:bookmarkEnd w:id="5"/>
      <w:bookmarkEnd w:id="6"/>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领导小组组长、副组长负责作业部冬季安全生产的全面工作；根据天气情况启动作业部应急预案；组织作业部力量应对各种突发事件；对作业部冬季生产开展考核。做好外包区域防冻防凝维护的管理工作。</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各维护区域主任：负责各维护区域的冬季安全生产工作；仪表计量主要做好防冻防凝工作，电气主要负责冬季供电的安全；负责落实作业部的各种工作安排；负责根据管理方案落实日常的维护工作；负责对维护区域的冬季维护进行考核。</w:t>
      </w:r>
    </w:p>
    <w:p>
      <w:pPr>
        <w:spacing w:before="240" w:after="60" w:line="312" w:lineRule="auto"/>
        <w:jc w:val="left"/>
        <w:outlineLvl w:val="1"/>
        <w:rPr>
          <w:rFonts w:hint="eastAsia"/>
          <w:b/>
          <w:bCs/>
          <w:kern w:val="28"/>
          <w:sz w:val="32"/>
          <w:szCs w:val="32"/>
        </w:rPr>
      </w:pPr>
      <w:bookmarkStart w:id="7" w:name="_Toc55150248"/>
      <w:bookmarkStart w:id="8" w:name="_Toc55151236"/>
      <w:r>
        <w:rPr>
          <w:b/>
          <w:bCs/>
          <w:kern w:val="28"/>
          <w:sz w:val="32"/>
          <w:szCs w:val="32"/>
        </w:rPr>
        <w:t>三、冬季防冻防凝工作（安全生产）目标</w:t>
      </w:r>
      <w:bookmarkEnd w:id="7"/>
      <w:bookmarkEnd w:id="8"/>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1、不冻坏一台仪表及仪表用管线；</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2、不发生由于仪表冻凝造成的装置或大机组非计划停工；</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3、做好电伴热设备的维护，保证生产设备、电气设备的安全运行。</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4、做好外包维护区域的配合管理。</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5、完成新装置防冻防凝台账和预防性维护策略的建立。</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6、完成化工仪表的停用的积水排放吹扫，局部灌注乙二醇不发生冻坏一台仪表。</w:t>
      </w:r>
    </w:p>
    <w:p>
      <w:pPr>
        <w:spacing w:before="240" w:after="60" w:line="312" w:lineRule="auto"/>
        <w:jc w:val="left"/>
        <w:outlineLvl w:val="1"/>
        <w:rPr>
          <w:rFonts w:hint="eastAsia"/>
          <w:b/>
          <w:bCs/>
          <w:kern w:val="28"/>
          <w:sz w:val="32"/>
          <w:szCs w:val="32"/>
        </w:rPr>
      </w:pPr>
      <w:bookmarkStart w:id="9" w:name="_Toc55151237"/>
      <w:bookmarkStart w:id="10" w:name="_Toc55150249"/>
      <w:r>
        <w:rPr>
          <w:b/>
          <w:bCs/>
          <w:kern w:val="28"/>
          <w:sz w:val="32"/>
          <w:szCs w:val="32"/>
        </w:rPr>
        <w:t>四、工作部署</w:t>
      </w:r>
      <w:bookmarkEnd w:id="9"/>
      <w:bookmarkEnd w:id="10"/>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将冬季安全生产工作安排分为四个阶段：</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1、前期检查及准备阶段（根据实际情况定时间）</w:t>
      </w:r>
    </w:p>
    <w:p>
      <w:pPr>
        <w:shd w:val="clear" w:color="auto" w:fill="FFFFFF"/>
        <w:spacing w:line="360" w:lineRule="auto"/>
        <w:ind w:left="300" w:right="300" w:firstLine="652" w:firstLineChars="200"/>
        <w:jc w:val="left"/>
        <w:rPr>
          <w:rFonts w:ascii="宋体" w:hAnsi="宋体" w:eastAsia="宋体" w:cs="宋体"/>
          <w:color w:val="333333"/>
          <w:spacing w:val="23"/>
          <w:kern w:val="0"/>
          <w:sz w:val="28"/>
          <w:szCs w:val="28"/>
        </w:rPr>
      </w:pPr>
      <w:r>
        <w:rPr>
          <w:rFonts w:ascii="宋体" w:hAnsi="宋体" w:eastAsia="宋体" w:cs="宋体"/>
          <w:color w:val="333333"/>
          <w:spacing w:val="23"/>
          <w:kern w:val="0"/>
          <w:sz w:val="28"/>
          <w:szCs w:val="28"/>
        </w:rPr>
        <w:t>在该阶段仪表专业制定《防冻防凝（冬季安全）管理方案》，要求下属仪表各部根据《指导细则》及所辖装置特点并参考往年防冻防凝情况制定适用于本部的仪表冬季防冻防凝方案。</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并根据方案进行前期准备工作，对装置仪表的保温伴热情况进行详细检查摸底，查找仪表隐患及缺陷，建立完善《仪表防冻防凝台账》，根据检查中发现的问题，制定详尽的防冻凝计划，电气根据专业特点编制冬季安全生产方案。开展新装置防冻防凝隐患缺陷检查，将整改方案报项目部。</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2、计划实施阶段（根据实际情况定时间）</w:t>
      </w:r>
    </w:p>
    <w:p>
      <w:pPr>
        <w:shd w:val="clear" w:color="auto" w:fill="FFFFFF"/>
        <w:spacing w:line="360" w:lineRule="auto"/>
        <w:ind w:left="300" w:right="300" w:firstLine="652" w:firstLineChars="200"/>
        <w:jc w:val="left"/>
        <w:rPr>
          <w:rFonts w:ascii="宋体" w:hAnsi="宋体" w:eastAsia="宋体" w:cs="宋体"/>
          <w:color w:val="333333"/>
          <w:spacing w:val="23"/>
          <w:kern w:val="0"/>
          <w:sz w:val="28"/>
          <w:szCs w:val="28"/>
        </w:rPr>
      </w:pPr>
      <w:r>
        <w:rPr>
          <w:rFonts w:ascii="宋体" w:hAnsi="宋体" w:eastAsia="宋体" w:cs="宋体"/>
          <w:color w:val="333333"/>
          <w:spacing w:val="23"/>
          <w:kern w:val="0"/>
          <w:sz w:val="28"/>
          <w:szCs w:val="28"/>
        </w:rPr>
        <w:t>在该阶段要求作业部各部制定表格，做好隔离液置换记录，并将责任具体落实到人。</w:t>
      </w:r>
    </w:p>
    <w:p>
      <w:pPr>
        <w:shd w:val="clear" w:color="auto" w:fill="FFFFFF"/>
        <w:spacing w:line="360" w:lineRule="auto"/>
        <w:ind w:left="300" w:right="300" w:firstLine="652" w:firstLineChars="200"/>
        <w:jc w:val="left"/>
        <w:rPr>
          <w:rFonts w:ascii="宋体" w:hAnsi="宋体" w:eastAsia="宋体" w:cs="宋体"/>
          <w:color w:val="333333"/>
          <w:spacing w:val="23"/>
          <w:kern w:val="0"/>
          <w:sz w:val="28"/>
          <w:szCs w:val="28"/>
        </w:rPr>
      </w:pPr>
      <w:r>
        <w:rPr>
          <w:rFonts w:ascii="宋体" w:hAnsi="宋体" w:eastAsia="宋体" w:cs="宋体"/>
          <w:color w:val="333333"/>
          <w:spacing w:val="23"/>
          <w:kern w:val="0"/>
          <w:sz w:val="28"/>
          <w:szCs w:val="28"/>
        </w:rPr>
        <w:t>将所有需要灌隔离液的仪表全部置换一遍，强调仪表隔离液稀释应确保均匀，保证隔离液母管的冬季安全。</w:t>
      </w:r>
    </w:p>
    <w:p>
      <w:pPr>
        <w:shd w:val="clear" w:color="auto" w:fill="FFFFFF"/>
        <w:spacing w:line="360" w:lineRule="auto"/>
        <w:ind w:left="300" w:right="300" w:firstLine="652" w:firstLineChars="200"/>
        <w:jc w:val="left"/>
        <w:rPr>
          <w:rFonts w:ascii="宋体" w:hAnsi="宋体" w:eastAsia="宋体" w:cs="宋体"/>
          <w:color w:val="333333"/>
          <w:spacing w:val="23"/>
          <w:kern w:val="0"/>
          <w:sz w:val="28"/>
          <w:szCs w:val="28"/>
        </w:rPr>
      </w:pPr>
      <w:r>
        <w:rPr>
          <w:rFonts w:ascii="宋体" w:hAnsi="宋体" w:eastAsia="宋体" w:cs="宋体"/>
          <w:color w:val="333333"/>
          <w:spacing w:val="23"/>
          <w:kern w:val="0"/>
          <w:sz w:val="28"/>
          <w:szCs w:val="28"/>
        </w:rPr>
        <w:t>要求根据防冻防凝计划对前期检查发现的仪表隐患及缺陷进行彻底整改，对保温进行补充加厚，有问题的疏水器予以更换。</w:t>
      </w:r>
    </w:p>
    <w:p>
      <w:pPr>
        <w:shd w:val="clear" w:color="auto" w:fill="FFFFFF"/>
        <w:spacing w:line="360" w:lineRule="auto"/>
        <w:ind w:left="300" w:right="300" w:firstLine="652" w:firstLineChars="200"/>
        <w:jc w:val="left"/>
        <w:rPr>
          <w:rFonts w:ascii="宋体" w:hAnsi="宋体" w:eastAsia="宋体" w:cs="宋体"/>
          <w:color w:val="333333"/>
          <w:spacing w:val="23"/>
          <w:kern w:val="0"/>
          <w:sz w:val="28"/>
          <w:szCs w:val="28"/>
        </w:rPr>
      </w:pPr>
      <w:r>
        <w:rPr>
          <w:rFonts w:ascii="宋体" w:hAnsi="宋体" w:eastAsia="宋体" w:cs="宋体"/>
          <w:color w:val="333333"/>
          <w:spacing w:val="23"/>
          <w:kern w:val="0"/>
          <w:sz w:val="28"/>
          <w:szCs w:val="28"/>
        </w:rPr>
        <w:t>落实冬季应急材料的准备。</w:t>
      </w:r>
    </w:p>
    <w:p>
      <w:pPr>
        <w:shd w:val="clear" w:color="auto" w:fill="FFFFFF"/>
        <w:spacing w:line="360" w:lineRule="auto"/>
        <w:ind w:left="300" w:right="300" w:firstLine="652" w:firstLineChars="200"/>
        <w:jc w:val="left"/>
        <w:rPr>
          <w:rFonts w:ascii="宋体" w:hAnsi="宋体" w:eastAsia="宋体" w:cs="宋体"/>
          <w:color w:val="333333"/>
          <w:spacing w:val="23"/>
          <w:kern w:val="0"/>
          <w:sz w:val="28"/>
          <w:szCs w:val="28"/>
        </w:rPr>
      </w:pPr>
      <w:r>
        <w:rPr>
          <w:rFonts w:ascii="宋体" w:hAnsi="宋体" w:eastAsia="宋体" w:cs="宋体"/>
          <w:color w:val="333333"/>
          <w:spacing w:val="23"/>
          <w:kern w:val="0"/>
          <w:sz w:val="28"/>
          <w:szCs w:val="28"/>
        </w:rPr>
        <w:t>仪表对防冻防凝台账进行补充10月30日前完成。</w:t>
      </w:r>
    </w:p>
    <w:p>
      <w:pPr>
        <w:shd w:val="clear" w:color="auto" w:fill="FFFFFF"/>
        <w:spacing w:line="360" w:lineRule="auto"/>
        <w:ind w:left="300" w:right="300" w:firstLine="652" w:firstLineChars="200"/>
        <w:jc w:val="left"/>
        <w:rPr>
          <w:rFonts w:ascii="宋体" w:hAnsi="宋体" w:eastAsia="宋体" w:cs="宋体"/>
          <w:color w:val="333333"/>
          <w:spacing w:val="23"/>
          <w:kern w:val="0"/>
          <w:sz w:val="28"/>
          <w:szCs w:val="28"/>
        </w:rPr>
      </w:pPr>
      <w:r>
        <w:rPr>
          <w:rFonts w:ascii="宋体" w:hAnsi="宋体" w:eastAsia="宋体" w:cs="宋体"/>
          <w:color w:val="333333"/>
          <w:spacing w:val="23"/>
          <w:kern w:val="0"/>
          <w:sz w:val="28"/>
          <w:szCs w:val="28"/>
        </w:rPr>
        <w:t>新装置应于10月15日前开始仪表封液的置换，在11月10日前将封液浓度置换到50%左右。</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化工装置于10月20日完成仪表的停用吹扫隔离工作。确定冬季预防性维护的仪表设备，每月29日前在EM申报防冻防凝预防性维护项目（分装置申报项目）。</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3、冬季运行阶段（根据实际情况定时间）</w:t>
      </w:r>
    </w:p>
    <w:p>
      <w:pPr>
        <w:shd w:val="clear" w:color="auto" w:fill="FFFFFF"/>
        <w:spacing w:line="360" w:lineRule="auto"/>
        <w:ind w:left="300" w:right="300" w:firstLine="652" w:firstLineChars="200"/>
        <w:jc w:val="left"/>
        <w:rPr>
          <w:rFonts w:ascii="宋体" w:hAnsi="宋体" w:eastAsia="宋体" w:cs="宋体"/>
          <w:color w:val="333333"/>
          <w:spacing w:val="23"/>
          <w:kern w:val="0"/>
          <w:sz w:val="28"/>
          <w:szCs w:val="28"/>
        </w:rPr>
      </w:pPr>
      <w:r>
        <w:rPr>
          <w:rFonts w:ascii="宋体" w:hAnsi="宋体" w:eastAsia="宋体" w:cs="宋体"/>
          <w:color w:val="333333"/>
          <w:spacing w:val="23"/>
          <w:kern w:val="0"/>
          <w:sz w:val="28"/>
          <w:szCs w:val="28"/>
        </w:rPr>
        <w:t>总体要求：及时处理仪表引压管线及伴热管线的跑冒滴漏，以减少因仪表隔离液流失造成的仪表故障；加强巡检，及时发现仪表故障初期苗头，争取将仪表故障消灭在萌芽状态，并进一步采取相应防范措施。</w:t>
      </w:r>
    </w:p>
    <w:p>
      <w:pPr>
        <w:shd w:val="clear" w:color="auto" w:fill="FFFFFF"/>
        <w:spacing w:line="360" w:lineRule="auto"/>
        <w:ind w:left="300" w:right="300" w:firstLine="652" w:firstLineChars="200"/>
        <w:jc w:val="left"/>
        <w:rPr>
          <w:rFonts w:ascii="宋体" w:hAnsi="宋体" w:eastAsia="宋体" w:cs="宋体"/>
          <w:color w:val="333333"/>
          <w:spacing w:val="23"/>
          <w:kern w:val="0"/>
          <w:sz w:val="28"/>
          <w:szCs w:val="28"/>
        </w:rPr>
      </w:pPr>
      <w:r>
        <w:rPr>
          <w:rFonts w:ascii="宋体" w:hAnsi="宋体" w:eastAsia="宋体" w:cs="宋体"/>
          <w:color w:val="333333"/>
          <w:spacing w:val="23"/>
          <w:kern w:val="0"/>
          <w:sz w:val="28"/>
          <w:szCs w:val="28"/>
        </w:rPr>
        <w:t>维护应突出重点，强化对联锁、控制等关键仪表的巡检，对关键仪表以及故障频繁的仪表进行主动性维护，定期置换隔离液，涉及仪表风和介质带水的的仪表定期排放；对故障频繁的仪表组织技术人员进行攻关，措施不能实施的应做好记录。</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根据天气和仪表特点提出投用伴热申请，对自主管理的伴热根据公司指令调整操作；电气根据方案做好冬季安全供电和电伴热的运行维护。</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计划的执行：各维护单位根据制定的防冻防凝预防性维护计划，定期开展各种检查维护；并做好记录，必要时可根据检查维护情况、天气情况调整相关计划。</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恶劣天气的应对：作业部调度每天关注天气变化，并根据公司相关要求，开展恶劣天气应对指挥。各维护单位应根据作业部要求，及时安排进行前期检查处理，及时消除故障苗头，保证设备的平稳运行。</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4、防冻防凝（冬季安全）工作总结（根据实际情况定时间）</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在防冻防凝期结束后，还要做好防冻防凝的总结工作，对防冻防凝期间工作不足之处以及好的一面进行总结，以备来年整改参考。</w:t>
      </w:r>
    </w:p>
    <w:p>
      <w:pPr>
        <w:spacing w:before="240" w:after="60" w:line="312" w:lineRule="auto"/>
        <w:jc w:val="left"/>
        <w:outlineLvl w:val="1"/>
        <w:rPr>
          <w:rFonts w:hint="eastAsia"/>
          <w:b/>
          <w:bCs/>
          <w:kern w:val="28"/>
          <w:sz w:val="32"/>
          <w:szCs w:val="32"/>
        </w:rPr>
      </w:pPr>
      <w:bookmarkStart w:id="11" w:name="_Toc55150250"/>
      <w:bookmarkStart w:id="12" w:name="_Toc55151238"/>
      <w:r>
        <w:rPr>
          <w:b/>
          <w:bCs/>
          <w:kern w:val="28"/>
          <w:sz w:val="32"/>
          <w:szCs w:val="32"/>
        </w:rPr>
        <w:t>五、仪表防冻防凝工作要求</w:t>
      </w:r>
      <w:bookmarkEnd w:id="11"/>
      <w:bookmarkEnd w:id="12"/>
    </w:p>
    <w:p>
      <w:pPr>
        <w:shd w:val="clear" w:color="auto" w:fill="FFFFFF"/>
        <w:spacing w:line="360" w:lineRule="auto"/>
        <w:ind w:left="300" w:right="300" w:firstLine="652" w:firstLineChars="200"/>
        <w:jc w:val="left"/>
        <w:rPr>
          <w:rFonts w:ascii="宋体" w:hAnsi="宋体" w:eastAsia="宋体" w:cs="宋体"/>
          <w:color w:val="333333"/>
          <w:spacing w:val="23"/>
          <w:kern w:val="0"/>
          <w:sz w:val="28"/>
          <w:szCs w:val="28"/>
        </w:rPr>
      </w:pPr>
      <w:r>
        <w:rPr>
          <w:rFonts w:ascii="宋体" w:hAnsi="宋体" w:eastAsia="宋体" w:cs="宋体"/>
          <w:color w:val="333333"/>
          <w:spacing w:val="23"/>
          <w:kern w:val="0"/>
          <w:sz w:val="28"/>
          <w:szCs w:val="28"/>
        </w:rPr>
        <w:t>1、仪表、计量维护区域应编制维护区域的防冻防凝管理方案，对维护区域的各种仪表进行分类管理建立防冻防凝台帐。</w:t>
      </w:r>
    </w:p>
    <w:p>
      <w:pPr>
        <w:shd w:val="clear" w:color="auto" w:fill="FFFFFF"/>
        <w:spacing w:line="360" w:lineRule="auto"/>
        <w:ind w:left="300" w:right="300" w:firstLine="652" w:firstLineChars="200"/>
        <w:jc w:val="left"/>
        <w:rPr>
          <w:rFonts w:ascii="宋体" w:hAnsi="宋体" w:eastAsia="宋体" w:cs="宋体"/>
          <w:color w:val="333333"/>
          <w:spacing w:val="23"/>
          <w:kern w:val="0"/>
          <w:sz w:val="28"/>
          <w:szCs w:val="28"/>
        </w:rPr>
      </w:pPr>
      <w:r>
        <w:rPr>
          <w:rFonts w:ascii="宋体" w:hAnsi="宋体" w:eastAsia="宋体" w:cs="宋体"/>
          <w:color w:val="333333"/>
          <w:spacing w:val="23"/>
          <w:kern w:val="0"/>
          <w:sz w:val="28"/>
          <w:szCs w:val="28"/>
        </w:rPr>
        <w:t>方案应包括：</w:t>
      </w:r>
    </w:p>
    <w:p>
      <w:pPr>
        <w:shd w:val="clear" w:color="auto" w:fill="FFFFFF"/>
        <w:spacing w:line="360" w:lineRule="auto"/>
        <w:ind w:left="300" w:right="300" w:firstLine="652" w:firstLineChars="200"/>
        <w:jc w:val="left"/>
        <w:rPr>
          <w:rFonts w:ascii="宋体" w:hAnsi="宋体" w:eastAsia="宋体" w:cs="宋体"/>
          <w:color w:val="333333"/>
          <w:spacing w:val="23"/>
          <w:kern w:val="0"/>
          <w:sz w:val="28"/>
          <w:szCs w:val="28"/>
        </w:rPr>
      </w:pPr>
      <w:r>
        <w:rPr>
          <w:rFonts w:ascii="宋体" w:hAnsi="宋体" w:eastAsia="宋体" w:cs="宋体"/>
          <w:color w:val="333333"/>
          <w:spacing w:val="23"/>
          <w:kern w:val="0"/>
          <w:sz w:val="28"/>
          <w:szCs w:val="28"/>
        </w:rPr>
        <w:t>维护区域防冻防凝领导小组；</w:t>
      </w:r>
    </w:p>
    <w:p>
      <w:pPr>
        <w:shd w:val="clear" w:color="auto" w:fill="FFFFFF"/>
        <w:spacing w:line="360" w:lineRule="auto"/>
        <w:ind w:left="300" w:right="300" w:firstLine="652" w:firstLineChars="200"/>
        <w:jc w:val="left"/>
        <w:rPr>
          <w:rFonts w:ascii="宋体" w:hAnsi="宋体" w:eastAsia="宋体" w:cs="宋体"/>
          <w:color w:val="333333"/>
          <w:spacing w:val="23"/>
          <w:kern w:val="0"/>
          <w:sz w:val="28"/>
          <w:szCs w:val="28"/>
        </w:rPr>
      </w:pPr>
      <w:r>
        <w:rPr>
          <w:rFonts w:ascii="宋体" w:hAnsi="宋体" w:eastAsia="宋体" w:cs="宋体"/>
          <w:color w:val="333333"/>
          <w:spacing w:val="23"/>
          <w:kern w:val="0"/>
          <w:sz w:val="28"/>
          <w:szCs w:val="28"/>
        </w:rPr>
        <w:t>冬季维护目标；</w:t>
      </w:r>
    </w:p>
    <w:p>
      <w:pPr>
        <w:shd w:val="clear" w:color="auto" w:fill="FFFFFF"/>
        <w:spacing w:line="360" w:lineRule="auto"/>
        <w:ind w:left="300" w:right="300" w:firstLine="652" w:firstLineChars="200"/>
        <w:jc w:val="left"/>
        <w:rPr>
          <w:rFonts w:ascii="宋体" w:hAnsi="宋体" w:eastAsia="宋体" w:cs="宋体"/>
          <w:color w:val="333333"/>
          <w:spacing w:val="23"/>
          <w:kern w:val="0"/>
          <w:sz w:val="28"/>
          <w:szCs w:val="28"/>
        </w:rPr>
      </w:pPr>
      <w:r>
        <w:rPr>
          <w:rFonts w:ascii="宋体" w:hAnsi="宋体" w:eastAsia="宋体" w:cs="宋体"/>
          <w:color w:val="333333"/>
          <w:spacing w:val="23"/>
          <w:kern w:val="0"/>
          <w:sz w:val="28"/>
          <w:szCs w:val="28"/>
        </w:rPr>
        <w:t>防冻防凝的工作要点和措施；</w:t>
      </w:r>
    </w:p>
    <w:p>
      <w:pPr>
        <w:shd w:val="clear" w:color="auto" w:fill="FFFFFF"/>
        <w:spacing w:line="360" w:lineRule="auto"/>
        <w:ind w:left="300" w:right="300" w:firstLine="652" w:firstLineChars="200"/>
        <w:jc w:val="left"/>
        <w:rPr>
          <w:rFonts w:ascii="宋体" w:hAnsi="宋体" w:eastAsia="宋体" w:cs="宋体"/>
          <w:color w:val="333333"/>
          <w:spacing w:val="23"/>
          <w:kern w:val="0"/>
          <w:sz w:val="28"/>
          <w:szCs w:val="28"/>
        </w:rPr>
      </w:pPr>
      <w:r>
        <w:rPr>
          <w:rFonts w:ascii="宋体" w:hAnsi="宋体" w:eastAsia="宋体" w:cs="宋体"/>
          <w:color w:val="333333"/>
          <w:spacing w:val="23"/>
          <w:kern w:val="0"/>
          <w:sz w:val="28"/>
          <w:szCs w:val="28"/>
        </w:rPr>
        <w:t>各种防冻防凝的仪表设备台账及控制措施；</w:t>
      </w:r>
    </w:p>
    <w:p>
      <w:pPr>
        <w:shd w:val="clear" w:color="auto" w:fill="FFFFFF"/>
        <w:spacing w:line="360" w:lineRule="auto"/>
        <w:ind w:left="300" w:right="300" w:firstLine="652" w:firstLineChars="200"/>
        <w:jc w:val="left"/>
        <w:rPr>
          <w:rFonts w:ascii="宋体" w:hAnsi="宋体" w:eastAsia="宋体" w:cs="宋体"/>
          <w:color w:val="333333"/>
          <w:spacing w:val="23"/>
          <w:kern w:val="0"/>
          <w:sz w:val="28"/>
          <w:szCs w:val="28"/>
        </w:rPr>
      </w:pPr>
      <w:r>
        <w:rPr>
          <w:rFonts w:ascii="宋体" w:hAnsi="宋体" w:eastAsia="宋体" w:cs="宋体"/>
          <w:color w:val="333333"/>
          <w:spacing w:val="23"/>
          <w:kern w:val="0"/>
          <w:sz w:val="28"/>
          <w:szCs w:val="28"/>
        </w:rPr>
        <w:t>防冻防凝预案；</w:t>
      </w:r>
    </w:p>
    <w:p>
      <w:pPr>
        <w:shd w:val="clear" w:color="auto" w:fill="FFFFFF"/>
        <w:spacing w:line="360" w:lineRule="auto"/>
        <w:ind w:left="300" w:right="300" w:firstLine="652" w:firstLineChars="200"/>
        <w:jc w:val="left"/>
        <w:rPr>
          <w:rFonts w:ascii="宋体" w:hAnsi="宋体" w:eastAsia="宋体" w:cs="宋体"/>
          <w:color w:val="333333"/>
          <w:spacing w:val="23"/>
          <w:kern w:val="0"/>
          <w:sz w:val="28"/>
          <w:szCs w:val="28"/>
        </w:rPr>
      </w:pPr>
      <w:r>
        <w:rPr>
          <w:rFonts w:ascii="宋体" w:hAnsi="宋体" w:eastAsia="宋体" w:cs="宋体"/>
          <w:color w:val="333333"/>
          <w:spacing w:val="23"/>
          <w:kern w:val="0"/>
          <w:sz w:val="28"/>
          <w:szCs w:val="28"/>
        </w:rPr>
        <w:t>车间防冻防凝考核细则；</w:t>
      </w:r>
    </w:p>
    <w:p>
      <w:pPr>
        <w:shd w:val="clear" w:color="auto" w:fill="FFFFFF"/>
        <w:spacing w:line="360" w:lineRule="auto"/>
        <w:ind w:left="300" w:right="300" w:firstLine="652" w:firstLineChars="200"/>
        <w:jc w:val="left"/>
        <w:rPr>
          <w:rFonts w:ascii="宋体" w:hAnsi="宋体" w:eastAsia="宋体" w:cs="宋体"/>
          <w:color w:val="333333"/>
          <w:spacing w:val="23"/>
          <w:kern w:val="0"/>
          <w:sz w:val="28"/>
          <w:szCs w:val="28"/>
        </w:rPr>
      </w:pPr>
      <w:r>
        <w:rPr>
          <w:rFonts w:ascii="宋体" w:hAnsi="宋体" w:eastAsia="宋体" w:cs="宋体"/>
          <w:color w:val="333333"/>
          <w:spacing w:val="23"/>
          <w:kern w:val="0"/>
          <w:sz w:val="28"/>
          <w:szCs w:val="28"/>
        </w:rPr>
        <w:t>维护区域防冻防凝周检要求；</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对停工闲置装置进行专项防护。</w:t>
      </w:r>
    </w:p>
    <w:p>
      <w:pPr>
        <w:shd w:val="clear" w:color="auto" w:fill="FFFFFF"/>
        <w:spacing w:line="360" w:lineRule="auto"/>
        <w:ind w:left="300" w:right="300" w:firstLine="652" w:firstLineChars="200"/>
        <w:jc w:val="left"/>
        <w:rPr>
          <w:rFonts w:ascii="宋体" w:hAnsi="宋体" w:eastAsia="宋体" w:cs="宋体"/>
          <w:color w:val="333333"/>
          <w:spacing w:val="23"/>
          <w:kern w:val="0"/>
          <w:sz w:val="28"/>
          <w:szCs w:val="28"/>
        </w:rPr>
      </w:pPr>
      <w:r>
        <w:rPr>
          <w:rFonts w:ascii="宋体" w:hAnsi="宋体" w:eastAsia="宋体" w:cs="宋体"/>
          <w:color w:val="333333"/>
          <w:spacing w:val="23"/>
          <w:kern w:val="0"/>
          <w:sz w:val="28"/>
          <w:szCs w:val="28"/>
        </w:rPr>
        <w:t>2、维护区域应分析可能冻凝仪表设备的风险，确定每一块仪表的定期维护措施。</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编制冬季仪表定期维护记录表。</w:t>
      </w:r>
    </w:p>
    <w:p>
      <w:pPr>
        <w:shd w:val="clear" w:color="auto" w:fill="FFFFFF"/>
        <w:spacing w:line="360" w:lineRule="auto"/>
        <w:ind w:left="300" w:right="300" w:firstLine="652" w:firstLineChars="200"/>
        <w:jc w:val="left"/>
        <w:rPr>
          <w:rFonts w:ascii="宋体" w:hAnsi="宋体" w:eastAsia="宋体" w:cs="宋体"/>
          <w:color w:val="333333"/>
          <w:spacing w:val="23"/>
          <w:kern w:val="0"/>
          <w:sz w:val="28"/>
          <w:szCs w:val="28"/>
        </w:rPr>
      </w:pPr>
      <w:r>
        <w:rPr>
          <w:rFonts w:ascii="宋体" w:hAnsi="宋体" w:eastAsia="宋体" w:cs="宋体"/>
          <w:color w:val="333333"/>
          <w:spacing w:val="23"/>
          <w:kern w:val="0"/>
          <w:sz w:val="28"/>
          <w:szCs w:val="28"/>
        </w:rPr>
        <w:t>3、维护区域应根据仪表特点和以往经验确定关键控制仪表，作为维护的重点。</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建立防冻防凝重点维护仪表台账和记录，定期进行检查维护。</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4、维护区域应结合设备区域承包，将各仪表的防冻防凝检查维护承包到个人，加强维护人员的责任。</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5、应编制防冻防凝工作预案（可包括在方案中），明确各种仪表发生冻凝故障时的处理措施，明确在特殊天气前后的维护检查作业明细，做到事前有预防、期间有检查，发生问题有手段。</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6、作为仪表冬季维护的重点，要求每月对防冻防凝工作进行总结，分析存在的问题、计划的措施，后续的工作计划。</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7、防冻防凝工作指导细则</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1） 每年11月15日至下一年的3月15日为冬季防冻防凝期。</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2） 每年11月15日前，生产装置上所有蒸汽、水、瓦斯、油、化工物料等介质的引压管道内采用隔离液的，应灌充防冻液，防冻液应符合-20±2</w:t>
      </w:r>
      <w:r>
        <w:rPr>
          <w:rFonts w:ascii="宋体" w:hAnsi="宋体" w:eastAsia="宋体" w:cs="微软雅黑"/>
          <w:color w:val="333333"/>
          <w:spacing w:val="23"/>
          <w:kern w:val="0"/>
          <w:sz w:val="28"/>
          <w:szCs w:val="28"/>
        </w:rPr>
        <w:t>℃</w:t>
      </w:r>
      <w:r>
        <w:rPr>
          <w:rFonts w:ascii="宋体" w:hAnsi="宋体" w:eastAsia="宋体" w:cs="宋体"/>
          <w:color w:val="333333"/>
          <w:spacing w:val="23"/>
          <w:kern w:val="0"/>
          <w:sz w:val="28"/>
          <w:szCs w:val="28"/>
        </w:rPr>
        <w:t>的质量要求；对不灌充防冻液的回路（如介质为风、本介质）应定期放水（根据每台仪表特点确定周期），并做好记录。</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3）防冻防凝工作必须落实到人，要有台帐记录，做到有据可查。</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4）根据季节特点，对易冻、易凝、在风口位置的出口，封包保温伴热情况要加强检查（既要防止保温不足而使有介质冷凝又要防止保温过高而使防冻液汽化），发现异常及时处理并做好记录。</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5）对易冻易凝的出口封包、引压管线、变送器接压部分应采用保温或蒸汽伴热，并确保保温伴热的管道、外保温应完好无损，并涂有油漆。</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6） 对所有的空气过滤器每周应检查一次，并做好积水情况的记录，如发现积水，分析原因。</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7）仪表检维修部门建立第一次零度以下、冬季大风或零下10度以下的仪表防冻保暖的预案。</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8）对引压管线、控制阀、变送器停用时，应关闭出口阀，打开放空阀，对于控制阀要求车间（作业区）关闭上、下游阀，打开放空阀。</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9）每年防冻防凝期前，对疏水器全面检查，发现问题及时更新，每日检查疏水器疏水状态，疏水应是间歇出水状态，发现问题及时处理。如需保温蒸汽直排的，可挂牌说明。</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10）对于常温下易凝介质，做好全年保温防凝工作。</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11）对停工装置的仪表入冬前全面检查一次，检查仪表的防护是否按照方案完成，化工装置对仪表伴热进行氮气吹扫避免积液，装置留守人员每周进行一次全面检查。对投用仪表风系统做好检查排放。</w:t>
      </w:r>
    </w:p>
    <w:p>
      <w:pPr>
        <w:spacing w:before="240" w:after="60" w:line="312" w:lineRule="auto"/>
        <w:jc w:val="left"/>
        <w:outlineLvl w:val="1"/>
        <w:rPr>
          <w:rFonts w:hint="eastAsia"/>
          <w:b/>
          <w:bCs/>
          <w:kern w:val="28"/>
          <w:sz w:val="32"/>
          <w:szCs w:val="32"/>
        </w:rPr>
      </w:pPr>
      <w:bookmarkStart w:id="13" w:name="_Toc55151239"/>
      <w:bookmarkStart w:id="14" w:name="_Toc55150251"/>
      <w:r>
        <w:rPr>
          <w:b/>
          <w:bCs/>
          <w:kern w:val="28"/>
          <w:sz w:val="32"/>
          <w:szCs w:val="32"/>
        </w:rPr>
        <w:t>六、应急预案</w:t>
      </w:r>
      <w:bookmarkEnd w:id="13"/>
      <w:bookmarkEnd w:id="14"/>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1、冬季来临首次气温降低到0</w:t>
      </w:r>
      <w:r>
        <w:rPr>
          <w:rFonts w:ascii="宋体" w:hAnsi="宋体" w:eastAsia="宋体" w:cs="微软雅黑"/>
          <w:color w:val="333333"/>
          <w:spacing w:val="23"/>
          <w:kern w:val="0"/>
          <w:sz w:val="28"/>
          <w:szCs w:val="28"/>
        </w:rPr>
        <w:t>℃</w:t>
      </w:r>
      <w:r>
        <w:rPr>
          <w:rFonts w:ascii="宋体" w:hAnsi="宋体" w:eastAsia="宋体" w:cs="宋体"/>
          <w:color w:val="333333"/>
          <w:spacing w:val="23"/>
          <w:kern w:val="0"/>
          <w:sz w:val="28"/>
          <w:szCs w:val="28"/>
        </w:rPr>
        <w:t>以下的应急准备处理。</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1）作业部根据公司通知或天气预报，启动冬季首次降温应急预案。</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2）启动预案后，由作业部调度通知各维护区域负责人，启动维护区域的应急预案。</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3）维护区域根据预案在下班前进行前期的维护，对相关仪表进行隔离液置换。</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4）维护区域根据预案加强相关岗位的维护力量。</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5）夜间值班进行相应的检查，及时消除各种各种苗头。</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6）作业部值班人员做好应急准备，及时协调作业部维护力量应对各种突发事件。</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7）电气维护人员检查相关电伴热已正常投用。</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2、冬季发生大风降温天气（寒流来临气温突降5度以上；最低气温低于-10</w:t>
      </w:r>
      <w:r>
        <w:rPr>
          <w:rFonts w:ascii="宋体" w:hAnsi="宋体" w:eastAsia="宋体" w:cs="微软雅黑"/>
          <w:color w:val="333333"/>
          <w:spacing w:val="23"/>
          <w:kern w:val="0"/>
          <w:sz w:val="28"/>
          <w:szCs w:val="28"/>
        </w:rPr>
        <w:t>℃</w:t>
      </w:r>
      <w:r>
        <w:rPr>
          <w:rFonts w:ascii="宋体" w:hAnsi="宋体" w:eastAsia="宋体" w:cs="宋体"/>
          <w:color w:val="333333"/>
          <w:spacing w:val="23"/>
          <w:kern w:val="0"/>
          <w:sz w:val="28"/>
          <w:szCs w:val="28"/>
        </w:rPr>
        <w:t>）时的应急准备处理。</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1）作业部根据公司通知或天气预报，启动冬季首次降温应急预案。</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2）作业部根据情况安排夜间值班力量的加强。</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3）启动预案后，由作业部调度通知各维护区域负责人，启动维护区域的应急预案。</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4）维护区域根据预案在下班前进行前期的维护，对相关仪表进行隔离液置换。</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5）维护区域根据预案加强相关岗位的维护力量。</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6）夜间值班进行相应的检查，及时消除各种各种苗头。</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7）作业部值班人员做好应急准备，及时协调作业部维护力量应对各种突发事件。</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8）降温结束后，各维护区域应统计期间发生的各种问题，分析发生的原因。</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9）针对期间发生的故障情况，对各种缺陷进行整改，补充应急预案的内容，在下次降温对这些设备进行相应的预防处理。</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10）电气维护人员检查维护区域电伴热，检查伴热电流、温度是否正常，及时处理相关缺陷。</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3、冬季各种冰雪、大雾天气可能对供电系统造成影响，造成公司部分获全部停电、晃电。防范措施有：</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1）车间组织一次停电应急预案的演练，提高职工应对各种电气故障的能力。</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2）在各种灾害天气前、中、后做好各种重点部位的检查，检查架空线路情况、各变电所防护、变压器室安全等情况做好事前防护，雨雪天气期间的检查，大雪天起后的安全检查，及时处理各种隐患。</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3）冰雪天气时注意检查架空线路的结冰、积雪情况，必要时联系停电处理。</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4）针对发生各种停电事故后的应急处理按照车间应急预案处理，</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4、冬季异常天气时容易造成人员的伤害事故。防范措施有：</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1）利用班组安全会组织辨识和讨论冬季可能存在的人员滑倒、高处冰凌伤害、人员在工作中碰伤等风险，提高职工的防范意识。</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2）车间准备各种防滑垫，在出现冰雪时对楼梯处、斜坡处、台阶、转弯处等重点部位进行</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防护；</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3）每日检查所辖范围高处冰凌情况，及时处理防止坠；</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4）降雪时按照规定及时清扫道路积雪，及时清除道路；</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5）冬季工作容易发生碰伤，要求各种作业佩戴手套；</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6）车间进行个人安全防护的检查，保证职工进入工作；</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7）教育职工在室外作业，注意保暖，补充必要的棉安；</w:t>
      </w:r>
    </w:p>
    <w:p>
      <w:pPr>
        <w:spacing w:before="240" w:after="60" w:line="312" w:lineRule="auto"/>
        <w:jc w:val="left"/>
        <w:outlineLvl w:val="1"/>
        <w:rPr>
          <w:rFonts w:hint="eastAsia"/>
          <w:b/>
          <w:bCs/>
          <w:kern w:val="28"/>
          <w:sz w:val="32"/>
          <w:szCs w:val="32"/>
        </w:rPr>
      </w:pPr>
      <w:bookmarkStart w:id="15" w:name="_Toc55151240"/>
      <w:bookmarkStart w:id="16" w:name="_Toc55150252"/>
      <w:r>
        <w:rPr>
          <w:b/>
          <w:bCs/>
          <w:kern w:val="28"/>
          <w:sz w:val="32"/>
          <w:szCs w:val="32"/>
        </w:rPr>
        <w:t>七、防冻防凝竞赛方案</w:t>
      </w:r>
      <w:bookmarkEnd w:id="15"/>
      <w:bookmarkEnd w:id="16"/>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1、设立防冻防凝月度考核，每月对仪表计量防冻防凝工作进行检查考核。奖励额度XX元/月。</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2、维护区域制定月度的防冻防凝考核方案经作业部审核批准后，作业部监督维护区域组织考核。</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3、在维护中发生一次因防冻防凝原因引起的仪表异常，考核20分，发生一次仪表故障影响生产考核50分。</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4、维护班组防冻防凝未分配承包到个人考核维护区域50分。</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5、作业部周检发现一项防冻防凝设备缺陷考核承包人10分，班组10分。</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6、针对各种仪表缺陷和以往的维护经验，作业部征集各种防冻防凝合理化建议，建议采纳者除按照合理化建议考核外，月度增加奖励20分。每单位限30条。</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7、根据制定的防冻防凝重点仪表维护计划，开展检查维护，并做好记录。不需要办理作业票的检查排放项目一个装置单元为一项，需要办理作业部的置换封液、排风一台仪表算一项。每完成一项奖励10分。（奖励的项目必要包含在前期制定的预防性维护之内，由维护单位根据计划实施奖励）。</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8、制定的预防性维护计划未完成。每项考核10分。（由维护单位考核）。</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9、当启动防冻防凝应急预案时，维护区域落实不到位，考核50分。</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10、如果发生因防冻防凝原因造成的非计划停工，减少维护区域月度考核的50%--100%。</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11、竞赛期结束，根据冬季维护考核情况，评比优秀班组五个，评选先进个人若干。</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12、各维护区域完成作业部制定的防冻防凝目标，一次奖励维护区域XX元/人。</w:t>
      </w:r>
    </w:p>
    <w:p>
      <w:pPr>
        <w:shd w:val="clear" w:color="auto" w:fill="FFFFFF"/>
        <w:spacing w:line="360" w:lineRule="auto"/>
        <w:ind w:left="300" w:right="300" w:firstLine="652" w:firstLineChars="200"/>
        <w:jc w:val="left"/>
        <w:rPr>
          <w:rFonts w:hint="eastAsia" w:ascii="宋体" w:hAnsi="宋体" w:eastAsia="宋体" w:cs="宋体"/>
          <w:color w:val="333333"/>
          <w:spacing w:val="23"/>
          <w:kern w:val="0"/>
          <w:sz w:val="28"/>
          <w:szCs w:val="28"/>
        </w:rPr>
      </w:pPr>
      <w:r>
        <w:rPr>
          <w:rFonts w:ascii="宋体" w:hAnsi="宋体" w:eastAsia="宋体" w:cs="宋体"/>
          <w:color w:val="333333"/>
          <w:spacing w:val="23"/>
          <w:kern w:val="0"/>
          <w:sz w:val="28"/>
          <w:szCs w:val="28"/>
        </w:rPr>
        <w:t>13、每月对外包区域的防冻防凝进行检查，参照作业部考核规定，向公司申报对外包者的考核意见。</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roman"/>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5883510"/>
      <w:docPartObj>
        <w:docPartGallery w:val="AutoText"/>
      </w:docPartObj>
    </w:sdtPr>
    <w:sdtContent>
      <w:sdt>
        <w:sdtPr>
          <w:id w:val="1728636285"/>
          <w:docPartObj>
            <w:docPartGallery w:val="AutoText"/>
          </w:docPartObj>
        </w:sdtPr>
        <w:sdtContent>
          <w:p>
            <w:pPr>
              <w:pStyle w:val="3"/>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13</w:t>
            </w:r>
            <w:r>
              <w:rPr>
                <w:b/>
                <w:bCs/>
                <w:sz w:val="24"/>
                <w:szCs w:val="24"/>
              </w:rPr>
              <w:fldChar w:fldCharType="end"/>
            </w:r>
          </w:p>
        </w:sdtContent>
      </w:sdt>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46E"/>
    <w:rsid w:val="0004212E"/>
    <w:rsid w:val="002A046E"/>
    <w:rsid w:val="005704DA"/>
    <w:rsid w:val="00B0759E"/>
    <w:rsid w:val="7EA63C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keepNext/>
      <w:keepLines/>
      <w:spacing w:before="340" w:after="330" w:line="578" w:lineRule="auto"/>
      <w:outlineLvl w:val="0"/>
    </w:pPr>
    <w:rPr>
      <w:b/>
      <w:bCs/>
      <w:kern w:val="44"/>
      <w:sz w:val="44"/>
      <w:szCs w:val="44"/>
    </w:rPr>
  </w:style>
  <w:style w:type="character" w:default="1" w:styleId="8">
    <w:name w:val="Default Paragraph Font"/>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footer"/>
    <w:basedOn w:val="1"/>
    <w:link w:val="11"/>
    <w:unhideWhenUsed/>
    <w:uiPriority w:val="99"/>
    <w:pPr>
      <w:tabs>
        <w:tab w:val="center" w:pos="4153"/>
        <w:tab w:val="right" w:pos="8306"/>
      </w:tabs>
      <w:snapToGrid w:val="0"/>
      <w:jc w:val="left"/>
    </w:pPr>
    <w:rPr>
      <w:sz w:val="18"/>
      <w:szCs w:val="18"/>
    </w:rPr>
  </w:style>
  <w:style w:type="paragraph" w:styleId="4">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unhideWhenUsed/>
    <w:uiPriority w:val="39"/>
  </w:style>
  <w:style w:type="paragraph" w:styleId="6">
    <w:name w:val="toc 2"/>
    <w:basedOn w:val="1"/>
    <w:next w:val="1"/>
    <w:unhideWhenUsed/>
    <w:uiPriority w:val="39"/>
    <w:pPr>
      <w:ind w:left="420" w:leftChars="200"/>
    </w:pPr>
  </w:style>
  <w:style w:type="character" w:styleId="9">
    <w:name w:val="Hyperlink"/>
    <w:basedOn w:val="8"/>
    <w:unhideWhenUsed/>
    <w:uiPriority w:val="99"/>
    <w:rPr>
      <w:color w:val="0563C1" w:themeColor="hyperlink"/>
      <w:u w:val="single"/>
      <w14:textFill>
        <w14:solidFill>
          <w14:schemeClr w14:val="hlink"/>
        </w14:solidFill>
      </w14:textFill>
    </w:rPr>
  </w:style>
  <w:style w:type="character" w:customStyle="1" w:styleId="10">
    <w:name w:val="页眉 字符"/>
    <w:basedOn w:val="8"/>
    <w:link w:val="4"/>
    <w:uiPriority w:val="99"/>
    <w:rPr>
      <w:sz w:val="18"/>
      <w:szCs w:val="18"/>
    </w:rPr>
  </w:style>
  <w:style w:type="character" w:customStyle="1" w:styleId="11">
    <w:name w:val="页脚 字符"/>
    <w:basedOn w:val="8"/>
    <w:link w:val="3"/>
    <w:uiPriority w:val="99"/>
    <w:rPr>
      <w:sz w:val="18"/>
      <w:szCs w:val="18"/>
    </w:rPr>
  </w:style>
  <w:style w:type="character" w:customStyle="1" w:styleId="12">
    <w:name w:val="标题 1 字符"/>
    <w:basedOn w:val="8"/>
    <w:link w:val="2"/>
    <w:uiPriority w:val="9"/>
    <w:rPr>
      <w:b/>
      <w:bCs/>
      <w:kern w:val="44"/>
      <w:sz w:val="44"/>
      <w:szCs w:val="44"/>
    </w:rPr>
  </w:style>
  <w:style w:type="paragraph" w:customStyle="1" w:styleId="13">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276119-0250-456C-B6C1-2EA6DFE05FA3}">
  <ds:schemaRefs/>
</ds:datastoreItem>
</file>

<file path=docProps/app.xml><?xml version="1.0" encoding="utf-8"?>
<Properties xmlns="http://schemas.openxmlformats.org/officeDocument/2006/extended-properties" xmlns:vt="http://schemas.openxmlformats.org/officeDocument/2006/docPropsVTypes">
  <Template>Normal</Template>
  <Pages>13</Pages>
  <Words>766</Words>
  <Characters>4369</Characters>
  <Lines>36</Lines>
  <Paragraphs>10</Paragraphs>
  <TotalTime>5</TotalTime>
  <ScaleCrop>false</ScaleCrop>
  <LinksUpToDate>false</LinksUpToDate>
  <CharactersWithSpaces>5125</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2020-11-01T11:25:00Z</dcterms:created>
  <dc:creator>Administrator</dc:creator>
  <cp:lastModifiedBy>A呀土豆baby</cp:lastModifiedBy>
  <dcterms:modified xsi:type="dcterms:W3CDTF">2021-11-17T01:07:15Z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6E7AC08EB8AA4634AEB314A7041C9210</vt:lpwstr>
  </property>
</Properties>
</file>